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1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Bazy danych • 40 pytań • 1 pkt za pytanie. Układ poprawnych odpowiedzi: a, b, c, d (powtarzane co pytanie).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2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Bazy danych • 40 pytań • 1 pkt za pytanie. Układ poprawnych odpowiedzi: d, c, b, a (powtarzane co pytanie).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3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Bazy danych • 40 pytań • 1 pkt za pytanie. Układ poprawnych odpowiedzi: b, c (naprzemiennie).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</w:tr>
          </w:tbl>
          <w:p/>
        </w:tc>
      </w:tr>
    </w:tbl>
    <w:p>
      <w:pPr>
        <w:pageBreakBefore/>
        <w:spacing w:after="80"/>
      </w:pPr>
      <w:r>
        <w:rPr>
          <w:rFonts w:ascii="Arial" w:cs="Arial" w:eastAsia="Arial" w:hAnsi="Arial"/>
          <w:b/>
          <w:bCs/>
          <w:color w:val="B00020"/>
          <w:sz w:val="30"/>
          <w:szCs w:val="30"/>
        </w:rPr>
        <w:t xml:space="preserve">KLUCZ ODPOWIEDZI – GRUPA 4</w:t>
      </w:r>
    </w:p>
    <w:p>
      <w:pPr>
        <w:spacing w:after="140"/>
      </w:pPr>
      <w:r>
        <w:rPr>
          <w:rFonts w:ascii="Arial" w:cs="Arial" w:eastAsia="Arial" w:hAnsi="Arial"/>
          <w:sz w:val="18"/>
          <w:szCs w:val="18"/>
        </w:rPr>
        <w:t xml:space="preserve">Sprawdzian: Bazy danych • 40 pytań • 1 pkt za pytanie. Układ poprawnych odpowiedzi: a, d (naprzemiennie).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19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1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600"/>
            </w:tblGrid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Nr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B00020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Odp.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32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33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34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35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37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38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BE3E3" w:color="auto" w:val="clear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</w:tr>
          </w:tbl>
          <w:p/>
        </w:tc>
      </w:tr>
    </w:tbl>
    <w:sectPr>
      <w:pgSz w:w="16838" w:h="11906" w:orient="landscape"/>
      <w:pgMar w:top="700" w:right="567" w:bottom="50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2026-10-10T18:13:36.989Z</dcterms:created>
  <dcterms:modified xsi:type="dcterms:W3CDTF">2026-10-10T18:13:36.999Z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