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B208F" w:rsidP="00F4429F" w:rsidRDefault="005B208F" w14:paraId="5F604BE7" w14:textId="53FD5258">
      <w:pPr>
        <w:jc w:val="center"/>
      </w:pPr>
    </w:p>
    <w:p w:rsidR="00F4429F" w:rsidP="00F4429F" w:rsidRDefault="00F4429F" w14:paraId="384CCE57" w14:textId="7594A74F">
      <w:pPr>
        <w:jc w:val="center"/>
      </w:pPr>
    </w:p>
    <w:p w:rsidR="00F4429F" w:rsidP="00F4429F" w:rsidRDefault="00F4429F" w14:paraId="62E37B62" w14:textId="4C0137D7">
      <w:pPr>
        <w:jc w:val="center"/>
      </w:pPr>
    </w:p>
    <w:p w:rsidR="00F4429F" w:rsidP="00F4429F" w:rsidRDefault="00F4429F" w14:paraId="65C819C1" w14:textId="4890FB79">
      <w:pPr>
        <w:jc w:val="center"/>
      </w:pPr>
    </w:p>
    <w:p w:rsidR="00F4429F" w:rsidP="00F4429F" w:rsidRDefault="00F4429F" w14:paraId="7D0C1C2E" w14:textId="54A21F00">
      <w:pPr>
        <w:jc w:val="center"/>
      </w:pPr>
    </w:p>
    <w:p w:rsidR="00F4429F" w:rsidP="00F4429F" w:rsidRDefault="00F4429F" w14:paraId="6A8C1A70" w14:textId="1BDF39EB">
      <w:pPr>
        <w:jc w:val="center"/>
      </w:pPr>
    </w:p>
    <w:p w:rsidR="00F4429F" w:rsidP="00F4429F" w:rsidRDefault="00F4429F" w14:paraId="5DBDB02E" w14:textId="511CBD4F">
      <w:pPr>
        <w:jc w:val="center"/>
      </w:pPr>
    </w:p>
    <w:p w:rsidRPr="00F4429F" w:rsidR="00F4429F" w:rsidP="00F4429F" w:rsidRDefault="00F4429F" w14:paraId="79B813D2" w14:textId="540E4015">
      <w:pPr>
        <w:jc w:val="center"/>
        <w:rPr>
          <w:rFonts w:ascii="Times New Roman" w:hAnsi="Times New Roman" w:cs="Times New Roman"/>
          <w:sz w:val="44"/>
          <w:szCs w:val="44"/>
        </w:rPr>
      </w:pPr>
      <w:r w:rsidRPr="00F4429F">
        <w:rPr>
          <w:rFonts w:ascii="Times New Roman" w:hAnsi="Times New Roman" w:cs="Times New Roman"/>
          <w:sz w:val="44"/>
          <w:szCs w:val="44"/>
        </w:rPr>
        <w:t>UPS: A Risk Analysis</w:t>
      </w:r>
    </w:p>
    <w:p w:rsidR="00F4429F" w:rsidP="00F4429F" w:rsidRDefault="00F4429F" w14:paraId="37B6A12E" w14:textId="2C362662">
      <w:pPr>
        <w:jc w:val="center"/>
      </w:pPr>
      <w:r>
        <w:rPr>
          <w:noProof/>
        </w:rPr>
        <w:drawing>
          <wp:inline distT="0" distB="0" distL="0" distR="0" wp14:anchorId="4606EA2C" wp14:editId="51BBC9B6">
            <wp:extent cx="3257550" cy="1832372"/>
            <wp:effectExtent l="0" t="0" r="0" b="0"/>
            <wp:docPr id="1" name="Picture 1" descr="UPS | World Branding A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S | World Branding A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9884" cy="1867435"/>
                    </a:xfrm>
                    <a:prstGeom prst="rect">
                      <a:avLst/>
                    </a:prstGeom>
                    <a:noFill/>
                    <a:ln>
                      <a:noFill/>
                    </a:ln>
                  </pic:spPr>
                </pic:pic>
              </a:graphicData>
            </a:graphic>
          </wp:inline>
        </w:drawing>
      </w:r>
    </w:p>
    <w:p w:rsidR="00F4429F" w:rsidP="00F4429F" w:rsidRDefault="00F4429F" w14:paraId="13C4C5EF" w14:textId="77777777">
      <w:pPr>
        <w:jc w:val="center"/>
        <w:rPr>
          <w:rFonts w:ascii="Times New Roman" w:hAnsi="Times New Roman" w:cs="Times New Roman"/>
          <w:sz w:val="24"/>
          <w:szCs w:val="24"/>
        </w:rPr>
      </w:pPr>
      <w:r>
        <w:rPr>
          <w:rFonts w:ascii="Times New Roman" w:hAnsi="Times New Roman" w:cs="Times New Roman"/>
          <w:sz w:val="24"/>
          <w:szCs w:val="24"/>
        </w:rPr>
        <w:t xml:space="preserve">Michele Calderon, Logan Clay, Nicholas Coombes, </w:t>
      </w:r>
    </w:p>
    <w:p w:rsidR="00F4429F" w:rsidP="00F4429F" w:rsidRDefault="00F4429F" w14:paraId="346B3A38" w14:textId="7EEA1E4A">
      <w:pPr>
        <w:jc w:val="center"/>
        <w:rPr>
          <w:rFonts w:ascii="Times New Roman" w:hAnsi="Times New Roman" w:cs="Times New Roman"/>
          <w:sz w:val="24"/>
          <w:szCs w:val="24"/>
        </w:rPr>
      </w:pPr>
      <w:r>
        <w:rPr>
          <w:rFonts w:ascii="Times New Roman" w:hAnsi="Times New Roman" w:cs="Times New Roman"/>
          <w:sz w:val="24"/>
          <w:szCs w:val="24"/>
        </w:rPr>
        <w:t>Jordan Fisher, Charles Kindt, Constance McConnon</w:t>
      </w:r>
    </w:p>
    <w:p w:rsidR="00F4429F" w:rsidP="00F4429F" w:rsidRDefault="00F4429F" w14:paraId="7698ED1F" w14:textId="63CDC25C">
      <w:pPr>
        <w:jc w:val="center"/>
        <w:rPr>
          <w:rFonts w:ascii="Times New Roman" w:hAnsi="Times New Roman" w:cs="Times New Roman"/>
          <w:sz w:val="24"/>
          <w:szCs w:val="24"/>
        </w:rPr>
      </w:pPr>
    </w:p>
    <w:p w:rsidR="00F4429F" w:rsidP="00F4429F" w:rsidRDefault="00F4429F" w14:paraId="67A62640" w14:textId="6C16557D">
      <w:pPr>
        <w:jc w:val="center"/>
        <w:rPr>
          <w:rFonts w:ascii="Times New Roman" w:hAnsi="Times New Roman" w:cs="Times New Roman"/>
          <w:sz w:val="24"/>
          <w:szCs w:val="24"/>
        </w:rPr>
      </w:pPr>
    </w:p>
    <w:p w:rsidR="00F4429F" w:rsidP="00F4429F" w:rsidRDefault="00F4429F" w14:paraId="2FDAA05C" w14:textId="7146BE50">
      <w:pPr>
        <w:jc w:val="center"/>
        <w:rPr>
          <w:rFonts w:ascii="Times New Roman" w:hAnsi="Times New Roman" w:cs="Times New Roman"/>
          <w:sz w:val="24"/>
          <w:szCs w:val="24"/>
        </w:rPr>
      </w:pPr>
    </w:p>
    <w:p w:rsidR="00F4429F" w:rsidP="00F4429F" w:rsidRDefault="00F4429F" w14:paraId="41FFFB8C" w14:textId="146206B3">
      <w:pPr>
        <w:jc w:val="center"/>
        <w:rPr>
          <w:rFonts w:ascii="Times New Roman" w:hAnsi="Times New Roman" w:cs="Times New Roman"/>
          <w:sz w:val="24"/>
          <w:szCs w:val="24"/>
        </w:rPr>
      </w:pPr>
    </w:p>
    <w:p w:rsidR="00F4429F" w:rsidP="00F4429F" w:rsidRDefault="00F4429F" w14:paraId="0FA7B688" w14:textId="3012270B">
      <w:pPr>
        <w:jc w:val="center"/>
        <w:rPr>
          <w:rFonts w:ascii="Times New Roman" w:hAnsi="Times New Roman" w:cs="Times New Roman"/>
          <w:sz w:val="24"/>
          <w:szCs w:val="24"/>
        </w:rPr>
      </w:pPr>
    </w:p>
    <w:p w:rsidR="00F4429F" w:rsidP="00F4429F" w:rsidRDefault="00F4429F" w14:paraId="4370AE35" w14:textId="54D7FF98">
      <w:pPr>
        <w:jc w:val="center"/>
        <w:rPr>
          <w:rFonts w:ascii="Times New Roman" w:hAnsi="Times New Roman" w:cs="Times New Roman"/>
          <w:sz w:val="24"/>
          <w:szCs w:val="24"/>
        </w:rPr>
      </w:pPr>
    </w:p>
    <w:p w:rsidR="00F4429F" w:rsidP="00F4429F" w:rsidRDefault="00F4429F" w14:paraId="7D7549F9" w14:textId="17A3DAE8">
      <w:pPr>
        <w:jc w:val="center"/>
        <w:rPr>
          <w:rFonts w:ascii="Times New Roman" w:hAnsi="Times New Roman" w:cs="Times New Roman"/>
          <w:sz w:val="24"/>
          <w:szCs w:val="24"/>
        </w:rPr>
      </w:pPr>
    </w:p>
    <w:p w:rsidR="00F4429F" w:rsidP="00F4429F" w:rsidRDefault="00F4429F" w14:paraId="0411BD18" w14:textId="378FE7C8">
      <w:pPr>
        <w:jc w:val="center"/>
        <w:rPr>
          <w:rFonts w:ascii="Times New Roman" w:hAnsi="Times New Roman" w:cs="Times New Roman"/>
          <w:sz w:val="24"/>
          <w:szCs w:val="24"/>
        </w:rPr>
      </w:pPr>
    </w:p>
    <w:p w:rsidR="00F4429F" w:rsidP="00F4429F" w:rsidRDefault="00F4429F" w14:paraId="26BBC7FD" w14:textId="0CF3F0B5">
      <w:pPr>
        <w:jc w:val="center"/>
        <w:rPr>
          <w:rFonts w:ascii="Times New Roman" w:hAnsi="Times New Roman" w:cs="Times New Roman"/>
          <w:sz w:val="24"/>
          <w:szCs w:val="24"/>
        </w:rPr>
      </w:pPr>
    </w:p>
    <w:p w:rsidR="00F4429F" w:rsidP="00F4429F" w:rsidRDefault="00F4429F" w14:paraId="05660149" w14:textId="354C0378">
      <w:pPr>
        <w:jc w:val="center"/>
        <w:rPr>
          <w:rFonts w:ascii="Times New Roman" w:hAnsi="Times New Roman" w:cs="Times New Roman"/>
          <w:sz w:val="24"/>
          <w:szCs w:val="24"/>
        </w:rPr>
      </w:pPr>
    </w:p>
    <w:p w:rsidRPr="00343B2E" w:rsidR="00F4429F" w:rsidP="00F4429F" w:rsidRDefault="00F4429F" w14:paraId="7473CF45" w14:textId="4E0C260F">
      <w:pPr>
        <w:rPr>
          <w:rFonts w:ascii="Times New Roman" w:hAnsi="Times New Roman" w:cs="Times New Roman"/>
          <w:b/>
          <w:bCs/>
          <w:sz w:val="28"/>
          <w:szCs w:val="28"/>
        </w:rPr>
      </w:pPr>
    </w:p>
    <w:sdt>
      <w:sdtPr>
        <w:rPr>
          <w:rFonts w:asciiTheme="minorHAnsi" w:hAnsiTheme="minorHAnsi" w:eastAsiaTheme="minorHAnsi" w:cstheme="minorBidi"/>
          <w:color w:val="auto"/>
          <w:sz w:val="22"/>
          <w:szCs w:val="22"/>
        </w:rPr>
        <w:id w:val="1994065225"/>
        <w:docPartObj>
          <w:docPartGallery w:val="Table of Contents"/>
          <w:docPartUnique/>
        </w:docPartObj>
      </w:sdtPr>
      <w:sdtEndPr>
        <w:rPr>
          <w:b/>
          <w:bCs/>
          <w:noProof/>
        </w:rPr>
      </w:sdtEndPr>
      <w:sdtContent>
        <w:p w:rsidRPr="00744F5C" w:rsidR="003323CD" w:rsidRDefault="003323CD" w14:paraId="7BFE30BC" w14:textId="7038504F">
          <w:pPr>
            <w:pStyle w:val="TOCHeading"/>
            <w:rPr>
              <w:b/>
              <w:bCs/>
            </w:rPr>
          </w:pPr>
          <w:r w:rsidRPr="00744F5C">
            <w:rPr>
              <w:b/>
              <w:bCs/>
            </w:rPr>
            <w:t>Table of Contents</w:t>
          </w:r>
        </w:p>
        <w:p w:rsidR="00AF1391" w:rsidRDefault="003323CD" w14:paraId="79B70D14" w14:textId="3F65CC45">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58405299">
            <w:r w:rsidRPr="00B625C7" w:rsidR="00AF1391">
              <w:rPr>
                <w:rStyle w:val="Hyperlink"/>
                <w:noProof/>
              </w:rPr>
              <w:t>Project Link</w:t>
            </w:r>
            <w:r w:rsidR="00AF1391">
              <w:rPr>
                <w:noProof/>
                <w:webHidden/>
              </w:rPr>
              <w:tab/>
            </w:r>
            <w:r w:rsidR="00AF1391">
              <w:rPr>
                <w:noProof/>
                <w:webHidden/>
              </w:rPr>
              <w:fldChar w:fldCharType="begin"/>
            </w:r>
            <w:r w:rsidR="00AF1391">
              <w:rPr>
                <w:noProof/>
                <w:webHidden/>
              </w:rPr>
              <w:instrText xml:space="preserve"> PAGEREF _Toc58405299 \h </w:instrText>
            </w:r>
            <w:r w:rsidR="00AF1391">
              <w:rPr>
                <w:noProof/>
                <w:webHidden/>
              </w:rPr>
            </w:r>
            <w:r w:rsidR="00AF1391">
              <w:rPr>
                <w:noProof/>
                <w:webHidden/>
              </w:rPr>
              <w:fldChar w:fldCharType="separate"/>
            </w:r>
            <w:r w:rsidR="00AF1391">
              <w:rPr>
                <w:noProof/>
                <w:webHidden/>
              </w:rPr>
              <w:t>3</w:t>
            </w:r>
            <w:r w:rsidR="00AF1391">
              <w:rPr>
                <w:noProof/>
                <w:webHidden/>
              </w:rPr>
              <w:fldChar w:fldCharType="end"/>
            </w:r>
          </w:hyperlink>
        </w:p>
        <w:p w:rsidR="00AF1391" w:rsidRDefault="00AF1391" w14:paraId="7E7DB937" w14:textId="5E4B06BC">
          <w:pPr>
            <w:pStyle w:val="TOC1"/>
            <w:tabs>
              <w:tab w:val="right" w:leader="dot" w:pos="9350"/>
            </w:tabs>
            <w:rPr>
              <w:rFonts w:eastAsiaTheme="minorEastAsia"/>
              <w:noProof/>
            </w:rPr>
          </w:pPr>
          <w:hyperlink w:history="1" w:anchor="_Toc58405300">
            <w:r w:rsidRPr="00B625C7">
              <w:rPr>
                <w:rStyle w:val="Hyperlink"/>
                <w:rFonts w:eastAsia="Times New Roman"/>
                <w:noProof/>
              </w:rPr>
              <w:t>Executive Summary</w:t>
            </w:r>
            <w:r>
              <w:rPr>
                <w:noProof/>
                <w:webHidden/>
              </w:rPr>
              <w:tab/>
            </w:r>
            <w:r>
              <w:rPr>
                <w:noProof/>
                <w:webHidden/>
              </w:rPr>
              <w:fldChar w:fldCharType="begin"/>
            </w:r>
            <w:r>
              <w:rPr>
                <w:noProof/>
                <w:webHidden/>
              </w:rPr>
              <w:instrText xml:space="preserve"> PAGEREF _Toc58405300 \h </w:instrText>
            </w:r>
            <w:r>
              <w:rPr>
                <w:noProof/>
                <w:webHidden/>
              </w:rPr>
            </w:r>
            <w:r>
              <w:rPr>
                <w:noProof/>
                <w:webHidden/>
              </w:rPr>
              <w:fldChar w:fldCharType="separate"/>
            </w:r>
            <w:r>
              <w:rPr>
                <w:noProof/>
                <w:webHidden/>
              </w:rPr>
              <w:t>3</w:t>
            </w:r>
            <w:r>
              <w:rPr>
                <w:noProof/>
                <w:webHidden/>
              </w:rPr>
              <w:fldChar w:fldCharType="end"/>
            </w:r>
          </w:hyperlink>
        </w:p>
        <w:p w:rsidR="00AF1391" w:rsidRDefault="00AF1391" w14:paraId="38377AFA" w14:textId="020883D3">
          <w:pPr>
            <w:pStyle w:val="TOC1"/>
            <w:tabs>
              <w:tab w:val="right" w:leader="dot" w:pos="9350"/>
            </w:tabs>
            <w:rPr>
              <w:rFonts w:eastAsiaTheme="minorEastAsia"/>
              <w:noProof/>
            </w:rPr>
          </w:pPr>
          <w:hyperlink w:history="1" w:anchor="_Toc58405301">
            <w:r w:rsidRPr="00B625C7">
              <w:rPr>
                <w:rStyle w:val="Hyperlink"/>
                <w:rFonts w:eastAsia="Times New Roman"/>
                <w:noProof/>
              </w:rPr>
              <w:t>Background Information of the Organization</w:t>
            </w:r>
            <w:r>
              <w:rPr>
                <w:noProof/>
                <w:webHidden/>
              </w:rPr>
              <w:tab/>
            </w:r>
            <w:r>
              <w:rPr>
                <w:noProof/>
                <w:webHidden/>
              </w:rPr>
              <w:fldChar w:fldCharType="begin"/>
            </w:r>
            <w:r>
              <w:rPr>
                <w:noProof/>
                <w:webHidden/>
              </w:rPr>
              <w:instrText xml:space="preserve"> PAGEREF _Toc58405301 \h </w:instrText>
            </w:r>
            <w:r>
              <w:rPr>
                <w:noProof/>
                <w:webHidden/>
              </w:rPr>
            </w:r>
            <w:r>
              <w:rPr>
                <w:noProof/>
                <w:webHidden/>
              </w:rPr>
              <w:fldChar w:fldCharType="separate"/>
            </w:r>
            <w:r>
              <w:rPr>
                <w:noProof/>
                <w:webHidden/>
              </w:rPr>
              <w:t>3</w:t>
            </w:r>
            <w:r>
              <w:rPr>
                <w:noProof/>
                <w:webHidden/>
              </w:rPr>
              <w:fldChar w:fldCharType="end"/>
            </w:r>
          </w:hyperlink>
        </w:p>
        <w:p w:rsidR="00AF1391" w:rsidRDefault="00AF1391" w14:paraId="4375965F" w14:textId="48008D67">
          <w:pPr>
            <w:pStyle w:val="TOC2"/>
            <w:tabs>
              <w:tab w:val="right" w:leader="dot" w:pos="9350"/>
            </w:tabs>
            <w:rPr>
              <w:rFonts w:eastAsiaTheme="minorEastAsia"/>
              <w:noProof/>
            </w:rPr>
          </w:pPr>
          <w:hyperlink w:history="1" w:anchor="_Toc58405302">
            <w:r w:rsidRPr="00B625C7">
              <w:rPr>
                <w:rStyle w:val="Hyperlink"/>
                <w:rFonts w:eastAsia="Times New Roman"/>
                <w:noProof/>
              </w:rPr>
              <w:t>Mission of UPS (in terms of multiple success criteria)</w:t>
            </w:r>
            <w:r>
              <w:rPr>
                <w:noProof/>
                <w:webHidden/>
              </w:rPr>
              <w:tab/>
            </w:r>
            <w:r>
              <w:rPr>
                <w:noProof/>
                <w:webHidden/>
              </w:rPr>
              <w:fldChar w:fldCharType="begin"/>
            </w:r>
            <w:r>
              <w:rPr>
                <w:noProof/>
                <w:webHidden/>
              </w:rPr>
              <w:instrText xml:space="preserve"> PAGEREF _Toc58405302 \h </w:instrText>
            </w:r>
            <w:r>
              <w:rPr>
                <w:noProof/>
                <w:webHidden/>
              </w:rPr>
            </w:r>
            <w:r>
              <w:rPr>
                <w:noProof/>
                <w:webHidden/>
              </w:rPr>
              <w:fldChar w:fldCharType="separate"/>
            </w:r>
            <w:r>
              <w:rPr>
                <w:noProof/>
                <w:webHidden/>
              </w:rPr>
              <w:t>4</w:t>
            </w:r>
            <w:r>
              <w:rPr>
                <w:noProof/>
                <w:webHidden/>
              </w:rPr>
              <w:fldChar w:fldCharType="end"/>
            </w:r>
          </w:hyperlink>
        </w:p>
        <w:p w:rsidR="00AF1391" w:rsidRDefault="00AF1391" w14:paraId="11169447" w14:textId="7B40FB01">
          <w:pPr>
            <w:pStyle w:val="TOC2"/>
            <w:tabs>
              <w:tab w:val="right" w:leader="dot" w:pos="9350"/>
            </w:tabs>
            <w:rPr>
              <w:rFonts w:eastAsiaTheme="minorEastAsia"/>
              <w:noProof/>
            </w:rPr>
          </w:pPr>
          <w:hyperlink w:history="1" w:anchor="_Toc58405303">
            <w:r w:rsidRPr="00B625C7">
              <w:rPr>
                <w:rStyle w:val="Hyperlink"/>
                <w:rFonts w:eastAsia="Times New Roman"/>
                <w:noProof/>
              </w:rPr>
              <w:t>Essential Business Functions</w:t>
            </w:r>
            <w:r>
              <w:rPr>
                <w:noProof/>
                <w:webHidden/>
              </w:rPr>
              <w:tab/>
            </w:r>
            <w:r>
              <w:rPr>
                <w:noProof/>
                <w:webHidden/>
              </w:rPr>
              <w:fldChar w:fldCharType="begin"/>
            </w:r>
            <w:r>
              <w:rPr>
                <w:noProof/>
                <w:webHidden/>
              </w:rPr>
              <w:instrText xml:space="preserve"> PAGEREF _Toc58405303 \h </w:instrText>
            </w:r>
            <w:r>
              <w:rPr>
                <w:noProof/>
                <w:webHidden/>
              </w:rPr>
            </w:r>
            <w:r>
              <w:rPr>
                <w:noProof/>
                <w:webHidden/>
              </w:rPr>
              <w:fldChar w:fldCharType="separate"/>
            </w:r>
            <w:r>
              <w:rPr>
                <w:noProof/>
                <w:webHidden/>
              </w:rPr>
              <w:t>4</w:t>
            </w:r>
            <w:r>
              <w:rPr>
                <w:noProof/>
                <w:webHidden/>
              </w:rPr>
              <w:fldChar w:fldCharType="end"/>
            </w:r>
          </w:hyperlink>
        </w:p>
        <w:p w:rsidR="00AF1391" w:rsidRDefault="00AF1391" w14:paraId="2A433280" w14:textId="45DFA7FC">
          <w:pPr>
            <w:pStyle w:val="TOC1"/>
            <w:tabs>
              <w:tab w:val="right" w:leader="dot" w:pos="9350"/>
            </w:tabs>
            <w:rPr>
              <w:rFonts w:eastAsiaTheme="minorEastAsia"/>
              <w:noProof/>
            </w:rPr>
          </w:pPr>
          <w:hyperlink w:history="1" w:anchor="_Toc58405304">
            <w:r w:rsidRPr="00B625C7">
              <w:rPr>
                <w:rStyle w:val="Hyperlink"/>
                <w:rFonts w:eastAsia="Times New Roman"/>
                <w:noProof/>
              </w:rPr>
              <w:t>Stakeholder Analysis</w:t>
            </w:r>
            <w:r>
              <w:rPr>
                <w:noProof/>
                <w:webHidden/>
              </w:rPr>
              <w:tab/>
            </w:r>
            <w:r>
              <w:rPr>
                <w:noProof/>
                <w:webHidden/>
              </w:rPr>
              <w:fldChar w:fldCharType="begin"/>
            </w:r>
            <w:r>
              <w:rPr>
                <w:noProof/>
                <w:webHidden/>
              </w:rPr>
              <w:instrText xml:space="preserve"> PAGEREF _Toc58405304 \h </w:instrText>
            </w:r>
            <w:r>
              <w:rPr>
                <w:noProof/>
                <w:webHidden/>
              </w:rPr>
            </w:r>
            <w:r>
              <w:rPr>
                <w:noProof/>
                <w:webHidden/>
              </w:rPr>
              <w:fldChar w:fldCharType="separate"/>
            </w:r>
            <w:r>
              <w:rPr>
                <w:noProof/>
                <w:webHidden/>
              </w:rPr>
              <w:t>5</w:t>
            </w:r>
            <w:r>
              <w:rPr>
                <w:noProof/>
                <w:webHidden/>
              </w:rPr>
              <w:fldChar w:fldCharType="end"/>
            </w:r>
          </w:hyperlink>
        </w:p>
        <w:p w:rsidR="00AF1391" w:rsidRDefault="00AF1391" w14:paraId="6EF50FA5" w14:textId="5FAC33CD">
          <w:pPr>
            <w:pStyle w:val="TOC1"/>
            <w:tabs>
              <w:tab w:val="right" w:leader="dot" w:pos="9350"/>
            </w:tabs>
            <w:rPr>
              <w:rFonts w:eastAsiaTheme="minorEastAsia"/>
              <w:noProof/>
            </w:rPr>
          </w:pPr>
          <w:hyperlink w:history="1" w:anchor="_Toc58405305">
            <w:r w:rsidRPr="00B625C7">
              <w:rPr>
                <w:rStyle w:val="Hyperlink"/>
                <w:noProof/>
              </w:rPr>
              <w:t>Project Scope Statement</w:t>
            </w:r>
            <w:r>
              <w:rPr>
                <w:noProof/>
                <w:webHidden/>
              </w:rPr>
              <w:tab/>
            </w:r>
            <w:r>
              <w:rPr>
                <w:noProof/>
                <w:webHidden/>
              </w:rPr>
              <w:fldChar w:fldCharType="begin"/>
            </w:r>
            <w:r>
              <w:rPr>
                <w:noProof/>
                <w:webHidden/>
              </w:rPr>
              <w:instrText xml:space="preserve"> PAGEREF _Toc58405305 \h </w:instrText>
            </w:r>
            <w:r>
              <w:rPr>
                <w:noProof/>
                <w:webHidden/>
              </w:rPr>
            </w:r>
            <w:r>
              <w:rPr>
                <w:noProof/>
                <w:webHidden/>
              </w:rPr>
              <w:fldChar w:fldCharType="separate"/>
            </w:r>
            <w:r>
              <w:rPr>
                <w:noProof/>
                <w:webHidden/>
              </w:rPr>
              <w:t>5</w:t>
            </w:r>
            <w:r>
              <w:rPr>
                <w:noProof/>
                <w:webHidden/>
              </w:rPr>
              <w:fldChar w:fldCharType="end"/>
            </w:r>
          </w:hyperlink>
        </w:p>
        <w:p w:rsidR="00AF1391" w:rsidRDefault="00AF1391" w14:paraId="4A662128" w14:textId="2DF0AD03">
          <w:pPr>
            <w:pStyle w:val="TOC2"/>
            <w:tabs>
              <w:tab w:val="right" w:leader="dot" w:pos="9350"/>
            </w:tabs>
            <w:rPr>
              <w:rFonts w:eastAsiaTheme="minorEastAsia"/>
              <w:noProof/>
            </w:rPr>
          </w:pPr>
          <w:hyperlink w:history="1" w:anchor="_Toc58405306">
            <w:r w:rsidRPr="00B625C7">
              <w:rPr>
                <w:rStyle w:val="Hyperlink"/>
                <w:rFonts w:eastAsia="Times New Roman"/>
                <w:noProof/>
              </w:rPr>
              <w:t>Assets</w:t>
            </w:r>
            <w:r>
              <w:rPr>
                <w:noProof/>
                <w:webHidden/>
              </w:rPr>
              <w:tab/>
            </w:r>
            <w:r>
              <w:rPr>
                <w:noProof/>
                <w:webHidden/>
              </w:rPr>
              <w:fldChar w:fldCharType="begin"/>
            </w:r>
            <w:r>
              <w:rPr>
                <w:noProof/>
                <w:webHidden/>
              </w:rPr>
              <w:instrText xml:space="preserve"> PAGEREF _Toc58405306 \h </w:instrText>
            </w:r>
            <w:r>
              <w:rPr>
                <w:noProof/>
                <w:webHidden/>
              </w:rPr>
            </w:r>
            <w:r>
              <w:rPr>
                <w:noProof/>
                <w:webHidden/>
              </w:rPr>
              <w:fldChar w:fldCharType="separate"/>
            </w:r>
            <w:r>
              <w:rPr>
                <w:noProof/>
                <w:webHidden/>
              </w:rPr>
              <w:t>6</w:t>
            </w:r>
            <w:r>
              <w:rPr>
                <w:noProof/>
                <w:webHidden/>
              </w:rPr>
              <w:fldChar w:fldCharType="end"/>
            </w:r>
          </w:hyperlink>
        </w:p>
        <w:p w:rsidR="00AF1391" w:rsidRDefault="00AF1391" w14:paraId="4B12CAE1" w14:textId="71210F3D">
          <w:pPr>
            <w:pStyle w:val="TOC2"/>
            <w:tabs>
              <w:tab w:val="right" w:leader="dot" w:pos="9350"/>
            </w:tabs>
            <w:rPr>
              <w:rFonts w:eastAsiaTheme="minorEastAsia"/>
              <w:noProof/>
            </w:rPr>
          </w:pPr>
          <w:hyperlink w:history="1" w:anchor="_Toc58405307">
            <w:r w:rsidRPr="00B625C7">
              <w:rPr>
                <w:rStyle w:val="Hyperlink"/>
                <w:noProof/>
              </w:rPr>
              <w:t>Potential Security Incidents/Accidents</w:t>
            </w:r>
            <w:r>
              <w:rPr>
                <w:noProof/>
                <w:webHidden/>
              </w:rPr>
              <w:tab/>
            </w:r>
            <w:r>
              <w:rPr>
                <w:noProof/>
                <w:webHidden/>
              </w:rPr>
              <w:fldChar w:fldCharType="begin"/>
            </w:r>
            <w:r>
              <w:rPr>
                <w:noProof/>
                <w:webHidden/>
              </w:rPr>
              <w:instrText xml:space="preserve"> PAGEREF _Toc58405307 \h </w:instrText>
            </w:r>
            <w:r>
              <w:rPr>
                <w:noProof/>
                <w:webHidden/>
              </w:rPr>
            </w:r>
            <w:r>
              <w:rPr>
                <w:noProof/>
                <w:webHidden/>
              </w:rPr>
              <w:fldChar w:fldCharType="separate"/>
            </w:r>
            <w:r>
              <w:rPr>
                <w:noProof/>
                <w:webHidden/>
              </w:rPr>
              <w:t>6</w:t>
            </w:r>
            <w:r>
              <w:rPr>
                <w:noProof/>
                <w:webHidden/>
              </w:rPr>
              <w:fldChar w:fldCharType="end"/>
            </w:r>
          </w:hyperlink>
        </w:p>
        <w:p w:rsidR="00AF1391" w:rsidRDefault="00AF1391" w14:paraId="2AFE014A" w14:textId="03582A2D">
          <w:pPr>
            <w:pStyle w:val="TOC1"/>
            <w:tabs>
              <w:tab w:val="right" w:leader="dot" w:pos="9350"/>
            </w:tabs>
            <w:rPr>
              <w:rFonts w:eastAsiaTheme="minorEastAsia"/>
              <w:noProof/>
            </w:rPr>
          </w:pPr>
          <w:hyperlink w:history="1" w:anchor="_Toc58405308">
            <w:r w:rsidRPr="00B625C7">
              <w:rPr>
                <w:rStyle w:val="Hyperlink"/>
                <w:noProof/>
              </w:rPr>
              <w:t>Risk Analysis</w:t>
            </w:r>
            <w:r>
              <w:rPr>
                <w:noProof/>
                <w:webHidden/>
              </w:rPr>
              <w:tab/>
            </w:r>
            <w:r>
              <w:rPr>
                <w:noProof/>
                <w:webHidden/>
              </w:rPr>
              <w:fldChar w:fldCharType="begin"/>
            </w:r>
            <w:r>
              <w:rPr>
                <w:noProof/>
                <w:webHidden/>
              </w:rPr>
              <w:instrText xml:space="preserve"> PAGEREF _Toc58405308 \h </w:instrText>
            </w:r>
            <w:r>
              <w:rPr>
                <w:noProof/>
                <w:webHidden/>
              </w:rPr>
            </w:r>
            <w:r>
              <w:rPr>
                <w:noProof/>
                <w:webHidden/>
              </w:rPr>
              <w:fldChar w:fldCharType="separate"/>
            </w:r>
            <w:r>
              <w:rPr>
                <w:noProof/>
                <w:webHidden/>
              </w:rPr>
              <w:t>7</w:t>
            </w:r>
            <w:r>
              <w:rPr>
                <w:noProof/>
                <w:webHidden/>
              </w:rPr>
              <w:fldChar w:fldCharType="end"/>
            </w:r>
          </w:hyperlink>
        </w:p>
        <w:p w:rsidR="00AF1391" w:rsidRDefault="00AF1391" w14:paraId="6D844EC5" w14:textId="001A7065">
          <w:pPr>
            <w:pStyle w:val="TOC2"/>
            <w:tabs>
              <w:tab w:val="right" w:leader="dot" w:pos="9350"/>
            </w:tabs>
            <w:rPr>
              <w:rFonts w:eastAsiaTheme="minorEastAsia"/>
              <w:noProof/>
            </w:rPr>
          </w:pPr>
          <w:hyperlink w:history="1" w:anchor="_Toc58405309">
            <w:r w:rsidRPr="00B625C7">
              <w:rPr>
                <w:rStyle w:val="Hyperlink"/>
                <w:noProof/>
              </w:rPr>
              <w:t>Bow-Tie Models</w:t>
            </w:r>
            <w:r>
              <w:rPr>
                <w:noProof/>
                <w:webHidden/>
              </w:rPr>
              <w:tab/>
            </w:r>
            <w:r>
              <w:rPr>
                <w:noProof/>
                <w:webHidden/>
              </w:rPr>
              <w:fldChar w:fldCharType="begin"/>
            </w:r>
            <w:r>
              <w:rPr>
                <w:noProof/>
                <w:webHidden/>
              </w:rPr>
              <w:instrText xml:space="preserve"> PAGEREF _Toc58405309 \h </w:instrText>
            </w:r>
            <w:r>
              <w:rPr>
                <w:noProof/>
                <w:webHidden/>
              </w:rPr>
            </w:r>
            <w:r>
              <w:rPr>
                <w:noProof/>
                <w:webHidden/>
              </w:rPr>
              <w:fldChar w:fldCharType="separate"/>
            </w:r>
            <w:r>
              <w:rPr>
                <w:noProof/>
                <w:webHidden/>
              </w:rPr>
              <w:t>7</w:t>
            </w:r>
            <w:r>
              <w:rPr>
                <w:noProof/>
                <w:webHidden/>
              </w:rPr>
              <w:fldChar w:fldCharType="end"/>
            </w:r>
          </w:hyperlink>
        </w:p>
        <w:p w:rsidR="00AF1391" w:rsidRDefault="00AF1391" w14:paraId="07CEC212" w14:textId="31F770FA">
          <w:pPr>
            <w:pStyle w:val="TOC2"/>
            <w:tabs>
              <w:tab w:val="right" w:leader="dot" w:pos="9350"/>
            </w:tabs>
            <w:rPr>
              <w:rFonts w:eastAsiaTheme="minorEastAsia"/>
              <w:noProof/>
            </w:rPr>
          </w:pPr>
          <w:hyperlink w:history="1" w:anchor="_Toc58405310">
            <w:r w:rsidRPr="00B625C7">
              <w:rPr>
                <w:rStyle w:val="Hyperlink"/>
                <w:noProof/>
              </w:rPr>
              <w:t>Risk Influencing Factors</w:t>
            </w:r>
            <w:r>
              <w:rPr>
                <w:noProof/>
                <w:webHidden/>
              </w:rPr>
              <w:tab/>
            </w:r>
            <w:r>
              <w:rPr>
                <w:noProof/>
                <w:webHidden/>
              </w:rPr>
              <w:fldChar w:fldCharType="begin"/>
            </w:r>
            <w:r>
              <w:rPr>
                <w:noProof/>
                <w:webHidden/>
              </w:rPr>
              <w:instrText xml:space="preserve"> PAGEREF _Toc58405310 \h </w:instrText>
            </w:r>
            <w:r>
              <w:rPr>
                <w:noProof/>
                <w:webHidden/>
              </w:rPr>
            </w:r>
            <w:r>
              <w:rPr>
                <w:noProof/>
                <w:webHidden/>
              </w:rPr>
              <w:fldChar w:fldCharType="separate"/>
            </w:r>
            <w:r>
              <w:rPr>
                <w:noProof/>
                <w:webHidden/>
              </w:rPr>
              <w:t>8</w:t>
            </w:r>
            <w:r>
              <w:rPr>
                <w:noProof/>
                <w:webHidden/>
              </w:rPr>
              <w:fldChar w:fldCharType="end"/>
            </w:r>
          </w:hyperlink>
        </w:p>
        <w:p w:rsidR="00AF1391" w:rsidRDefault="00AF1391" w14:paraId="21F7F299" w14:textId="1C97E054">
          <w:pPr>
            <w:pStyle w:val="TOC2"/>
            <w:tabs>
              <w:tab w:val="right" w:leader="dot" w:pos="9350"/>
            </w:tabs>
            <w:rPr>
              <w:rFonts w:eastAsiaTheme="minorEastAsia"/>
              <w:noProof/>
            </w:rPr>
          </w:pPr>
          <w:hyperlink w:history="1" w:anchor="_Toc58405311">
            <w:r w:rsidRPr="00B625C7">
              <w:rPr>
                <w:rStyle w:val="Hyperlink"/>
                <w:noProof/>
              </w:rPr>
              <w:t>Qualitative to Quantitative/Semi-Quantitative Risk Analysis</w:t>
            </w:r>
            <w:r>
              <w:rPr>
                <w:noProof/>
                <w:webHidden/>
              </w:rPr>
              <w:tab/>
            </w:r>
            <w:r>
              <w:rPr>
                <w:noProof/>
                <w:webHidden/>
              </w:rPr>
              <w:fldChar w:fldCharType="begin"/>
            </w:r>
            <w:r>
              <w:rPr>
                <w:noProof/>
                <w:webHidden/>
              </w:rPr>
              <w:instrText xml:space="preserve"> PAGEREF _Toc58405311 \h </w:instrText>
            </w:r>
            <w:r>
              <w:rPr>
                <w:noProof/>
                <w:webHidden/>
              </w:rPr>
            </w:r>
            <w:r>
              <w:rPr>
                <w:noProof/>
                <w:webHidden/>
              </w:rPr>
              <w:fldChar w:fldCharType="separate"/>
            </w:r>
            <w:r>
              <w:rPr>
                <w:noProof/>
                <w:webHidden/>
              </w:rPr>
              <w:t>9</w:t>
            </w:r>
            <w:r>
              <w:rPr>
                <w:noProof/>
                <w:webHidden/>
              </w:rPr>
              <w:fldChar w:fldCharType="end"/>
            </w:r>
          </w:hyperlink>
        </w:p>
        <w:p w:rsidR="00AF1391" w:rsidRDefault="00AF1391" w14:paraId="4022AB0D" w14:textId="177BE123">
          <w:pPr>
            <w:pStyle w:val="TOC2"/>
            <w:tabs>
              <w:tab w:val="right" w:leader="dot" w:pos="9350"/>
            </w:tabs>
            <w:rPr>
              <w:rFonts w:eastAsiaTheme="minorEastAsia"/>
              <w:noProof/>
            </w:rPr>
          </w:pPr>
          <w:hyperlink w:history="1" w:anchor="_Toc58405312">
            <w:r w:rsidRPr="00B625C7">
              <w:rPr>
                <w:rStyle w:val="Hyperlink"/>
                <w:noProof/>
              </w:rPr>
              <w:t>Data Dossier</w:t>
            </w:r>
            <w:r>
              <w:rPr>
                <w:noProof/>
                <w:webHidden/>
              </w:rPr>
              <w:tab/>
            </w:r>
            <w:r>
              <w:rPr>
                <w:noProof/>
                <w:webHidden/>
              </w:rPr>
              <w:fldChar w:fldCharType="begin"/>
            </w:r>
            <w:r>
              <w:rPr>
                <w:noProof/>
                <w:webHidden/>
              </w:rPr>
              <w:instrText xml:space="preserve"> PAGEREF _Toc58405312 \h </w:instrText>
            </w:r>
            <w:r>
              <w:rPr>
                <w:noProof/>
                <w:webHidden/>
              </w:rPr>
            </w:r>
            <w:r>
              <w:rPr>
                <w:noProof/>
                <w:webHidden/>
              </w:rPr>
              <w:fldChar w:fldCharType="separate"/>
            </w:r>
            <w:r>
              <w:rPr>
                <w:noProof/>
                <w:webHidden/>
              </w:rPr>
              <w:t>9</w:t>
            </w:r>
            <w:r>
              <w:rPr>
                <w:noProof/>
                <w:webHidden/>
              </w:rPr>
              <w:fldChar w:fldCharType="end"/>
            </w:r>
          </w:hyperlink>
        </w:p>
        <w:p w:rsidR="00AF1391" w:rsidRDefault="00AF1391" w14:paraId="0D08F8E7" w14:textId="6E731071">
          <w:pPr>
            <w:pStyle w:val="TOC2"/>
            <w:tabs>
              <w:tab w:val="right" w:leader="dot" w:pos="9350"/>
            </w:tabs>
            <w:rPr>
              <w:rFonts w:eastAsiaTheme="minorEastAsia"/>
              <w:noProof/>
            </w:rPr>
          </w:pPr>
          <w:hyperlink w:history="1" w:anchor="_Toc58405313">
            <w:r w:rsidRPr="00B625C7">
              <w:rPr>
                <w:rStyle w:val="Hyperlink"/>
                <w:noProof/>
              </w:rPr>
              <w:t>Accident Scenarios</w:t>
            </w:r>
            <w:r>
              <w:rPr>
                <w:noProof/>
                <w:webHidden/>
              </w:rPr>
              <w:tab/>
            </w:r>
            <w:r>
              <w:rPr>
                <w:noProof/>
                <w:webHidden/>
              </w:rPr>
              <w:fldChar w:fldCharType="begin"/>
            </w:r>
            <w:r>
              <w:rPr>
                <w:noProof/>
                <w:webHidden/>
              </w:rPr>
              <w:instrText xml:space="preserve"> PAGEREF _Toc58405313 \h </w:instrText>
            </w:r>
            <w:r>
              <w:rPr>
                <w:noProof/>
                <w:webHidden/>
              </w:rPr>
            </w:r>
            <w:r>
              <w:rPr>
                <w:noProof/>
                <w:webHidden/>
              </w:rPr>
              <w:fldChar w:fldCharType="separate"/>
            </w:r>
            <w:r>
              <w:rPr>
                <w:noProof/>
                <w:webHidden/>
              </w:rPr>
              <w:t>10</w:t>
            </w:r>
            <w:r>
              <w:rPr>
                <w:noProof/>
                <w:webHidden/>
              </w:rPr>
              <w:fldChar w:fldCharType="end"/>
            </w:r>
          </w:hyperlink>
        </w:p>
        <w:p w:rsidR="00AF1391" w:rsidRDefault="00AF1391" w14:paraId="2C416DF7" w14:textId="578A385C">
          <w:pPr>
            <w:pStyle w:val="TOC2"/>
            <w:tabs>
              <w:tab w:val="right" w:leader="dot" w:pos="9350"/>
            </w:tabs>
            <w:rPr>
              <w:rFonts w:eastAsiaTheme="minorEastAsia"/>
              <w:noProof/>
            </w:rPr>
          </w:pPr>
          <w:hyperlink w:history="1" w:anchor="_Toc58405314">
            <w:r w:rsidRPr="00B625C7">
              <w:rPr>
                <w:rStyle w:val="Hyperlink"/>
                <w:noProof/>
              </w:rPr>
              <w:t>Causal and Frequency Analysis</w:t>
            </w:r>
            <w:r>
              <w:rPr>
                <w:noProof/>
                <w:webHidden/>
              </w:rPr>
              <w:tab/>
            </w:r>
            <w:r>
              <w:rPr>
                <w:noProof/>
                <w:webHidden/>
              </w:rPr>
              <w:fldChar w:fldCharType="begin"/>
            </w:r>
            <w:r>
              <w:rPr>
                <w:noProof/>
                <w:webHidden/>
              </w:rPr>
              <w:instrText xml:space="preserve"> PAGEREF _Toc58405314 \h </w:instrText>
            </w:r>
            <w:r>
              <w:rPr>
                <w:noProof/>
                <w:webHidden/>
              </w:rPr>
            </w:r>
            <w:r>
              <w:rPr>
                <w:noProof/>
                <w:webHidden/>
              </w:rPr>
              <w:fldChar w:fldCharType="separate"/>
            </w:r>
            <w:r>
              <w:rPr>
                <w:noProof/>
                <w:webHidden/>
              </w:rPr>
              <w:t>10</w:t>
            </w:r>
            <w:r>
              <w:rPr>
                <w:noProof/>
                <w:webHidden/>
              </w:rPr>
              <w:fldChar w:fldCharType="end"/>
            </w:r>
          </w:hyperlink>
        </w:p>
        <w:p w:rsidR="00AF1391" w:rsidRDefault="00AF1391" w14:paraId="65247179" w14:textId="09F07E1B">
          <w:pPr>
            <w:pStyle w:val="TOC2"/>
            <w:tabs>
              <w:tab w:val="right" w:leader="dot" w:pos="9350"/>
            </w:tabs>
            <w:rPr>
              <w:rFonts w:eastAsiaTheme="minorEastAsia"/>
              <w:noProof/>
            </w:rPr>
          </w:pPr>
          <w:hyperlink w:history="1" w:anchor="_Toc58405315">
            <w:r w:rsidRPr="00B625C7">
              <w:rPr>
                <w:rStyle w:val="Hyperlink"/>
                <w:noProof/>
              </w:rPr>
              <w:t>Barrier Analysis</w:t>
            </w:r>
            <w:r>
              <w:rPr>
                <w:noProof/>
                <w:webHidden/>
              </w:rPr>
              <w:tab/>
            </w:r>
            <w:r>
              <w:rPr>
                <w:noProof/>
                <w:webHidden/>
              </w:rPr>
              <w:fldChar w:fldCharType="begin"/>
            </w:r>
            <w:r>
              <w:rPr>
                <w:noProof/>
                <w:webHidden/>
              </w:rPr>
              <w:instrText xml:space="preserve"> PAGEREF _Toc58405315 \h </w:instrText>
            </w:r>
            <w:r>
              <w:rPr>
                <w:noProof/>
                <w:webHidden/>
              </w:rPr>
            </w:r>
            <w:r>
              <w:rPr>
                <w:noProof/>
                <w:webHidden/>
              </w:rPr>
              <w:fldChar w:fldCharType="separate"/>
            </w:r>
            <w:r>
              <w:rPr>
                <w:noProof/>
                <w:webHidden/>
              </w:rPr>
              <w:t>10</w:t>
            </w:r>
            <w:r>
              <w:rPr>
                <w:noProof/>
                <w:webHidden/>
              </w:rPr>
              <w:fldChar w:fldCharType="end"/>
            </w:r>
          </w:hyperlink>
        </w:p>
        <w:p w:rsidR="00AF1391" w:rsidRDefault="00AF1391" w14:paraId="42221981" w14:textId="7C195DE3">
          <w:pPr>
            <w:pStyle w:val="TOC2"/>
            <w:tabs>
              <w:tab w:val="right" w:leader="dot" w:pos="9350"/>
            </w:tabs>
            <w:rPr>
              <w:rFonts w:eastAsiaTheme="minorEastAsia"/>
              <w:noProof/>
            </w:rPr>
          </w:pPr>
          <w:hyperlink w:history="1" w:anchor="_Toc58405316">
            <w:r w:rsidRPr="00B625C7">
              <w:rPr>
                <w:rStyle w:val="Hyperlink"/>
                <w:noProof/>
              </w:rPr>
              <w:t>Cause-Consequence Analysis</w:t>
            </w:r>
            <w:r>
              <w:rPr>
                <w:noProof/>
                <w:webHidden/>
              </w:rPr>
              <w:tab/>
            </w:r>
            <w:r>
              <w:rPr>
                <w:noProof/>
                <w:webHidden/>
              </w:rPr>
              <w:fldChar w:fldCharType="begin"/>
            </w:r>
            <w:r>
              <w:rPr>
                <w:noProof/>
                <w:webHidden/>
              </w:rPr>
              <w:instrText xml:space="preserve"> PAGEREF _Toc58405316 \h </w:instrText>
            </w:r>
            <w:r>
              <w:rPr>
                <w:noProof/>
                <w:webHidden/>
              </w:rPr>
            </w:r>
            <w:r>
              <w:rPr>
                <w:noProof/>
                <w:webHidden/>
              </w:rPr>
              <w:fldChar w:fldCharType="separate"/>
            </w:r>
            <w:r>
              <w:rPr>
                <w:noProof/>
                <w:webHidden/>
              </w:rPr>
              <w:t>11</w:t>
            </w:r>
            <w:r>
              <w:rPr>
                <w:noProof/>
                <w:webHidden/>
              </w:rPr>
              <w:fldChar w:fldCharType="end"/>
            </w:r>
          </w:hyperlink>
        </w:p>
        <w:p w:rsidR="00AF1391" w:rsidRDefault="00AF1391" w14:paraId="31394EF1" w14:textId="0E8622A6">
          <w:pPr>
            <w:pStyle w:val="TOC2"/>
            <w:tabs>
              <w:tab w:val="right" w:leader="dot" w:pos="9350"/>
            </w:tabs>
            <w:rPr>
              <w:rFonts w:eastAsiaTheme="minorEastAsia"/>
              <w:noProof/>
            </w:rPr>
          </w:pPr>
          <w:hyperlink w:history="1" w:anchor="_Toc58405317">
            <w:r w:rsidRPr="00B625C7">
              <w:rPr>
                <w:rStyle w:val="Hyperlink"/>
                <w:noProof/>
              </w:rPr>
              <w:t>References</w:t>
            </w:r>
            <w:r>
              <w:rPr>
                <w:noProof/>
                <w:webHidden/>
              </w:rPr>
              <w:tab/>
            </w:r>
            <w:r>
              <w:rPr>
                <w:noProof/>
                <w:webHidden/>
              </w:rPr>
              <w:fldChar w:fldCharType="begin"/>
            </w:r>
            <w:r>
              <w:rPr>
                <w:noProof/>
                <w:webHidden/>
              </w:rPr>
              <w:instrText xml:space="preserve"> PAGEREF _Toc58405317 \h </w:instrText>
            </w:r>
            <w:r>
              <w:rPr>
                <w:noProof/>
                <w:webHidden/>
              </w:rPr>
            </w:r>
            <w:r>
              <w:rPr>
                <w:noProof/>
                <w:webHidden/>
              </w:rPr>
              <w:fldChar w:fldCharType="separate"/>
            </w:r>
            <w:r>
              <w:rPr>
                <w:noProof/>
                <w:webHidden/>
              </w:rPr>
              <w:t>13</w:t>
            </w:r>
            <w:r>
              <w:rPr>
                <w:noProof/>
                <w:webHidden/>
              </w:rPr>
              <w:fldChar w:fldCharType="end"/>
            </w:r>
          </w:hyperlink>
        </w:p>
        <w:p w:rsidR="003323CD" w:rsidRDefault="003323CD" w14:paraId="61A0A5DD" w14:textId="7E964EA9">
          <w:r>
            <w:rPr>
              <w:b/>
              <w:bCs/>
              <w:noProof/>
            </w:rPr>
            <w:fldChar w:fldCharType="end"/>
          </w:r>
        </w:p>
      </w:sdtContent>
    </w:sdt>
    <w:p w:rsidR="00D93092" w:rsidP="004E0517" w:rsidRDefault="00D93092" w14:paraId="1401EEC1" w14:textId="6FCBC1C3"/>
    <w:p w:rsidR="00F4429F" w:rsidP="00343B2E" w:rsidRDefault="00F4429F" w14:paraId="583E6076" w14:textId="3CEF9293">
      <w:pPr>
        <w:jc w:val="both"/>
        <w:rPr>
          <w:rFonts w:ascii="Times New Roman" w:hAnsi="Times New Roman" w:cs="Times New Roman"/>
          <w:sz w:val="24"/>
          <w:szCs w:val="24"/>
        </w:rPr>
      </w:pPr>
    </w:p>
    <w:p w:rsidR="00F4429F" w:rsidP="00F4429F" w:rsidRDefault="00F4429F" w14:paraId="46F4C4FE" w14:textId="08B8D975">
      <w:pPr>
        <w:jc w:val="center"/>
        <w:rPr>
          <w:rFonts w:ascii="Times New Roman" w:hAnsi="Times New Roman" w:cs="Times New Roman"/>
          <w:sz w:val="24"/>
          <w:szCs w:val="24"/>
        </w:rPr>
      </w:pPr>
    </w:p>
    <w:p w:rsidR="00343B2E" w:rsidP="00F4429F" w:rsidRDefault="00343B2E" w14:paraId="367B0D75" w14:textId="29C024EF">
      <w:pPr>
        <w:jc w:val="center"/>
        <w:rPr>
          <w:rFonts w:ascii="Times New Roman" w:hAnsi="Times New Roman" w:cs="Times New Roman"/>
          <w:sz w:val="24"/>
          <w:szCs w:val="24"/>
        </w:rPr>
      </w:pPr>
    </w:p>
    <w:p w:rsidR="00343B2E" w:rsidP="003323CD" w:rsidRDefault="00343B2E" w14:paraId="4B55C016" w14:textId="33B6EEF9">
      <w:pPr>
        <w:pStyle w:val="Style1"/>
      </w:pPr>
    </w:p>
    <w:p w:rsidR="00343B2E" w:rsidP="00F4429F" w:rsidRDefault="00343B2E" w14:paraId="0BFA9E47" w14:textId="2896B8C6">
      <w:pPr>
        <w:jc w:val="center"/>
        <w:rPr>
          <w:rFonts w:ascii="Times New Roman" w:hAnsi="Times New Roman" w:cs="Times New Roman"/>
          <w:sz w:val="24"/>
          <w:szCs w:val="24"/>
        </w:rPr>
      </w:pPr>
    </w:p>
    <w:p w:rsidR="00343B2E" w:rsidP="00F4429F" w:rsidRDefault="00343B2E" w14:paraId="393B5980" w14:textId="34E5479C">
      <w:pPr>
        <w:jc w:val="center"/>
        <w:rPr>
          <w:rFonts w:ascii="Times New Roman" w:hAnsi="Times New Roman" w:cs="Times New Roman"/>
          <w:sz w:val="24"/>
          <w:szCs w:val="24"/>
        </w:rPr>
      </w:pPr>
    </w:p>
    <w:p w:rsidR="00343B2E" w:rsidP="00F4429F" w:rsidRDefault="00343B2E" w14:paraId="5AF909C8" w14:textId="1EF91CE4">
      <w:pPr>
        <w:jc w:val="center"/>
        <w:rPr>
          <w:rFonts w:ascii="Times New Roman" w:hAnsi="Times New Roman" w:cs="Times New Roman"/>
          <w:sz w:val="24"/>
          <w:szCs w:val="24"/>
        </w:rPr>
      </w:pPr>
    </w:p>
    <w:p w:rsidR="00343B2E" w:rsidP="00F4429F" w:rsidRDefault="00343B2E" w14:paraId="55D62B7F" w14:textId="144F8AB8">
      <w:pPr>
        <w:jc w:val="center"/>
        <w:rPr>
          <w:rFonts w:ascii="Times New Roman" w:hAnsi="Times New Roman" w:cs="Times New Roman"/>
          <w:sz w:val="24"/>
          <w:szCs w:val="24"/>
        </w:rPr>
      </w:pPr>
    </w:p>
    <w:p w:rsidR="00343B2E" w:rsidP="00F4429F" w:rsidRDefault="00343B2E" w14:paraId="4A8977AE" w14:textId="16C128F4">
      <w:pPr>
        <w:jc w:val="center"/>
        <w:rPr>
          <w:rFonts w:ascii="Times New Roman" w:hAnsi="Times New Roman" w:cs="Times New Roman"/>
          <w:sz w:val="24"/>
          <w:szCs w:val="24"/>
        </w:rPr>
      </w:pPr>
    </w:p>
    <w:p w:rsidRPr="003323CD" w:rsidR="00343B2E" w:rsidP="00744F5C" w:rsidRDefault="00343B2E" w14:paraId="0BEC2748" w14:textId="0DDE8F08">
      <w:pPr>
        <w:pStyle w:val="Heading1"/>
      </w:pPr>
      <w:bookmarkStart w:name="_Toc58405299" w:id="0"/>
      <w:r w:rsidRPr="003323CD">
        <w:lastRenderedPageBreak/>
        <w:t>Project Link</w:t>
      </w:r>
      <w:bookmarkEnd w:id="0"/>
    </w:p>
    <w:p w:rsidR="00343B2E" w:rsidP="00343B2E" w:rsidRDefault="00343B2E" w14:paraId="60BF78AA" w14:textId="6AE386B0">
      <w:pPr>
        <w:rPr>
          <w:rFonts w:ascii="Times New Roman" w:hAnsi="Times New Roman" w:eastAsia="Times New Roman" w:cs="Times New Roman"/>
          <w:sz w:val="24"/>
          <w:szCs w:val="24"/>
        </w:rPr>
      </w:pPr>
      <w:r w:rsidRPr="6A3F5E24">
        <w:rPr>
          <w:rFonts w:ascii="Times New Roman" w:hAnsi="Times New Roman" w:eastAsia="Times New Roman" w:cs="Times New Roman"/>
          <w:sz w:val="24"/>
          <w:szCs w:val="24"/>
        </w:rPr>
        <w:t>Github Link:</w:t>
      </w:r>
      <w:r>
        <w:t xml:space="preserve"> </w:t>
      </w:r>
      <w:hyperlink w:history="1" r:id="rId9">
        <w:r w:rsidRPr="00AE2692">
          <w:rPr>
            <w:rStyle w:val="Hyperlink"/>
            <w:rFonts w:ascii="Times New Roman" w:hAnsi="Times New Roman" w:eastAsia="Times New Roman" w:cs="Times New Roman"/>
            <w:sz w:val="24"/>
            <w:szCs w:val="24"/>
          </w:rPr>
          <w:t>https://github.com/ncoombes95/SRA-311-Project</w:t>
        </w:r>
      </w:hyperlink>
      <w:r w:rsidRPr="5EB44F2E">
        <w:rPr>
          <w:rFonts w:ascii="Times New Roman" w:hAnsi="Times New Roman" w:eastAsia="Times New Roman" w:cs="Times New Roman"/>
          <w:sz w:val="24"/>
          <w:szCs w:val="24"/>
        </w:rPr>
        <w:t xml:space="preserve">  </w:t>
      </w:r>
    </w:p>
    <w:p w:rsidRPr="003323CD" w:rsidR="00343B2E" w:rsidP="00744F5C" w:rsidRDefault="00343B2E" w14:paraId="03A58204" w14:textId="28FD0498">
      <w:pPr>
        <w:pStyle w:val="Heading1"/>
      </w:pPr>
      <w:bookmarkStart w:name="_Toc58405300" w:id="1"/>
      <w:r w:rsidRPr="003323CD">
        <w:rPr>
          <w:rFonts w:eastAsia="Times New Roman"/>
        </w:rPr>
        <w:t>Executive Summary</w:t>
      </w:r>
      <w:bookmarkEnd w:id="1"/>
    </w:p>
    <w:p w:rsidR="00343B2E" w:rsidP="00343B2E" w:rsidRDefault="00343B2E" w14:paraId="7F798F04" w14:textId="03F8BB91">
      <w:r w:rsidRPr="001F7F18">
        <w:rPr>
          <w:rFonts w:ascii="Times New Roman" w:hAnsi="Times New Roman" w:eastAsia="Times New Roman" w:cs="Times New Roman"/>
          <w:sz w:val="24"/>
          <w:szCs w:val="24"/>
        </w:rPr>
        <w:t xml:space="preserve">The United Parcel Service, or UPS, is the global leader in package shipping and delivery and supply chain management. In 2019, UPS delivered 5.5 billion packages and documents globally. As in-store retail purchases by consumers decrease and remote work for businesses increase, the importance of functionality in daily operations will be vitally important to UPS. Our risk analysis will highlight the unique challenges associated with UPS in its delivery and supply chain management for businesses and the public. The SHEL Model below outlines the relationships of major assets. </w:t>
      </w:r>
    </w:p>
    <w:p w:rsidR="00343B2E" w:rsidP="00343B2E" w:rsidRDefault="00343B2E" w14:paraId="75709C2A" w14:textId="77777777">
      <w:pPr>
        <w:jc w:val="center"/>
      </w:pPr>
      <w:r>
        <w:rPr>
          <w:noProof/>
        </w:rPr>
        <w:drawing>
          <wp:inline distT="0" distB="0" distL="0" distR="0" wp14:anchorId="64FFC894" wp14:editId="168B1F78">
            <wp:extent cx="3314700" cy="2099310"/>
            <wp:effectExtent l="0" t="0" r="0" b="0"/>
            <wp:docPr id="2005679331" name="Picture 200567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46796" cy="2119637"/>
                    </a:xfrm>
                    <a:prstGeom prst="rect">
                      <a:avLst/>
                    </a:prstGeom>
                  </pic:spPr>
                </pic:pic>
              </a:graphicData>
            </a:graphic>
          </wp:inline>
        </w:drawing>
      </w:r>
    </w:p>
    <w:p w:rsidR="00343B2E" w:rsidP="00343B2E" w:rsidRDefault="00343B2E" w14:paraId="7C23E014" w14:textId="46BAF086">
      <w:r w:rsidRPr="001F7F18">
        <w:rPr>
          <w:rFonts w:ascii="Times New Roman" w:hAnsi="Times New Roman" w:eastAsia="Times New Roman" w:cs="Times New Roman"/>
          <w:sz w:val="24"/>
          <w:szCs w:val="24"/>
        </w:rPr>
        <w:t xml:space="preserve">For our risk analysis, we will be using the National Institute of Standards and Technology (NIST) Guide for Conducting Risk Assessments (Special Publication 800-30). This methodology will allow us to organize threats and vulnerabilities through the NIST’s four step process for risk assessment of framing, assessing, responding, and monitoring risks. </w:t>
      </w:r>
    </w:p>
    <w:p w:rsidR="00343B2E" w:rsidP="00343B2E" w:rsidRDefault="00343B2E" w14:paraId="075863F8" w14:textId="09F63E26">
      <w:pPr>
        <w:rPr>
          <w:rFonts w:ascii="Times New Roman" w:hAnsi="Times New Roman" w:eastAsia="Times New Roman" w:cs="Times New Roman"/>
          <w:sz w:val="24"/>
          <w:szCs w:val="24"/>
        </w:rPr>
      </w:pPr>
      <w:r w:rsidRPr="001F7F18">
        <w:rPr>
          <w:rFonts w:ascii="Times New Roman" w:hAnsi="Times New Roman" w:eastAsia="Times New Roman" w:cs="Times New Roman"/>
          <w:sz w:val="24"/>
          <w:szCs w:val="24"/>
        </w:rPr>
        <w:t xml:space="preserve">By completing this assessment, we will be able to highlight specific areas of focus that are </w:t>
      </w:r>
      <w:r>
        <w:rPr>
          <w:rFonts w:ascii="Times New Roman" w:hAnsi="Times New Roman" w:eastAsia="Times New Roman" w:cs="Times New Roman"/>
          <w:sz w:val="24"/>
          <w:szCs w:val="24"/>
        </w:rPr>
        <w:t xml:space="preserve">essential </w:t>
      </w:r>
      <w:r w:rsidRPr="001F7F18">
        <w:rPr>
          <w:rFonts w:ascii="Times New Roman" w:hAnsi="Times New Roman" w:eastAsia="Times New Roman" w:cs="Times New Roman"/>
          <w:sz w:val="24"/>
          <w:szCs w:val="24"/>
        </w:rPr>
        <w:t>to their successful delivery of 2.19 million packages and documents daily, protection of customer information, and the safety of its employees, specifically drivers. While some risks like driver safety may be small in scale and monetary value, the reputation of UPS rests in all business functions working together and on-time for customer satisfaction. With revenue of $74 billion in 2019, UPS should be able to spare no expense to manage any major or minor risk.</w:t>
      </w:r>
    </w:p>
    <w:p w:rsidRPr="00D93092" w:rsidR="00D93092" w:rsidP="00744F5C" w:rsidRDefault="00D93092" w14:paraId="542E2088" w14:textId="21C2FB59">
      <w:pPr>
        <w:pStyle w:val="Heading1"/>
      </w:pPr>
      <w:bookmarkStart w:name="_Toc58405301" w:id="2"/>
      <w:r w:rsidRPr="00D93092">
        <w:rPr>
          <w:rFonts w:eastAsia="Times New Roman"/>
        </w:rPr>
        <w:t>Background Information of the Organization</w:t>
      </w:r>
      <w:bookmarkEnd w:id="2"/>
    </w:p>
    <w:p w:rsidR="00D93092" w:rsidP="00D93092" w:rsidRDefault="00D93092" w14:paraId="08A2E06B" w14:textId="5FDCEBD7">
      <w:r w:rsidRPr="001F7F18">
        <w:rPr>
          <w:rFonts w:ascii="Times New Roman" w:hAnsi="Times New Roman" w:eastAsia="Times New Roman" w:cs="Times New Roman"/>
          <w:sz w:val="24"/>
          <w:szCs w:val="24"/>
        </w:rPr>
        <w:t xml:space="preserve">Established in 1907, UPS is a global courier and logistics company with its headquarters in Atlanta, GA. UPS’s CEO Carol Tome presides over 13 members in its Board of Directors which includes AT&amp;T’s CEO John T. Stankey, former Heinz CEO William R. Johnson, and CVS’s CFO Eva Boratto. UPS employs 528,000 employees globally, with more than 1,800 operating facilities and 125,000 cars, vans, etc in its packaging delivery fleet. In addition to its delivery fleet, UPS also has over 500 jets. It provides customer access in over 220 countries and </w:t>
      </w:r>
      <w:r w:rsidRPr="001F7F18">
        <w:rPr>
          <w:rFonts w:ascii="Times New Roman" w:hAnsi="Times New Roman" w:eastAsia="Times New Roman" w:cs="Times New Roman"/>
          <w:sz w:val="24"/>
          <w:szCs w:val="24"/>
        </w:rPr>
        <w:lastRenderedPageBreak/>
        <w:t xml:space="preserve">territories through its website ups.com, 5,200 retail stores, approximately 9,200 partnerships with authorized outlets, more than 37,000 UPS Drop Boxes, etc. UPS also offers supply chain management and operates UPS Freight through vehicles and trailers with 200 service centers across the U.S. </w:t>
      </w:r>
    </w:p>
    <w:p w:rsidR="00D93092" w:rsidP="00744F5C" w:rsidRDefault="00D93092" w14:paraId="6B8828A2" w14:textId="77777777">
      <w:pPr>
        <w:pStyle w:val="Heading2"/>
      </w:pPr>
      <w:bookmarkStart w:name="_Toc58405302" w:id="3"/>
      <w:r w:rsidRPr="00744F5C">
        <w:rPr>
          <w:rFonts w:eastAsia="Times New Roman"/>
        </w:rPr>
        <w:t>Mission of UPS</w:t>
      </w:r>
      <w:r w:rsidRPr="001F7F18">
        <w:rPr>
          <w:rFonts w:eastAsia="Times New Roman"/>
        </w:rPr>
        <w:t xml:space="preserve"> (in terms of multiple success criteria)</w:t>
      </w:r>
      <w:bookmarkEnd w:id="3"/>
    </w:p>
    <w:p w:rsidR="00D93092" w:rsidP="00D93092" w:rsidRDefault="00D93092" w14:paraId="618BBECB" w14:textId="77777777">
      <w:pPr>
        <w:pStyle w:val="ListParagraph"/>
        <w:numPr>
          <w:ilvl w:val="0"/>
          <w:numId w:val="2"/>
        </w:numPr>
        <w:rPr>
          <w:rFonts w:eastAsiaTheme="minorEastAsia"/>
          <w:sz w:val="24"/>
          <w:szCs w:val="24"/>
        </w:rPr>
      </w:pPr>
      <w:r w:rsidRPr="001F7F18">
        <w:rPr>
          <w:rFonts w:ascii="Times New Roman" w:hAnsi="Times New Roman" w:eastAsia="Times New Roman" w:cs="Times New Roman"/>
          <w:sz w:val="24"/>
          <w:szCs w:val="24"/>
        </w:rPr>
        <w:t xml:space="preserve">Distribution of packages for business and consumer customers in a safe and timely manner. </w:t>
      </w:r>
    </w:p>
    <w:p w:rsidR="00D93092" w:rsidP="00D93092" w:rsidRDefault="00D93092" w14:paraId="492359F9" w14:textId="77777777">
      <w:pPr>
        <w:pStyle w:val="ListParagraph"/>
        <w:numPr>
          <w:ilvl w:val="0"/>
          <w:numId w:val="2"/>
        </w:numPr>
        <w:rPr>
          <w:rFonts w:eastAsiaTheme="minorEastAsia"/>
          <w:sz w:val="24"/>
          <w:szCs w:val="24"/>
        </w:rPr>
      </w:pPr>
      <w:r w:rsidRPr="001F7F18">
        <w:rPr>
          <w:rFonts w:ascii="Times New Roman" w:hAnsi="Times New Roman" w:eastAsia="Times New Roman" w:cs="Times New Roman"/>
          <w:sz w:val="24"/>
          <w:szCs w:val="24"/>
        </w:rPr>
        <w:t xml:space="preserve">Solutions in shipping for business and consumer customers that is convenient. </w:t>
      </w:r>
    </w:p>
    <w:p w:rsidR="00D93092" w:rsidP="00D93092" w:rsidRDefault="00D93092" w14:paraId="6C3F7255" w14:textId="77777777">
      <w:pPr>
        <w:pStyle w:val="ListParagraph"/>
        <w:numPr>
          <w:ilvl w:val="0"/>
          <w:numId w:val="2"/>
        </w:numPr>
        <w:rPr>
          <w:rFonts w:eastAsiaTheme="minorEastAsia"/>
          <w:sz w:val="24"/>
          <w:szCs w:val="24"/>
        </w:rPr>
      </w:pPr>
      <w:r w:rsidRPr="001F7F18">
        <w:rPr>
          <w:rFonts w:ascii="Times New Roman" w:hAnsi="Times New Roman" w:eastAsia="Times New Roman" w:cs="Times New Roman"/>
          <w:sz w:val="24"/>
          <w:szCs w:val="24"/>
        </w:rPr>
        <w:t xml:space="preserve">Operation of supply chain management through logistics and distribution for speed of service. </w:t>
      </w:r>
    </w:p>
    <w:p w:rsidR="00D93092" w:rsidP="00D93092" w:rsidRDefault="00D93092" w14:paraId="59120EA7" w14:textId="77777777">
      <w:pPr>
        <w:pStyle w:val="ListParagraph"/>
        <w:numPr>
          <w:ilvl w:val="0"/>
          <w:numId w:val="2"/>
        </w:numPr>
        <w:rPr>
          <w:rFonts w:eastAsiaTheme="minorEastAsia"/>
          <w:sz w:val="24"/>
          <w:szCs w:val="24"/>
        </w:rPr>
      </w:pPr>
      <w:r w:rsidRPr="001F7F18">
        <w:rPr>
          <w:rFonts w:ascii="Times New Roman" w:hAnsi="Times New Roman" w:eastAsia="Times New Roman" w:cs="Times New Roman"/>
          <w:sz w:val="24"/>
          <w:szCs w:val="24"/>
        </w:rPr>
        <w:t>Innovation in supply chain management, logistics, and business solutions with a focus on data analytics and market insight.</w:t>
      </w:r>
    </w:p>
    <w:p w:rsidRPr="00786964" w:rsidR="00D93092" w:rsidP="00744F5C" w:rsidRDefault="00D93092" w14:paraId="24C90C8A" w14:textId="77777777">
      <w:pPr>
        <w:pStyle w:val="Heading2"/>
        <w:rPr>
          <w:rFonts w:eastAsia="Times New Roman"/>
        </w:rPr>
      </w:pPr>
      <w:bookmarkStart w:name="_Toc58405303" w:id="4"/>
      <w:r w:rsidRPr="00786964">
        <w:rPr>
          <w:rFonts w:eastAsia="Times New Roman"/>
        </w:rPr>
        <w:t>Essential Business Functions</w:t>
      </w:r>
      <w:bookmarkEnd w:id="4"/>
    </w:p>
    <w:p w:rsidR="00D93092" w:rsidP="00D93092" w:rsidRDefault="00D93092" w14:paraId="4FF2C4E0" w14:textId="77777777">
      <w:pPr>
        <w:pStyle w:val="ListParagraph"/>
        <w:numPr>
          <w:ilvl w:val="0"/>
          <w:numId w:val="1"/>
        </w:numPr>
        <w:rPr>
          <w:rFonts w:eastAsiaTheme="minorEastAsia"/>
          <w:sz w:val="24"/>
          <w:szCs w:val="24"/>
        </w:rPr>
      </w:pPr>
      <w:r w:rsidRPr="001F7F18">
        <w:rPr>
          <w:rFonts w:ascii="Times New Roman" w:hAnsi="Times New Roman" w:eastAsia="Times New Roman" w:cs="Times New Roman"/>
          <w:sz w:val="24"/>
          <w:szCs w:val="24"/>
        </w:rPr>
        <w:t>Information systems for supply chain management and logistics</w:t>
      </w:r>
    </w:p>
    <w:p w:rsidR="00D93092" w:rsidP="00D93092" w:rsidRDefault="00D93092" w14:paraId="2F77AECD" w14:textId="77777777">
      <w:pPr>
        <w:pStyle w:val="ListParagraph"/>
        <w:numPr>
          <w:ilvl w:val="0"/>
          <w:numId w:val="1"/>
        </w:numPr>
        <w:rPr>
          <w:rFonts w:eastAsiaTheme="minorEastAsia"/>
          <w:sz w:val="24"/>
          <w:szCs w:val="24"/>
        </w:rPr>
      </w:pPr>
      <w:r w:rsidRPr="001F7F18">
        <w:rPr>
          <w:rFonts w:ascii="Times New Roman" w:hAnsi="Times New Roman" w:eastAsia="Times New Roman" w:cs="Times New Roman"/>
          <w:sz w:val="24"/>
          <w:szCs w:val="24"/>
        </w:rPr>
        <w:t>Pick-up and delivery of parcels and documents with signatures where required</w:t>
      </w:r>
    </w:p>
    <w:p w:rsidR="00D93092" w:rsidP="00D93092" w:rsidRDefault="00D93092" w14:paraId="1D79B7C1" w14:textId="77777777">
      <w:pPr>
        <w:pStyle w:val="ListParagraph"/>
        <w:numPr>
          <w:ilvl w:val="0"/>
          <w:numId w:val="1"/>
        </w:numPr>
        <w:rPr>
          <w:rFonts w:eastAsiaTheme="minorEastAsia"/>
          <w:sz w:val="24"/>
          <w:szCs w:val="24"/>
        </w:rPr>
      </w:pPr>
      <w:r w:rsidRPr="001F7F18">
        <w:rPr>
          <w:rFonts w:ascii="Times New Roman" w:hAnsi="Times New Roman" w:eastAsia="Times New Roman" w:cs="Times New Roman"/>
          <w:sz w:val="24"/>
          <w:szCs w:val="24"/>
        </w:rPr>
        <w:t>Maintenance of fleet including vehicles, trucks, motorcycles, jets, tractor trailers</w:t>
      </w:r>
    </w:p>
    <w:p w:rsidR="00D93092" w:rsidP="00D93092" w:rsidRDefault="00D93092" w14:paraId="618B3350" w14:textId="77777777">
      <w:pPr>
        <w:pStyle w:val="ListParagraph"/>
        <w:numPr>
          <w:ilvl w:val="0"/>
          <w:numId w:val="1"/>
        </w:numPr>
        <w:rPr>
          <w:rFonts w:eastAsiaTheme="minorEastAsia"/>
          <w:sz w:val="24"/>
          <w:szCs w:val="24"/>
        </w:rPr>
      </w:pPr>
      <w:r w:rsidRPr="001F7F18">
        <w:rPr>
          <w:rFonts w:ascii="Times New Roman" w:hAnsi="Times New Roman" w:eastAsia="Times New Roman" w:cs="Times New Roman"/>
          <w:sz w:val="24"/>
          <w:szCs w:val="24"/>
        </w:rPr>
        <w:t>Customer satisfaction that packages and documents arrive on time and in good condition</w:t>
      </w:r>
    </w:p>
    <w:p w:rsidR="00D93092" w:rsidP="00D93092" w:rsidRDefault="00D93092" w14:paraId="343C79DA" w14:textId="77777777">
      <w:pPr>
        <w:pStyle w:val="ListParagraph"/>
        <w:numPr>
          <w:ilvl w:val="0"/>
          <w:numId w:val="1"/>
        </w:numPr>
        <w:rPr>
          <w:rFonts w:eastAsiaTheme="minorEastAsia"/>
          <w:sz w:val="24"/>
          <w:szCs w:val="24"/>
        </w:rPr>
      </w:pPr>
      <w:r w:rsidRPr="001F7F18">
        <w:rPr>
          <w:rFonts w:ascii="Times New Roman" w:hAnsi="Times New Roman" w:eastAsia="Times New Roman" w:cs="Times New Roman"/>
          <w:sz w:val="24"/>
          <w:szCs w:val="24"/>
        </w:rPr>
        <w:t xml:space="preserve">Operations at warehouses including using heavy machinery </w:t>
      </w:r>
    </w:p>
    <w:p w:rsidR="00D93092" w:rsidP="00D93092" w:rsidRDefault="00D93092" w14:paraId="0F1B685B" w14:textId="77777777">
      <w:pPr>
        <w:pStyle w:val="ListParagraph"/>
        <w:numPr>
          <w:ilvl w:val="0"/>
          <w:numId w:val="1"/>
        </w:numPr>
        <w:rPr>
          <w:rFonts w:eastAsiaTheme="minorEastAsia"/>
          <w:sz w:val="24"/>
          <w:szCs w:val="24"/>
        </w:rPr>
      </w:pPr>
      <w:r w:rsidRPr="001F7F18">
        <w:rPr>
          <w:rFonts w:ascii="Times New Roman" w:hAnsi="Times New Roman" w:eastAsia="Times New Roman" w:cs="Times New Roman"/>
          <w:sz w:val="24"/>
          <w:szCs w:val="24"/>
        </w:rPr>
        <w:t>Research and development of new technology for shipping and receiving</w:t>
      </w:r>
    </w:p>
    <w:p w:rsidR="00D93092" w:rsidP="00D93092" w:rsidRDefault="00D93092" w14:paraId="297F1B77" w14:textId="77777777">
      <w:pPr>
        <w:rPr>
          <w:rFonts w:ascii="Times New Roman" w:hAnsi="Times New Roman" w:eastAsia="Times New Roman" w:cs="Times New Roman"/>
          <w:sz w:val="24"/>
          <w:szCs w:val="24"/>
        </w:rPr>
      </w:pPr>
      <w:r w:rsidRPr="22135E04">
        <w:rPr>
          <w:rFonts w:ascii="Times New Roman" w:hAnsi="Times New Roman" w:eastAsia="Times New Roman" w:cs="Times New Roman"/>
          <w:sz w:val="24"/>
          <w:szCs w:val="24"/>
        </w:rPr>
        <w:t>Our assessment will focus on information security, pick-up and delivery, and fleet maintenance.</w:t>
      </w:r>
    </w:p>
    <w:p w:rsidR="00D93092" w:rsidP="00D93092" w:rsidRDefault="00D93092" w14:paraId="0C4D64BF" w14:textId="77777777">
      <w:r w:rsidRPr="22135E04">
        <w:rPr>
          <w:rFonts w:ascii="Times New Roman" w:hAnsi="Times New Roman" w:eastAsia="Times New Roman" w:cs="Times New Roman"/>
          <w:sz w:val="24"/>
          <w:szCs w:val="24"/>
        </w:rPr>
        <w:t xml:space="preserve">Information for a request can be generated through multiple outlets. When a request is started a tracking number and shipping label will be created. Once the information is storage in a database on a secure server, it can be accessed by facilities, drivers, and customers. Logistical routes will be created and once the transaction is complete, the server is updated. </w:t>
      </w:r>
    </w:p>
    <w:p w:rsidR="00D93092" w:rsidP="00D93092" w:rsidRDefault="00D93092" w14:paraId="053603F7" w14:textId="71D43015">
      <w:pPr>
        <w:jc w:val="center"/>
      </w:pPr>
      <w:r>
        <w:rPr>
          <w:noProof/>
        </w:rPr>
        <w:drawing>
          <wp:inline distT="0" distB="0" distL="0" distR="0" wp14:anchorId="64C0D614" wp14:editId="59B61674">
            <wp:extent cx="3219450" cy="1214001"/>
            <wp:effectExtent l="0" t="0" r="0" b="5715"/>
            <wp:docPr id="545874934" name="Picture 54587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67863" cy="1232257"/>
                    </a:xfrm>
                    <a:prstGeom prst="rect">
                      <a:avLst/>
                    </a:prstGeom>
                  </pic:spPr>
                </pic:pic>
              </a:graphicData>
            </a:graphic>
          </wp:inline>
        </w:drawing>
      </w:r>
      <w:r w:rsidRPr="22135E04">
        <w:rPr>
          <w:rFonts w:ascii="Times New Roman" w:hAnsi="Times New Roman" w:eastAsia="Times New Roman" w:cs="Times New Roman"/>
          <w:sz w:val="24"/>
          <w:szCs w:val="24"/>
        </w:rPr>
        <w:t xml:space="preserve"> </w:t>
      </w:r>
    </w:p>
    <w:p w:rsidR="00D93092" w:rsidP="00D93092" w:rsidRDefault="00D93092" w14:paraId="0442DD6C" w14:textId="77777777">
      <w:r w:rsidRPr="22135E04">
        <w:rPr>
          <w:rFonts w:ascii="Times New Roman" w:hAnsi="Times New Roman" w:eastAsia="Times New Roman" w:cs="Times New Roman"/>
          <w:sz w:val="24"/>
          <w:szCs w:val="24"/>
        </w:rPr>
        <w:t xml:space="preserve">In shipping and delivery, a request is made that generates a tracking number and label. The facility that receives this information will then dispatch a driver for pick-up. The package can then move on to facilities across the world depending on its destination. The receiving facility will then send the package out for delivery. Once the package is delivered the transaction is complete. </w:t>
      </w:r>
    </w:p>
    <w:p w:rsidR="00D93092" w:rsidP="00D93092" w:rsidRDefault="00D93092" w14:paraId="54E68D4A" w14:textId="7CDE28E7">
      <w:pPr>
        <w:jc w:val="center"/>
      </w:pPr>
      <w:r>
        <w:rPr>
          <w:noProof/>
        </w:rPr>
        <w:drawing>
          <wp:inline distT="0" distB="0" distL="0" distR="0" wp14:anchorId="6DFB9224" wp14:editId="672264B7">
            <wp:extent cx="4572000" cy="552450"/>
            <wp:effectExtent l="0" t="0" r="0" b="0"/>
            <wp:docPr id="1193018468" name="Picture 119301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r w:rsidRPr="6A3F5E24">
        <w:rPr>
          <w:rFonts w:ascii="Times New Roman" w:hAnsi="Times New Roman" w:eastAsia="Times New Roman" w:cs="Times New Roman"/>
          <w:sz w:val="24"/>
          <w:szCs w:val="24"/>
        </w:rPr>
        <w:t xml:space="preserve"> </w:t>
      </w:r>
      <w:r w:rsidRPr="22135E04">
        <w:rPr>
          <w:rFonts w:ascii="Times New Roman" w:hAnsi="Times New Roman" w:eastAsia="Times New Roman" w:cs="Times New Roman"/>
          <w:sz w:val="24"/>
          <w:szCs w:val="24"/>
        </w:rPr>
        <w:t xml:space="preserve"> </w:t>
      </w:r>
    </w:p>
    <w:p w:rsidR="00D93092" w:rsidP="00D93092" w:rsidRDefault="00D93092" w14:paraId="2BC743CC" w14:textId="48CF36B4">
      <w:r w:rsidRPr="22135E04">
        <w:rPr>
          <w:rFonts w:ascii="Times New Roman" w:hAnsi="Times New Roman" w:eastAsia="Times New Roman" w:cs="Times New Roman"/>
          <w:sz w:val="24"/>
          <w:szCs w:val="24"/>
        </w:rPr>
        <w:lastRenderedPageBreak/>
        <w:t xml:space="preserve">Maintenance of the delivery fleet is </w:t>
      </w:r>
      <w:r w:rsidR="006714A7">
        <w:rPr>
          <w:rFonts w:ascii="Times New Roman" w:hAnsi="Times New Roman" w:eastAsia="Times New Roman" w:cs="Times New Roman"/>
          <w:sz w:val="24"/>
          <w:szCs w:val="24"/>
        </w:rPr>
        <w:t>especially important</w:t>
      </w:r>
      <w:r w:rsidRPr="22135E04">
        <w:rPr>
          <w:rFonts w:ascii="Times New Roman" w:hAnsi="Times New Roman" w:eastAsia="Times New Roman" w:cs="Times New Roman"/>
          <w:sz w:val="24"/>
          <w:szCs w:val="24"/>
        </w:rPr>
        <w:t xml:space="preserve"> to ensure packages are delivered on time for customer satisfaction. Preventative maintenance could be required depending on amount of use or season. Maintenance could be required if mechanical issues occur. A vehicle would be made unavailable while it is in for maintenance. Once maintenance is complete, the vehicle would be made available again for pick-ups and deliveries. </w:t>
      </w:r>
    </w:p>
    <w:p w:rsidR="00D93092" w:rsidP="00D93092" w:rsidRDefault="00D93092" w14:paraId="1680C2E0" w14:textId="77777777">
      <w:pPr>
        <w:jc w:val="center"/>
      </w:pPr>
      <w:r>
        <w:rPr>
          <w:noProof/>
        </w:rPr>
        <w:drawing>
          <wp:inline distT="0" distB="0" distL="0" distR="0" wp14:anchorId="2D7EA137" wp14:editId="1895A4AA">
            <wp:extent cx="3257550" cy="827961"/>
            <wp:effectExtent l="0" t="0" r="0" b="0"/>
            <wp:docPr id="76715953" name="Picture 7671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8061" cy="873841"/>
                    </a:xfrm>
                    <a:prstGeom prst="rect">
                      <a:avLst/>
                    </a:prstGeom>
                  </pic:spPr>
                </pic:pic>
              </a:graphicData>
            </a:graphic>
          </wp:inline>
        </w:drawing>
      </w:r>
      <w:r w:rsidRPr="6A3F5E24">
        <w:rPr>
          <w:rFonts w:ascii="Times New Roman" w:hAnsi="Times New Roman" w:eastAsia="Times New Roman" w:cs="Times New Roman"/>
          <w:sz w:val="24"/>
          <w:szCs w:val="24"/>
        </w:rPr>
        <w:t xml:space="preserve"> </w:t>
      </w:r>
    </w:p>
    <w:p w:rsidRPr="004E0517" w:rsidR="004E0517" w:rsidP="00744F5C" w:rsidRDefault="004E0517" w14:paraId="548C6A51" w14:textId="7076E272">
      <w:pPr>
        <w:pStyle w:val="Heading1"/>
        <w:rPr>
          <w:rFonts w:eastAsia="Times New Roman"/>
        </w:rPr>
      </w:pPr>
      <w:bookmarkStart w:name="_Toc58405304" w:id="5"/>
      <w:r w:rsidRPr="004E0517">
        <w:rPr>
          <w:rFonts w:eastAsia="Times New Roman"/>
        </w:rPr>
        <w:t>Stakeholder Analysis</w:t>
      </w:r>
      <w:bookmarkEnd w:id="5"/>
    </w:p>
    <w:tbl>
      <w:tblPr>
        <w:tblW w:w="9740" w:type="dxa"/>
        <w:tblLook w:val="04A0" w:firstRow="1" w:lastRow="0" w:firstColumn="1" w:lastColumn="0" w:noHBand="0" w:noVBand="1"/>
      </w:tblPr>
      <w:tblGrid>
        <w:gridCol w:w="4608"/>
        <w:gridCol w:w="1240"/>
        <w:gridCol w:w="1281"/>
        <w:gridCol w:w="1240"/>
        <w:gridCol w:w="1371"/>
      </w:tblGrid>
      <w:tr w:rsidRPr="004E0517" w:rsidR="004E0517" w:rsidTr="004E0517" w14:paraId="10987C68" w14:textId="77777777">
        <w:trPr>
          <w:trHeight w:val="315"/>
        </w:trPr>
        <w:tc>
          <w:tcPr>
            <w:tcW w:w="4780"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4E0517" w:rsidR="004E0517" w:rsidP="004E0517" w:rsidRDefault="004E0517" w14:paraId="07185E78"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 xml:space="preserve">Major Stakeholders </w:t>
            </w:r>
          </w:p>
        </w:tc>
        <w:tc>
          <w:tcPr>
            <w:tcW w:w="1240" w:type="dxa"/>
            <w:tcBorders>
              <w:top w:val="single" w:color="auto" w:sz="4" w:space="0"/>
              <w:left w:val="nil"/>
              <w:bottom w:val="single" w:color="auto" w:sz="4" w:space="0"/>
              <w:right w:val="single" w:color="auto" w:sz="4" w:space="0"/>
            </w:tcBorders>
            <w:shd w:val="clear" w:color="000000" w:fill="EBF1DE"/>
            <w:noWrap/>
            <w:vAlign w:val="center"/>
            <w:hideMark/>
          </w:tcPr>
          <w:p w:rsidRPr="004E0517" w:rsidR="004E0517" w:rsidP="004E0517" w:rsidRDefault="004E0517" w14:paraId="4CECD67E"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Urgency</w:t>
            </w:r>
          </w:p>
        </w:tc>
        <w:tc>
          <w:tcPr>
            <w:tcW w:w="1240" w:type="dxa"/>
            <w:tcBorders>
              <w:top w:val="single" w:color="auto" w:sz="4" w:space="0"/>
              <w:left w:val="nil"/>
              <w:bottom w:val="single" w:color="auto" w:sz="4" w:space="0"/>
              <w:right w:val="single" w:color="auto" w:sz="4" w:space="0"/>
            </w:tcBorders>
            <w:shd w:val="clear" w:color="000000" w:fill="EBF1DE"/>
            <w:noWrap/>
            <w:vAlign w:val="center"/>
            <w:hideMark/>
          </w:tcPr>
          <w:p w:rsidRPr="004E0517" w:rsidR="004E0517" w:rsidP="004E0517" w:rsidRDefault="004E0517" w14:paraId="34ED82C1"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Legitimacy</w:t>
            </w:r>
          </w:p>
        </w:tc>
        <w:tc>
          <w:tcPr>
            <w:tcW w:w="1240" w:type="dxa"/>
            <w:tcBorders>
              <w:top w:val="single" w:color="auto" w:sz="4" w:space="0"/>
              <w:left w:val="nil"/>
              <w:bottom w:val="single" w:color="auto" w:sz="4" w:space="0"/>
              <w:right w:val="single" w:color="auto" w:sz="4" w:space="0"/>
            </w:tcBorders>
            <w:shd w:val="clear" w:color="000000" w:fill="EBF1DE"/>
            <w:noWrap/>
            <w:vAlign w:val="center"/>
            <w:hideMark/>
          </w:tcPr>
          <w:p w:rsidRPr="004E0517" w:rsidR="004E0517" w:rsidP="004E0517" w:rsidRDefault="004E0517" w14:paraId="16BDFDEF"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 xml:space="preserve">Capacity </w:t>
            </w:r>
          </w:p>
        </w:tc>
        <w:tc>
          <w:tcPr>
            <w:tcW w:w="1240" w:type="dxa"/>
            <w:tcBorders>
              <w:top w:val="single" w:color="auto" w:sz="4" w:space="0"/>
              <w:left w:val="nil"/>
              <w:bottom w:val="single" w:color="auto" w:sz="4" w:space="0"/>
              <w:right w:val="single" w:color="auto" w:sz="4" w:space="0"/>
            </w:tcBorders>
            <w:shd w:val="clear" w:color="000000" w:fill="EBF1DE"/>
            <w:noWrap/>
            <w:vAlign w:val="center"/>
            <w:hideMark/>
          </w:tcPr>
          <w:p w:rsidRPr="004E0517" w:rsidR="004E0517" w:rsidP="004E0517" w:rsidRDefault="004E0517" w14:paraId="11C368CF"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Importance</w:t>
            </w:r>
          </w:p>
        </w:tc>
      </w:tr>
      <w:tr w:rsidRPr="004E0517" w:rsidR="004E0517" w:rsidTr="004E0517" w14:paraId="01866057" w14:textId="77777777">
        <w:trPr>
          <w:trHeight w:val="315"/>
        </w:trPr>
        <w:tc>
          <w:tcPr>
            <w:tcW w:w="4780" w:type="dxa"/>
            <w:tcBorders>
              <w:top w:val="nil"/>
              <w:left w:val="single" w:color="auto" w:sz="4" w:space="0"/>
              <w:bottom w:val="single" w:color="auto" w:sz="4" w:space="0"/>
              <w:right w:val="single" w:color="auto" w:sz="4" w:space="0"/>
            </w:tcBorders>
            <w:shd w:val="clear" w:color="000000" w:fill="EBF1DE"/>
            <w:vAlign w:val="center"/>
            <w:hideMark/>
          </w:tcPr>
          <w:p w:rsidRPr="004E0517" w:rsidR="004E0517" w:rsidP="004E0517" w:rsidRDefault="004E0517" w14:paraId="44E965E4"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Definitive- CEO, Board Members</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48F6B9F0"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3C480B6C"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32EB02E8"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7CDB3B7F"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4</w:t>
            </w:r>
          </w:p>
        </w:tc>
      </w:tr>
      <w:tr w:rsidRPr="004E0517" w:rsidR="004E0517" w:rsidTr="004E0517" w14:paraId="3EA13C65" w14:textId="77777777">
        <w:trPr>
          <w:trHeight w:val="630"/>
        </w:trPr>
        <w:tc>
          <w:tcPr>
            <w:tcW w:w="4780" w:type="dxa"/>
            <w:tcBorders>
              <w:top w:val="nil"/>
              <w:left w:val="single" w:color="auto" w:sz="4" w:space="0"/>
              <w:bottom w:val="single" w:color="auto" w:sz="4" w:space="0"/>
              <w:right w:val="single" w:color="auto" w:sz="4" w:space="0"/>
            </w:tcBorders>
            <w:shd w:val="clear" w:color="000000" w:fill="EBF1DE"/>
            <w:vAlign w:val="center"/>
            <w:hideMark/>
          </w:tcPr>
          <w:p w:rsidRPr="004E0517" w:rsidR="004E0517" w:rsidP="004E0517" w:rsidRDefault="004E0517" w14:paraId="1B2A9DFC"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Dominant- Governments (Domestic and International)</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4CFB7EC0"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 </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673A658D"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4656B3A1"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0736066D"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2</w:t>
            </w:r>
          </w:p>
        </w:tc>
      </w:tr>
      <w:tr w:rsidRPr="004E0517" w:rsidR="004E0517" w:rsidTr="004E0517" w14:paraId="29F12412" w14:textId="77777777">
        <w:trPr>
          <w:trHeight w:val="630"/>
        </w:trPr>
        <w:tc>
          <w:tcPr>
            <w:tcW w:w="4780" w:type="dxa"/>
            <w:tcBorders>
              <w:top w:val="nil"/>
              <w:left w:val="single" w:color="auto" w:sz="4" w:space="0"/>
              <w:bottom w:val="single" w:color="auto" w:sz="4" w:space="0"/>
              <w:right w:val="single" w:color="auto" w:sz="4" w:space="0"/>
            </w:tcBorders>
            <w:shd w:val="clear" w:color="000000" w:fill="EBF1DE"/>
            <w:vAlign w:val="center"/>
            <w:hideMark/>
          </w:tcPr>
          <w:p w:rsidRPr="004E0517" w:rsidR="004E0517" w:rsidP="004E0517" w:rsidRDefault="004E0517" w14:paraId="4A96BC64"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Dangerous- Disgruntled Employees, Hackers, Robbers</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13C63008"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352D655E"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 </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2996A569"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135473F4"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3</w:t>
            </w:r>
          </w:p>
        </w:tc>
      </w:tr>
      <w:tr w:rsidRPr="004E0517" w:rsidR="004E0517" w:rsidTr="004E0517" w14:paraId="65F9719C" w14:textId="77777777">
        <w:trPr>
          <w:trHeight w:val="315"/>
        </w:trPr>
        <w:tc>
          <w:tcPr>
            <w:tcW w:w="4780" w:type="dxa"/>
            <w:tcBorders>
              <w:top w:val="nil"/>
              <w:left w:val="single" w:color="auto" w:sz="4" w:space="0"/>
              <w:bottom w:val="single" w:color="auto" w:sz="4" w:space="0"/>
              <w:right w:val="single" w:color="auto" w:sz="4" w:space="0"/>
            </w:tcBorders>
            <w:shd w:val="clear" w:color="000000" w:fill="EBF1DE"/>
            <w:vAlign w:val="center"/>
            <w:hideMark/>
          </w:tcPr>
          <w:p w:rsidRPr="004E0517" w:rsidR="004E0517" w:rsidP="004E0517" w:rsidRDefault="004E0517" w14:paraId="23018482"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Dependent- Customers</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0C452B06"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549036B5"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X</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3B8F9A11"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 </w:t>
            </w:r>
          </w:p>
        </w:tc>
        <w:tc>
          <w:tcPr>
            <w:tcW w:w="1240" w:type="dxa"/>
            <w:tcBorders>
              <w:top w:val="nil"/>
              <w:left w:val="nil"/>
              <w:bottom w:val="single" w:color="auto" w:sz="4" w:space="0"/>
              <w:right w:val="single" w:color="auto" w:sz="4" w:space="0"/>
            </w:tcBorders>
            <w:shd w:val="clear" w:color="auto" w:fill="auto"/>
            <w:noWrap/>
            <w:vAlign w:val="center"/>
            <w:hideMark/>
          </w:tcPr>
          <w:p w:rsidRPr="004E0517" w:rsidR="004E0517" w:rsidP="004E0517" w:rsidRDefault="004E0517" w14:paraId="0F164FA0" w14:textId="77777777">
            <w:pPr>
              <w:spacing w:after="0" w:line="240" w:lineRule="auto"/>
              <w:jc w:val="center"/>
              <w:rPr>
                <w:rFonts w:ascii="Calibri" w:hAnsi="Calibri" w:eastAsia="Times New Roman" w:cs="Times New Roman"/>
                <w:b/>
                <w:bCs/>
                <w:color w:val="000000"/>
                <w:sz w:val="24"/>
                <w:szCs w:val="24"/>
              </w:rPr>
            </w:pPr>
            <w:r w:rsidRPr="004E0517">
              <w:rPr>
                <w:rFonts w:ascii="Calibri" w:hAnsi="Calibri" w:eastAsia="Times New Roman" w:cs="Times New Roman"/>
                <w:b/>
                <w:bCs/>
                <w:color w:val="000000"/>
                <w:sz w:val="24"/>
                <w:szCs w:val="24"/>
              </w:rPr>
              <w:t>3</w:t>
            </w:r>
          </w:p>
        </w:tc>
      </w:tr>
    </w:tbl>
    <w:p w:rsidR="004E0517" w:rsidP="004E0517" w:rsidRDefault="004E0517" w14:paraId="631C4E49" w14:textId="77777777">
      <w:pPr>
        <w:spacing w:after="0"/>
        <w:rPr>
          <w:rFonts w:ascii="Times New Roman" w:hAnsi="Times New Roman" w:eastAsia="Times New Roman" w:cs="Times New Roman"/>
          <w:sz w:val="24"/>
          <w:szCs w:val="24"/>
        </w:rPr>
      </w:pPr>
    </w:p>
    <w:p w:rsidR="004E0517" w:rsidP="004E0517" w:rsidRDefault="004E0517" w14:paraId="330DDAF4" w14:textId="6B2770B9">
      <w:r w:rsidRPr="22135E04">
        <w:rPr>
          <w:rFonts w:ascii="Times New Roman" w:hAnsi="Times New Roman" w:eastAsia="Times New Roman" w:cs="Times New Roman"/>
          <w:sz w:val="24"/>
          <w:szCs w:val="24"/>
        </w:rPr>
        <w:t>By understanding the stakeholders and their levels of importance, we can see who will be affected most by risks and solutions we will propose. Additionally, we can better assess what specific risks will have the greatest impact on the business functions of UPS with consideration of these stakeholders and who has the power or perceived power to influence. For instance, if we find a high frequency of vehicle maintenance or accidents involving drivers, we will be able to offer solutions to reduce those risks which will decrease lawsuits and the number of affected employees. Mitigating risk of loss of tracking information will impact customer satisfaction. The information provided by this assessment will impact definitive stakeholders in terms of profit.</w:t>
      </w:r>
    </w:p>
    <w:p w:rsidRPr="00E44783" w:rsidR="00343B2E" w:rsidP="00744F5C" w:rsidRDefault="00E44783" w14:paraId="35B30706" w14:textId="03C4CEBD">
      <w:pPr>
        <w:pStyle w:val="Heading1"/>
      </w:pPr>
      <w:bookmarkStart w:name="_Toc58405305" w:id="6"/>
      <w:r>
        <w:t>Project Scope Statement</w:t>
      </w:r>
      <w:bookmarkEnd w:id="6"/>
    </w:p>
    <w:p w:rsidR="00882CD7" w:rsidP="00882CD7" w:rsidRDefault="0087743F" w14:paraId="00C146A1" w14:textId="549BCA28">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w:t>
      </w:r>
      <w:r w:rsidRPr="1438EC2A" w:rsidR="00882CD7">
        <w:rPr>
          <w:rFonts w:ascii="Times New Roman" w:hAnsi="Times New Roman" w:eastAsia="Times New Roman" w:cs="Times New Roman"/>
          <w:sz w:val="24"/>
          <w:szCs w:val="24"/>
        </w:rPr>
        <w:t>will focus on are</w:t>
      </w:r>
      <w:r w:rsidR="00882CD7">
        <w:rPr>
          <w:rFonts w:ascii="Times New Roman" w:hAnsi="Times New Roman" w:eastAsia="Times New Roman" w:cs="Times New Roman"/>
          <w:sz w:val="24"/>
          <w:szCs w:val="24"/>
        </w:rPr>
        <w:t xml:space="preserve"> information security,</w:t>
      </w:r>
      <w:r w:rsidRPr="1438EC2A" w:rsidR="00882CD7">
        <w:rPr>
          <w:rFonts w:ascii="Times New Roman" w:hAnsi="Times New Roman" w:eastAsia="Times New Roman" w:cs="Times New Roman"/>
          <w:sz w:val="24"/>
          <w:szCs w:val="24"/>
        </w:rPr>
        <w:t xml:space="preserve"> shipping</w:t>
      </w:r>
      <w:r w:rsidR="00882CD7">
        <w:rPr>
          <w:rFonts w:ascii="Times New Roman" w:hAnsi="Times New Roman" w:eastAsia="Times New Roman" w:cs="Times New Roman"/>
          <w:sz w:val="24"/>
          <w:szCs w:val="24"/>
        </w:rPr>
        <w:t>/</w:t>
      </w:r>
      <w:r w:rsidRPr="1438EC2A" w:rsidR="00882CD7">
        <w:rPr>
          <w:rFonts w:ascii="Times New Roman" w:hAnsi="Times New Roman" w:eastAsia="Times New Roman" w:cs="Times New Roman"/>
          <w:sz w:val="24"/>
          <w:szCs w:val="24"/>
        </w:rPr>
        <w:t>delivery</w:t>
      </w:r>
      <w:r w:rsidR="00882CD7">
        <w:rPr>
          <w:rFonts w:ascii="Times New Roman" w:hAnsi="Times New Roman" w:eastAsia="Times New Roman" w:cs="Times New Roman"/>
          <w:sz w:val="24"/>
          <w:szCs w:val="24"/>
        </w:rPr>
        <w:t>,</w:t>
      </w:r>
      <w:r w:rsidRPr="1438EC2A" w:rsidR="00882CD7">
        <w:rPr>
          <w:rFonts w:ascii="Times New Roman" w:hAnsi="Times New Roman" w:eastAsia="Times New Roman" w:cs="Times New Roman"/>
          <w:sz w:val="24"/>
          <w:szCs w:val="24"/>
        </w:rPr>
        <w:t xml:space="preserve"> and fleet maintenance. The reasoning for this is that the project will be focusing on the importance and efficiency of </w:t>
      </w:r>
      <w:r w:rsidR="00882CD7">
        <w:rPr>
          <w:rFonts w:ascii="Times New Roman" w:hAnsi="Times New Roman" w:eastAsia="Times New Roman" w:cs="Times New Roman"/>
          <w:sz w:val="24"/>
          <w:szCs w:val="24"/>
        </w:rPr>
        <w:t>UPS’s</w:t>
      </w:r>
      <w:r w:rsidRPr="1438EC2A" w:rsidR="00882CD7">
        <w:rPr>
          <w:rFonts w:ascii="Times New Roman" w:hAnsi="Times New Roman" w:eastAsia="Times New Roman" w:cs="Times New Roman"/>
          <w:sz w:val="24"/>
          <w:szCs w:val="24"/>
        </w:rPr>
        <w:t xml:space="preserve"> ability to deliver packages safely and efficiently to its </w:t>
      </w:r>
      <w:r w:rsidR="00882CD7">
        <w:rPr>
          <w:rFonts w:ascii="Times New Roman" w:hAnsi="Times New Roman" w:eastAsia="Times New Roman" w:cs="Times New Roman"/>
          <w:sz w:val="24"/>
          <w:szCs w:val="24"/>
        </w:rPr>
        <w:t>customers</w:t>
      </w:r>
      <w:r w:rsidRPr="1438EC2A" w:rsidR="00882CD7">
        <w:rPr>
          <w:rFonts w:ascii="Times New Roman" w:hAnsi="Times New Roman" w:eastAsia="Times New Roman" w:cs="Times New Roman"/>
          <w:sz w:val="24"/>
          <w:szCs w:val="24"/>
        </w:rPr>
        <w:t xml:space="preserve">. Without </w:t>
      </w:r>
      <w:r w:rsidR="00882CD7">
        <w:rPr>
          <w:rFonts w:ascii="Times New Roman" w:hAnsi="Times New Roman" w:eastAsia="Times New Roman" w:cs="Times New Roman"/>
          <w:sz w:val="24"/>
          <w:szCs w:val="24"/>
        </w:rPr>
        <w:t>these three business functions, UPS’s main form of economic stability would faulter and potentially grind to a halt, crippling the company. This, in comparison with UPS’s other divisions</w:t>
      </w:r>
      <w:r>
        <w:rPr>
          <w:rFonts w:ascii="Times New Roman" w:hAnsi="Times New Roman" w:eastAsia="Times New Roman" w:cs="Times New Roman"/>
          <w:sz w:val="24"/>
          <w:szCs w:val="24"/>
        </w:rPr>
        <w:t>,</w:t>
      </w:r>
      <w:r w:rsidR="00882CD7">
        <w:rPr>
          <w:rFonts w:ascii="Times New Roman" w:hAnsi="Times New Roman" w:eastAsia="Times New Roman" w:cs="Times New Roman"/>
          <w:sz w:val="24"/>
          <w:szCs w:val="24"/>
        </w:rPr>
        <w:t xml:space="preserve"> would be deemed as their most important. UPS started small but eventually grew to its current size to be the global leader in package delivery</w:t>
      </w:r>
      <w:r w:rsidR="00613704">
        <w:rPr>
          <w:rFonts w:ascii="Times New Roman" w:hAnsi="Times New Roman" w:eastAsia="Times New Roman" w:cs="Times New Roman"/>
          <w:sz w:val="24"/>
          <w:szCs w:val="24"/>
        </w:rPr>
        <w:t xml:space="preserve"> and logistics</w:t>
      </w:r>
      <w:r w:rsidR="00882CD7">
        <w:rPr>
          <w:rFonts w:ascii="Times New Roman" w:hAnsi="Times New Roman" w:eastAsia="Times New Roman" w:cs="Times New Roman"/>
          <w:sz w:val="24"/>
          <w:szCs w:val="24"/>
        </w:rPr>
        <w:t xml:space="preserve">. The only way for its reputation to be upheld is by its ability to coordinate shipping and delivery of billions of packages by </w:t>
      </w:r>
      <w:r w:rsidR="00613704">
        <w:rPr>
          <w:rFonts w:ascii="Times New Roman" w:hAnsi="Times New Roman" w:eastAsia="Times New Roman" w:cs="Times New Roman"/>
          <w:sz w:val="24"/>
          <w:szCs w:val="24"/>
        </w:rPr>
        <w:t>ensuring</w:t>
      </w:r>
      <w:r w:rsidR="00882CD7">
        <w:rPr>
          <w:rFonts w:ascii="Times New Roman" w:hAnsi="Times New Roman" w:eastAsia="Times New Roman" w:cs="Times New Roman"/>
          <w:sz w:val="24"/>
          <w:szCs w:val="24"/>
        </w:rPr>
        <w:t xml:space="preserve"> their systems are secure, shipping and delivery is timely, and vehicles are functioning properly. </w:t>
      </w:r>
    </w:p>
    <w:p w:rsidRPr="008E17C0" w:rsidR="008E17C0" w:rsidP="00744F5C" w:rsidRDefault="008E17C0" w14:paraId="6FF77FE4" w14:textId="1E78734E">
      <w:pPr>
        <w:pStyle w:val="Heading2"/>
        <w:rPr>
          <w:rFonts w:eastAsia="Times New Roman"/>
        </w:rPr>
      </w:pPr>
      <w:bookmarkStart w:name="_Toc58405306" w:id="7"/>
      <w:r w:rsidRPr="008E17C0">
        <w:rPr>
          <w:rFonts w:eastAsia="Times New Roman"/>
        </w:rPr>
        <w:t>Assets</w:t>
      </w:r>
      <w:bookmarkEnd w:id="7"/>
    </w:p>
    <w:tbl>
      <w:tblPr>
        <w:tblW w:w="6140" w:type="dxa"/>
        <w:tblLook w:val="04A0" w:firstRow="1" w:lastRow="0" w:firstColumn="1" w:lastColumn="0" w:noHBand="0" w:noVBand="1"/>
      </w:tblPr>
      <w:tblGrid>
        <w:gridCol w:w="1323"/>
        <w:gridCol w:w="4817"/>
      </w:tblGrid>
      <w:tr w:rsidRPr="008E17C0" w:rsidR="008E17C0" w:rsidTr="008E17C0" w14:paraId="250C6C98" w14:textId="77777777">
        <w:trPr>
          <w:trHeight w:val="300"/>
        </w:trPr>
        <w:tc>
          <w:tcPr>
            <w:tcW w:w="6140" w:type="dxa"/>
            <w:gridSpan w:val="2"/>
            <w:tcBorders>
              <w:top w:val="single" w:color="auto" w:sz="4" w:space="0"/>
              <w:left w:val="single" w:color="auto" w:sz="4" w:space="0"/>
              <w:bottom w:val="single" w:color="auto" w:sz="4" w:space="0"/>
              <w:right w:val="single" w:color="000000" w:sz="4" w:space="0"/>
            </w:tcBorders>
            <w:shd w:val="clear" w:color="000000" w:fill="EBF1DE"/>
            <w:noWrap/>
            <w:vAlign w:val="bottom"/>
            <w:hideMark/>
          </w:tcPr>
          <w:p w:rsidRPr="008E17C0" w:rsidR="008E17C0" w:rsidP="008E17C0" w:rsidRDefault="008E17C0" w14:paraId="5031E434" w14:textId="77777777">
            <w:pPr>
              <w:spacing w:after="0" w:line="240" w:lineRule="auto"/>
              <w:jc w:val="center"/>
              <w:rPr>
                <w:rFonts w:ascii="Calibri" w:hAnsi="Calibri" w:eastAsia="Times New Roman" w:cs="Times New Roman"/>
                <w:b/>
                <w:bCs/>
                <w:color w:val="000000"/>
              </w:rPr>
            </w:pPr>
            <w:r w:rsidRPr="008E17C0">
              <w:rPr>
                <w:rFonts w:ascii="Calibri" w:hAnsi="Calibri" w:eastAsia="Times New Roman" w:cs="Times New Roman"/>
                <w:b/>
                <w:bCs/>
                <w:color w:val="000000"/>
              </w:rPr>
              <w:t>Information Security</w:t>
            </w:r>
          </w:p>
        </w:tc>
      </w:tr>
      <w:tr w:rsidRPr="008E17C0" w:rsidR="008E17C0" w:rsidTr="008E17C0" w14:paraId="7D93EE67"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68AEC48E"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lastRenderedPageBreak/>
              <w:t>Data</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13B7646A"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Customer Records, Shipment Information</w:t>
            </w:r>
          </w:p>
        </w:tc>
      </w:tr>
      <w:tr w:rsidRPr="008E17C0" w:rsidR="008E17C0" w:rsidTr="008E17C0" w14:paraId="462B095B"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2F2DD297"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Software</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0BF4B75C"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Databases, Tracking Systems</w:t>
            </w:r>
          </w:p>
        </w:tc>
      </w:tr>
      <w:tr w:rsidRPr="008E17C0" w:rsidR="008E17C0" w:rsidTr="008E17C0" w14:paraId="61B6C27C"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7C12C617"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Hardware</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77465EFB"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Computers/Laptops/Tablets, Servers, Routers</w:t>
            </w:r>
          </w:p>
        </w:tc>
      </w:tr>
      <w:tr w:rsidRPr="008E17C0" w:rsidR="008E17C0" w:rsidTr="008E17C0" w14:paraId="7CB00BFD"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3B500044"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Employees</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0726F5CA"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 xml:space="preserve">Information Security Personnel </w:t>
            </w:r>
          </w:p>
        </w:tc>
      </w:tr>
      <w:tr w:rsidRPr="008E17C0" w:rsidR="008E17C0" w:rsidTr="008E17C0" w14:paraId="1F48CDF8"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08C8DF4D"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Machinery</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1D2B4027"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See Hardware</w:t>
            </w:r>
          </w:p>
        </w:tc>
      </w:tr>
      <w:tr w:rsidRPr="008E17C0" w:rsidR="008E17C0" w:rsidTr="008E17C0" w14:paraId="4CEED41C"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4712669B"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Facilities</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27F71509" w14:textId="76203DA2">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 xml:space="preserve">Data </w:t>
            </w:r>
            <w:r>
              <w:rPr>
                <w:rFonts w:ascii="Calibri" w:hAnsi="Calibri" w:eastAsia="Times New Roman" w:cs="Times New Roman"/>
                <w:color w:val="000000"/>
              </w:rPr>
              <w:t>Centers</w:t>
            </w:r>
            <w:r w:rsidRPr="008E17C0">
              <w:rPr>
                <w:rFonts w:ascii="Calibri" w:hAnsi="Calibri" w:eastAsia="Times New Roman" w:cs="Times New Roman"/>
                <w:color w:val="000000"/>
              </w:rPr>
              <w:t>, Warehouses, Retail Stores</w:t>
            </w:r>
          </w:p>
        </w:tc>
      </w:tr>
      <w:tr w:rsidRPr="008E17C0" w:rsidR="008E17C0" w:rsidTr="008E17C0" w14:paraId="0FA14027" w14:textId="77777777">
        <w:trPr>
          <w:trHeight w:val="300"/>
        </w:trPr>
        <w:tc>
          <w:tcPr>
            <w:tcW w:w="1323" w:type="dxa"/>
            <w:tcBorders>
              <w:top w:val="nil"/>
              <w:left w:val="nil"/>
              <w:bottom w:val="nil"/>
              <w:right w:val="nil"/>
            </w:tcBorders>
            <w:shd w:val="clear" w:color="auto" w:fill="auto"/>
            <w:noWrap/>
            <w:vAlign w:val="bottom"/>
            <w:hideMark/>
          </w:tcPr>
          <w:p w:rsidRPr="008E17C0" w:rsidR="008E17C0" w:rsidP="008E17C0" w:rsidRDefault="008E17C0" w14:paraId="014C07D9" w14:textId="77777777">
            <w:pPr>
              <w:spacing w:after="0" w:line="240" w:lineRule="auto"/>
              <w:rPr>
                <w:rFonts w:ascii="Calibri" w:hAnsi="Calibri" w:eastAsia="Times New Roman" w:cs="Times New Roman"/>
                <w:color w:val="000000"/>
              </w:rPr>
            </w:pPr>
          </w:p>
        </w:tc>
        <w:tc>
          <w:tcPr>
            <w:tcW w:w="4817" w:type="dxa"/>
            <w:tcBorders>
              <w:top w:val="nil"/>
              <w:left w:val="nil"/>
              <w:bottom w:val="nil"/>
              <w:right w:val="nil"/>
            </w:tcBorders>
            <w:shd w:val="clear" w:color="auto" w:fill="auto"/>
            <w:noWrap/>
            <w:vAlign w:val="bottom"/>
            <w:hideMark/>
          </w:tcPr>
          <w:p w:rsidRPr="008E17C0" w:rsidR="008E17C0" w:rsidP="008E17C0" w:rsidRDefault="008E17C0" w14:paraId="5CD5C2DB" w14:textId="77777777">
            <w:pPr>
              <w:spacing w:after="0" w:line="240" w:lineRule="auto"/>
              <w:rPr>
                <w:rFonts w:ascii="Times New Roman" w:hAnsi="Times New Roman" w:eastAsia="Times New Roman" w:cs="Times New Roman"/>
                <w:sz w:val="20"/>
                <w:szCs w:val="20"/>
              </w:rPr>
            </w:pPr>
          </w:p>
        </w:tc>
      </w:tr>
      <w:tr w:rsidRPr="008E17C0" w:rsidR="008E17C0" w:rsidTr="008E17C0" w14:paraId="42FAAF24" w14:textId="77777777">
        <w:trPr>
          <w:trHeight w:val="300"/>
        </w:trPr>
        <w:tc>
          <w:tcPr>
            <w:tcW w:w="6140" w:type="dxa"/>
            <w:gridSpan w:val="2"/>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E17C0" w:rsidR="008E17C0" w:rsidP="008E17C0" w:rsidRDefault="008E17C0" w14:paraId="3826C906" w14:textId="77777777">
            <w:pPr>
              <w:spacing w:after="0" w:line="240" w:lineRule="auto"/>
              <w:jc w:val="center"/>
              <w:rPr>
                <w:rFonts w:ascii="Calibri" w:hAnsi="Calibri" w:eastAsia="Times New Roman" w:cs="Times New Roman"/>
                <w:b/>
                <w:bCs/>
                <w:color w:val="000000"/>
              </w:rPr>
            </w:pPr>
            <w:r w:rsidRPr="008E17C0">
              <w:rPr>
                <w:rFonts w:ascii="Calibri" w:hAnsi="Calibri" w:eastAsia="Times New Roman" w:cs="Times New Roman"/>
                <w:b/>
                <w:bCs/>
                <w:color w:val="000000"/>
              </w:rPr>
              <w:t>Shipping &amp; Delivery</w:t>
            </w:r>
          </w:p>
        </w:tc>
      </w:tr>
      <w:tr w:rsidRPr="008E17C0" w:rsidR="008E17C0" w:rsidTr="008E17C0" w14:paraId="6B12817D"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261DC841"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Data</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5F9826B9"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Customer Records, Shipment Information</w:t>
            </w:r>
          </w:p>
        </w:tc>
      </w:tr>
      <w:tr w:rsidRPr="008E17C0" w:rsidR="008E17C0" w:rsidTr="008E17C0" w14:paraId="6A550880"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3FFE8309"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Software</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21F5B608"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Databases, Tracking Systems, GPS</w:t>
            </w:r>
          </w:p>
        </w:tc>
      </w:tr>
      <w:tr w:rsidRPr="008E17C0" w:rsidR="008E17C0" w:rsidTr="008E17C0" w14:paraId="3F6E1CAB"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5B340E29"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Hardware</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771017CD"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Printers, Scanners, Satellites</w:t>
            </w:r>
          </w:p>
        </w:tc>
      </w:tr>
      <w:tr w:rsidRPr="008E17C0" w:rsidR="008E17C0" w:rsidTr="008E17C0" w14:paraId="6055C85A"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7E4E9612"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Employees</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27E03B75"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Warehouse, Delivery Drivers</w:t>
            </w:r>
          </w:p>
        </w:tc>
      </w:tr>
      <w:tr w:rsidRPr="008E17C0" w:rsidR="008E17C0" w:rsidTr="008E17C0" w14:paraId="632979FC"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55F3FE29"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Machinery</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0C6A4017"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Forklifts, Delivery Vehicles</w:t>
            </w:r>
          </w:p>
        </w:tc>
      </w:tr>
      <w:tr w:rsidRPr="008E17C0" w:rsidR="008E17C0" w:rsidTr="008E17C0" w14:paraId="7F49E74D"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4939AB43"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Facilities</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446C06B3"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Warehouses</w:t>
            </w:r>
          </w:p>
        </w:tc>
      </w:tr>
      <w:tr w:rsidRPr="008E17C0" w:rsidR="008E17C0" w:rsidTr="008E17C0" w14:paraId="7611F398" w14:textId="77777777">
        <w:trPr>
          <w:trHeight w:val="300"/>
        </w:trPr>
        <w:tc>
          <w:tcPr>
            <w:tcW w:w="1323" w:type="dxa"/>
            <w:tcBorders>
              <w:top w:val="nil"/>
              <w:left w:val="nil"/>
              <w:bottom w:val="nil"/>
              <w:right w:val="nil"/>
            </w:tcBorders>
            <w:shd w:val="clear" w:color="auto" w:fill="auto"/>
            <w:noWrap/>
            <w:vAlign w:val="bottom"/>
            <w:hideMark/>
          </w:tcPr>
          <w:p w:rsidRPr="008E17C0" w:rsidR="008E17C0" w:rsidP="008E17C0" w:rsidRDefault="008E17C0" w14:paraId="513B72DA" w14:textId="77777777">
            <w:pPr>
              <w:spacing w:after="0" w:line="240" w:lineRule="auto"/>
              <w:rPr>
                <w:rFonts w:ascii="Calibri" w:hAnsi="Calibri" w:eastAsia="Times New Roman" w:cs="Times New Roman"/>
                <w:color w:val="000000"/>
              </w:rPr>
            </w:pPr>
          </w:p>
        </w:tc>
        <w:tc>
          <w:tcPr>
            <w:tcW w:w="4817" w:type="dxa"/>
            <w:tcBorders>
              <w:top w:val="nil"/>
              <w:left w:val="nil"/>
              <w:bottom w:val="nil"/>
              <w:right w:val="nil"/>
            </w:tcBorders>
            <w:shd w:val="clear" w:color="auto" w:fill="auto"/>
            <w:noWrap/>
            <w:vAlign w:val="bottom"/>
            <w:hideMark/>
          </w:tcPr>
          <w:p w:rsidRPr="008E17C0" w:rsidR="008E17C0" w:rsidP="008E17C0" w:rsidRDefault="008E17C0" w14:paraId="70B1F507" w14:textId="77777777">
            <w:pPr>
              <w:spacing w:after="0" w:line="240" w:lineRule="auto"/>
              <w:rPr>
                <w:rFonts w:ascii="Times New Roman" w:hAnsi="Times New Roman" w:eastAsia="Times New Roman" w:cs="Times New Roman"/>
                <w:sz w:val="20"/>
                <w:szCs w:val="20"/>
              </w:rPr>
            </w:pPr>
          </w:p>
        </w:tc>
      </w:tr>
      <w:tr w:rsidRPr="008E17C0" w:rsidR="008E17C0" w:rsidTr="008E17C0" w14:paraId="04AFBED1" w14:textId="77777777">
        <w:trPr>
          <w:trHeight w:val="300"/>
        </w:trPr>
        <w:tc>
          <w:tcPr>
            <w:tcW w:w="6140" w:type="dxa"/>
            <w:gridSpan w:val="2"/>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E17C0" w:rsidR="008E17C0" w:rsidP="008E17C0" w:rsidRDefault="008E17C0" w14:paraId="29BAF758" w14:textId="77777777">
            <w:pPr>
              <w:spacing w:after="0" w:line="240" w:lineRule="auto"/>
              <w:jc w:val="center"/>
              <w:rPr>
                <w:rFonts w:ascii="Calibri" w:hAnsi="Calibri" w:eastAsia="Times New Roman" w:cs="Times New Roman"/>
                <w:b/>
                <w:bCs/>
                <w:color w:val="000000"/>
              </w:rPr>
            </w:pPr>
            <w:r w:rsidRPr="008E17C0">
              <w:rPr>
                <w:rFonts w:ascii="Calibri" w:hAnsi="Calibri" w:eastAsia="Times New Roman" w:cs="Times New Roman"/>
                <w:b/>
                <w:bCs/>
                <w:color w:val="000000"/>
              </w:rPr>
              <w:t>Fleet Maintenance</w:t>
            </w:r>
          </w:p>
        </w:tc>
      </w:tr>
      <w:tr w:rsidRPr="008E17C0" w:rsidR="008E17C0" w:rsidTr="008E17C0" w14:paraId="2221BB6D"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65381537"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Data</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3392CF26"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Service Records</w:t>
            </w:r>
          </w:p>
        </w:tc>
      </w:tr>
      <w:tr w:rsidRPr="008E17C0" w:rsidR="008E17C0" w:rsidTr="008E17C0" w14:paraId="2DF4641C"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031FF72E"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Software</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7C5A441F"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Maintenance Software, Diagnostic Tools</w:t>
            </w:r>
          </w:p>
        </w:tc>
      </w:tr>
      <w:tr w:rsidRPr="008E17C0" w:rsidR="008E17C0" w:rsidTr="008E17C0" w14:paraId="05B26C28"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13B1408B"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Hardware</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1205DB15"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Tools, Parts</w:t>
            </w:r>
          </w:p>
        </w:tc>
      </w:tr>
      <w:tr w:rsidRPr="008E17C0" w:rsidR="008E17C0" w:rsidTr="008E17C0" w14:paraId="18584714"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28EBDE80"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Employees</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7BC38F2A" w14:textId="615BDE13">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Mechanics</w:t>
            </w:r>
            <w:r w:rsidR="00544482">
              <w:rPr>
                <w:rFonts w:ascii="Calibri" w:hAnsi="Calibri" w:eastAsia="Times New Roman" w:cs="Times New Roman"/>
                <w:color w:val="000000"/>
              </w:rPr>
              <w:t>, Service Writers</w:t>
            </w:r>
          </w:p>
        </w:tc>
      </w:tr>
      <w:tr w:rsidRPr="008E17C0" w:rsidR="008E17C0" w:rsidTr="008E17C0" w14:paraId="1BC97F02"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0DAB97D2"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Machinery</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0AEC06B2" w14:textId="4DE9724D">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Equipment e.g</w:t>
            </w:r>
            <w:r>
              <w:rPr>
                <w:rFonts w:ascii="Calibri" w:hAnsi="Calibri" w:eastAsia="Times New Roman" w:cs="Times New Roman"/>
                <w:color w:val="000000"/>
              </w:rPr>
              <w:t>.</w:t>
            </w:r>
            <w:r w:rsidRPr="008E17C0">
              <w:rPr>
                <w:rFonts w:ascii="Calibri" w:hAnsi="Calibri" w:eastAsia="Times New Roman" w:cs="Times New Roman"/>
                <w:color w:val="000000"/>
              </w:rPr>
              <w:t xml:space="preserve"> vehicle lifts</w:t>
            </w:r>
          </w:p>
        </w:tc>
      </w:tr>
      <w:tr w:rsidRPr="008E17C0" w:rsidR="008E17C0" w:rsidTr="008E17C0" w14:paraId="159DD959" w14:textId="77777777">
        <w:trPr>
          <w:trHeight w:val="300"/>
        </w:trPr>
        <w:tc>
          <w:tcPr>
            <w:tcW w:w="1323" w:type="dxa"/>
            <w:tcBorders>
              <w:top w:val="nil"/>
              <w:left w:val="single" w:color="auto" w:sz="4" w:space="0"/>
              <w:bottom w:val="single" w:color="auto" w:sz="4" w:space="0"/>
              <w:right w:val="single" w:color="auto" w:sz="4" w:space="0"/>
            </w:tcBorders>
            <w:shd w:val="clear" w:color="auto" w:fill="auto"/>
            <w:noWrap/>
            <w:vAlign w:val="bottom"/>
            <w:hideMark/>
          </w:tcPr>
          <w:p w:rsidRPr="008E17C0" w:rsidR="008E17C0" w:rsidP="008E17C0" w:rsidRDefault="008E17C0" w14:paraId="1C1A26E0" w14:textId="77777777">
            <w:pPr>
              <w:spacing w:after="0" w:line="240" w:lineRule="auto"/>
              <w:rPr>
                <w:rFonts w:ascii="Calibri" w:hAnsi="Calibri" w:eastAsia="Times New Roman" w:cs="Times New Roman"/>
                <w:b/>
                <w:bCs/>
                <w:color w:val="000000"/>
              </w:rPr>
            </w:pPr>
            <w:r w:rsidRPr="008E17C0">
              <w:rPr>
                <w:rFonts w:ascii="Calibri" w:hAnsi="Calibri" w:eastAsia="Times New Roman" w:cs="Times New Roman"/>
                <w:b/>
                <w:bCs/>
                <w:color w:val="000000"/>
              </w:rPr>
              <w:t>Facilities</w:t>
            </w:r>
          </w:p>
        </w:tc>
        <w:tc>
          <w:tcPr>
            <w:tcW w:w="4817" w:type="dxa"/>
            <w:tcBorders>
              <w:top w:val="nil"/>
              <w:left w:val="nil"/>
              <w:bottom w:val="single" w:color="auto" w:sz="4" w:space="0"/>
              <w:right w:val="single" w:color="auto" w:sz="4" w:space="0"/>
            </w:tcBorders>
            <w:shd w:val="clear" w:color="auto" w:fill="auto"/>
            <w:vAlign w:val="bottom"/>
            <w:hideMark/>
          </w:tcPr>
          <w:p w:rsidRPr="008E17C0" w:rsidR="008E17C0" w:rsidP="008E17C0" w:rsidRDefault="008E17C0" w14:paraId="32522D3A" w14:textId="77777777">
            <w:pPr>
              <w:spacing w:after="0" w:line="240" w:lineRule="auto"/>
              <w:rPr>
                <w:rFonts w:ascii="Calibri" w:hAnsi="Calibri" w:eastAsia="Times New Roman" w:cs="Times New Roman"/>
                <w:color w:val="000000"/>
              </w:rPr>
            </w:pPr>
            <w:r w:rsidRPr="008E17C0">
              <w:rPr>
                <w:rFonts w:ascii="Calibri" w:hAnsi="Calibri" w:eastAsia="Times New Roman" w:cs="Times New Roman"/>
                <w:color w:val="000000"/>
              </w:rPr>
              <w:t>Warehouses</w:t>
            </w:r>
          </w:p>
        </w:tc>
      </w:tr>
    </w:tbl>
    <w:p w:rsidR="008E17C0" w:rsidP="008E17C0" w:rsidRDefault="008E17C0" w14:paraId="10092BDA" w14:textId="1582CA91">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rsidR="000870D7" w:rsidP="00744F5C" w:rsidRDefault="008E17C0" w14:paraId="43EAF1DB" w14:textId="56CDE8A6">
      <w:pPr>
        <w:pStyle w:val="Heading2"/>
      </w:pPr>
      <w:bookmarkStart w:name="_Toc58405307" w:id="8"/>
      <w:r>
        <w:t>Potential Security Incidents/Accidents</w:t>
      </w:r>
      <w:bookmarkEnd w:id="8"/>
    </w:p>
    <w:p w:rsidR="000870D7" w:rsidP="008E17C0" w:rsidRDefault="000870D7" w14:paraId="4FDF9F82" w14:textId="3B4FD876">
      <w:pPr>
        <w:spacing w:after="0"/>
        <w:rPr>
          <w:rFonts w:ascii="Times New Roman" w:hAnsi="Times New Roman" w:cs="Times New Roman"/>
          <w:sz w:val="24"/>
          <w:szCs w:val="24"/>
        </w:rPr>
      </w:pPr>
      <w:r>
        <w:rPr>
          <w:rFonts w:ascii="Times New Roman" w:hAnsi="Times New Roman" w:cs="Times New Roman"/>
          <w:sz w:val="24"/>
          <w:szCs w:val="24"/>
        </w:rPr>
        <w:t xml:space="preserve">For a company as large as UPS, there are many potential security incidents or accidents that could impact their business functions. For each business function there are a few listed below. We have used Rasmussen’s Accident Categories </w:t>
      </w:r>
      <w:r w:rsidR="0053313E">
        <w:rPr>
          <w:rFonts w:ascii="Times New Roman" w:hAnsi="Times New Roman" w:cs="Times New Roman"/>
          <w:sz w:val="24"/>
          <w:szCs w:val="24"/>
        </w:rPr>
        <w:t xml:space="preserve">to highlight the differences between security incidents or accidents that have high frequency and low consequence (Category 1), occur less often but have serious consequences (Category 2), or occur seldomly but can have catastrophic consequences. </w:t>
      </w:r>
    </w:p>
    <w:p w:rsidRPr="000870D7" w:rsidR="00744F5C" w:rsidP="008E17C0" w:rsidRDefault="00744F5C" w14:paraId="013004FB" w14:textId="77777777">
      <w:pPr>
        <w:spacing w:after="0"/>
        <w:rPr>
          <w:rFonts w:ascii="Times New Roman" w:hAnsi="Times New Roman" w:cs="Times New Roman"/>
          <w:sz w:val="24"/>
          <w:szCs w:val="24"/>
        </w:rPr>
      </w:pPr>
    </w:p>
    <w:tbl>
      <w:tblPr>
        <w:tblW w:w="9660" w:type="dxa"/>
        <w:tblLook w:val="04A0" w:firstRow="1" w:lastRow="0" w:firstColumn="1" w:lastColumn="0" w:noHBand="0" w:noVBand="1"/>
      </w:tblPr>
      <w:tblGrid>
        <w:gridCol w:w="5163"/>
        <w:gridCol w:w="1437"/>
        <w:gridCol w:w="3060"/>
      </w:tblGrid>
      <w:tr w:rsidRPr="0087743F" w:rsidR="0087743F" w:rsidTr="0087743F" w14:paraId="7FC06423" w14:textId="77777777">
        <w:trPr>
          <w:trHeight w:val="300"/>
        </w:trPr>
        <w:tc>
          <w:tcPr>
            <w:tcW w:w="9660" w:type="dxa"/>
            <w:gridSpan w:val="3"/>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7743F" w:rsidR="0087743F" w:rsidP="0087743F" w:rsidRDefault="0087743F" w14:paraId="66DE7877"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Information Security</w:t>
            </w:r>
          </w:p>
        </w:tc>
      </w:tr>
      <w:tr w:rsidRPr="0087743F" w:rsidR="0087743F" w:rsidTr="0087743F" w14:paraId="4C79D158"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12CE9D09"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Security Incident/Accident</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1B6B21BD"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Category</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77F9FD5D"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Covered in Analysis</w:t>
            </w:r>
          </w:p>
        </w:tc>
      </w:tr>
      <w:tr w:rsidRPr="0087743F" w:rsidR="0087743F" w:rsidTr="0087743F" w14:paraId="4B72C0D0"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786100D8"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Data Breach</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3C6A638B"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2</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587995C0"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Yes</w:t>
            </w:r>
          </w:p>
        </w:tc>
      </w:tr>
      <w:tr w:rsidRPr="0087743F" w:rsidR="0087743F" w:rsidTr="0087743F" w14:paraId="7EC2D114"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0C5BD225"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Power Outage</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39997C1B"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2</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503AE728"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 xml:space="preserve">No </w:t>
            </w:r>
          </w:p>
        </w:tc>
      </w:tr>
      <w:tr w:rsidRPr="0087743F" w:rsidR="0087743F" w:rsidTr="0087743F" w14:paraId="289166AD"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12DBED85"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Hardware Failure</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1A33C788"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2</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4F7A796F"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 xml:space="preserve">No </w:t>
            </w:r>
          </w:p>
        </w:tc>
      </w:tr>
      <w:tr w:rsidRPr="0087743F" w:rsidR="0087743F" w:rsidTr="0087743F" w14:paraId="4DE6B033" w14:textId="77777777">
        <w:trPr>
          <w:trHeight w:val="300"/>
        </w:trPr>
        <w:tc>
          <w:tcPr>
            <w:tcW w:w="5163" w:type="dxa"/>
            <w:tcBorders>
              <w:top w:val="nil"/>
              <w:left w:val="nil"/>
              <w:bottom w:val="nil"/>
              <w:right w:val="nil"/>
            </w:tcBorders>
            <w:shd w:val="clear" w:color="auto" w:fill="auto"/>
            <w:noWrap/>
            <w:vAlign w:val="bottom"/>
            <w:hideMark/>
          </w:tcPr>
          <w:p w:rsidRPr="0087743F" w:rsidR="0087743F" w:rsidP="0087743F" w:rsidRDefault="0087743F" w14:paraId="6D1CBC08" w14:textId="77777777">
            <w:pPr>
              <w:spacing w:after="0" w:line="240" w:lineRule="auto"/>
              <w:jc w:val="center"/>
              <w:rPr>
                <w:rFonts w:ascii="Calibri" w:hAnsi="Calibri" w:eastAsia="Times New Roman" w:cs="Calibri"/>
                <w:color w:val="000000"/>
              </w:rPr>
            </w:pPr>
          </w:p>
        </w:tc>
        <w:tc>
          <w:tcPr>
            <w:tcW w:w="1437" w:type="dxa"/>
            <w:tcBorders>
              <w:top w:val="nil"/>
              <w:left w:val="nil"/>
              <w:bottom w:val="nil"/>
              <w:right w:val="nil"/>
            </w:tcBorders>
            <w:shd w:val="clear" w:color="auto" w:fill="auto"/>
            <w:noWrap/>
            <w:vAlign w:val="bottom"/>
            <w:hideMark/>
          </w:tcPr>
          <w:p w:rsidRPr="0087743F" w:rsidR="0087743F" w:rsidP="0087743F" w:rsidRDefault="0087743F" w14:paraId="02668029" w14:textId="77777777">
            <w:pPr>
              <w:spacing w:after="0" w:line="240" w:lineRule="auto"/>
              <w:jc w:val="center"/>
              <w:rPr>
                <w:rFonts w:ascii="Times New Roman" w:hAnsi="Times New Roman" w:eastAsia="Times New Roman" w:cs="Times New Roman"/>
                <w:sz w:val="20"/>
                <w:szCs w:val="20"/>
              </w:rPr>
            </w:pPr>
          </w:p>
        </w:tc>
        <w:tc>
          <w:tcPr>
            <w:tcW w:w="3060" w:type="dxa"/>
            <w:tcBorders>
              <w:top w:val="nil"/>
              <w:left w:val="nil"/>
              <w:bottom w:val="nil"/>
              <w:right w:val="nil"/>
            </w:tcBorders>
            <w:shd w:val="clear" w:color="auto" w:fill="auto"/>
            <w:noWrap/>
            <w:vAlign w:val="bottom"/>
            <w:hideMark/>
          </w:tcPr>
          <w:p w:rsidRPr="0087743F" w:rsidR="0087743F" w:rsidP="0087743F" w:rsidRDefault="0087743F" w14:paraId="314F651C" w14:textId="77777777">
            <w:pPr>
              <w:spacing w:after="0" w:line="240" w:lineRule="auto"/>
              <w:jc w:val="center"/>
              <w:rPr>
                <w:rFonts w:ascii="Times New Roman" w:hAnsi="Times New Roman" w:eastAsia="Times New Roman" w:cs="Times New Roman"/>
                <w:sz w:val="20"/>
                <w:szCs w:val="20"/>
              </w:rPr>
            </w:pPr>
          </w:p>
        </w:tc>
      </w:tr>
      <w:tr w:rsidRPr="0087743F" w:rsidR="0087743F" w:rsidTr="0087743F" w14:paraId="4830E839" w14:textId="77777777">
        <w:trPr>
          <w:trHeight w:val="300"/>
        </w:trPr>
        <w:tc>
          <w:tcPr>
            <w:tcW w:w="9660" w:type="dxa"/>
            <w:gridSpan w:val="3"/>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7743F" w:rsidR="0087743F" w:rsidP="0087743F" w:rsidRDefault="0087743F" w14:paraId="26027AE2"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Shipping and Delivery</w:t>
            </w:r>
          </w:p>
        </w:tc>
      </w:tr>
      <w:tr w:rsidRPr="0087743F" w:rsidR="0087743F" w:rsidTr="0087743F" w14:paraId="7342CF67"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1749AE6C"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Security Incident/Accident</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00B5254D"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Category</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4064BA10"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Covered in Analysis</w:t>
            </w:r>
          </w:p>
        </w:tc>
      </w:tr>
      <w:tr w:rsidRPr="0087743F" w:rsidR="0087743F" w:rsidTr="0087743F" w14:paraId="6CA4C4E1"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651B94AF"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Delivery Vehicle Accident</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6E23D790"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1</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70118EEB"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Yes</w:t>
            </w:r>
          </w:p>
        </w:tc>
      </w:tr>
      <w:tr w:rsidRPr="0087743F" w:rsidR="0087743F" w:rsidTr="0087743F" w14:paraId="56276C00"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0821E128"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Logistics System Failure</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16C760EC"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2</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79DE09B5"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No</w:t>
            </w:r>
          </w:p>
        </w:tc>
      </w:tr>
      <w:tr w:rsidRPr="0087743F" w:rsidR="0087743F" w:rsidTr="0087743F" w14:paraId="5397B29B"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41671098"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lastRenderedPageBreak/>
              <w:t>Package Lost, Stolen, or Damaged</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29F473D5"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1</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220C7957"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Yes</w:t>
            </w:r>
          </w:p>
        </w:tc>
      </w:tr>
      <w:tr w:rsidRPr="0087743F" w:rsidR="0087743F" w:rsidTr="0087743F" w14:paraId="5B59086D"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7DABC064"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Warehouse Fire</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4100C599"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2</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55A94F6E"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No</w:t>
            </w:r>
          </w:p>
        </w:tc>
      </w:tr>
      <w:tr w:rsidRPr="0087743F" w:rsidR="0087743F" w:rsidTr="0087743F" w14:paraId="1D8ACFB8" w14:textId="77777777">
        <w:trPr>
          <w:trHeight w:val="300"/>
        </w:trPr>
        <w:tc>
          <w:tcPr>
            <w:tcW w:w="5163" w:type="dxa"/>
            <w:tcBorders>
              <w:top w:val="nil"/>
              <w:left w:val="nil"/>
              <w:bottom w:val="nil"/>
              <w:right w:val="nil"/>
            </w:tcBorders>
            <w:shd w:val="clear" w:color="auto" w:fill="auto"/>
            <w:noWrap/>
            <w:vAlign w:val="bottom"/>
            <w:hideMark/>
          </w:tcPr>
          <w:p w:rsidRPr="0087743F" w:rsidR="0087743F" w:rsidP="0087743F" w:rsidRDefault="0087743F" w14:paraId="01A512CC" w14:textId="77777777">
            <w:pPr>
              <w:spacing w:after="0" w:line="240" w:lineRule="auto"/>
              <w:jc w:val="center"/>
              <w:rPr>
                <w:rFonts w:ascii="Calibri" w:hAnsi="Calibri" w:eastAsia="Times New Roman" w:cs="Calibri"/>
                <w:color w:val="000000"/>
              </w:rPr>
            </w:pPr>
          </w:p>
        </w:tc>
        <w:tc>
          <w:tcPr>
            <w:tcW w:w="1437" w:type="dxa"/>
            <w:tcBorders>
              <w:top w:val="nil"/>
              <w:left w:val="nil"/>
              <w:bottom w:val="nil"/>
              <w:right w:val="nil"/>
            </w:tcBorders>
            <w:shd w:val="clear" w:color="auto" w:fill="auto"/>
            <w:noWrap/>
            <w:vAlign w:val="bottom"/>
            <w:hideMark/>
          </w:tcPr>
          <w:p w:rsidRPr="0087743F" w:rsidR="0087743F" w:rsidP="0087743F" w:rsidRDefault="0087743F" w14:paraId="34CEBD61" w14:textId="77777777">
            <w:pPr>
              <w:spacing w:after="0" w:line="240" w:lineRule="auto"/>
              <w:jc w:val="center"/>
              <w:rPr>
                <w:rFonts w:ascii="Times New Roman" w:hAnsi="Times New Roman" w:eastAsia="Times New Roman" w:cs="Times New Roman"/>
                <w:sz w:val="20"/>
                <w:szCs w:val="20"/>
              </w:rPr>
            </w:pPr>
          </w:p>
        </w:tc>
        <w:tc>
          <w:tcPr>
            <w:tcW w:w="3060" w:type="dxa"/>
            <w:tcBorders>
              <w:top w:val="nil"/>
              <w:left w:val="nil"/>
              <w:bottom w:val="nil"/>
              <w:right w:val="nil"/>
            </w:tcBorders>
            <w:shd w:val="clear" w:color="auto" w:fill="auto"/>
            <w:noWrap/>
            <w:vAlign w:val="bottom"/>
            <w:hideMark/>
          </w:tcPr>
          <w:p w:rsidRPr="0087743F" w:rsidR="0087743F" w:rsidP="0087743F" w:rsidRDefault="0087743F" w14:paraId="7A43FE97" w14:textId="77777777">
            <w:pPr>
              <w:spacing w:after="0" w:line="240" w:lineRule="auto"/>
              <w:jc w:val="center"/>
              <w:rPr>
                <w:rFonts w:ascii="Times New Roman" w:hAnsi="Times New Roman" w:eastAsia="Times New Roman" w:cs="Times New Roman"/>
                <w:sz w:val="20"/>
                <w:szCs w:val="20"/>
              </w:rPr>
            </w:pPr>
          </w:p>
        </w:tc>
      </w:tr>
      <w:tr w:rsidRPr="0087743F" w:rsidR="0087743F" w:rsidTr="0087743F" w14:paraId="14FEA1A6" w14:textId="77777777">
        <w:trPr>
          <w:trHeight w:val="300"/>
        </w:trPr>
        <w:tc>
          <w:tcPr>
            <w:tcW w:w="9660" w:type="dxa"/>
            <w:gridSpan w:val="3"/>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7743F" w:rsidR="0087743F" w:rsidP="0087743F" w:rsidRDefault="0087743F" w14:paraId="714F9471"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Fleet Maintenance</w:t>
            </w:r>
          </w:p>
        </w:tc>
      </w:tr>
      <w:tr w:rsidRPr="0087743F" w:rsidR="0087743F" w:rsidTr="0087743F" w14:paraId="495E1A0D"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078C14AE"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Security Incident/Accident</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2402139B"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Category</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7EB6E437" w14:textId="77777777">
            <w:pPr>
              <w:spacing w:after="0" w:line="240" w:lineRule="auto"/>
              <w:jc w:val="center"/>
              <w:rPr>
                <w:rFonts w:ascii="Calibri" w:hAnsi="Calibri" w:eastAsia="Times New Roman" w:cs="Calibri"/>
                <w:b/>
                <w:bCs/>
                <w:color w:val="000000"/>
              </w:rPr>
            </w:pPr>
            <w:r w:rsidRPr="0087743F">
              <w:rPr>
                <w:rFonts w:ascii="Calibri" w:hAnsi="Calibri" w:eastAsia="Times New Roman" w:cs="Calibri"/>
                <w:b/>
                <w:bCs/>
                <w:color w:val="000000"/>
              </w:rPr>
              <w:t>Covered in Analysis</w:t>
            </w:r>
          </w:p>
        </w:tc>
      </w:tr>
      <w:tr w:rsidRPr="0087743F" w:rsidR="0087743F" w:rsidTr="0087743F" w14:paraId="5CCA65D0"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3A1A392B"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Vehicle Damaged During Repair</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1B0FF54C"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1</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4E4233CF"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No</w:t>
            </w:r>
          </w:p>
        </w:tc>
      </w:tr>
      <w:tr w:rsidRPr="0087743F" w:rsidR="0087743F" w:rsidTr="0087743F" w14:paraId="72FD1CC1"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5BB0BFB1"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Incorrect Service Records</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26B6CF0E"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2</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4E321930"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Yes</w:t>
            </w:r>
          </w:p>
        </w:tc>
      </w:tr>
      <w:tr w:rsidRPr="0087743F" w:rsidR="0087743F" w:rsidTr="0087743F" w14:paraId="6419F914" w14:textId="77777777">
        <w:trPr>
          <w:trHeight w:val="300"/>
        </w:trPr>
        <w:tc>
          <w:tcPr>
            <w:tcW w:w="5163" w:type="dxa"/>
            <w:tcBorders>
              <w:top w:val="nil"/>
              <w:left w:val="single" w:color="auto" w:sz="4" w:space="0"/>
              <w:bottom w:val="single" w:color="auto" w:sz="4" w:space="0"/>
              <w:right w:val="single" w:color="auto" w:sz="4" w:space="0"/>
            </w:tcBorders>
            <w:shd w:val="clear" w:color="auto" w:fill="auto"/>
            <w:noWrap/>
            <w:vAlign w:val="bottom"/>
            <w:hideMark/>
          </w:tcPr>
          <w:p w:rsidRPr="0087743F" w:rsidR="0087743F" w:rsidP="0087743F" w:rsidRDefault="0087743F" w14:paraId="7344FB8A"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Natural Disaster</w:t>
            </w:r>
          </w:p>
        </w:tc>
        <w:tc>
          <w:tcPr>
            <w:tcW w:w="1437"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3872DED6"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3</w:t>
            </w:r>
          </w:p>
        </w:tc>
        <w:tc>
          <w:tcPr>
            <w:tcW w:w="3060" w:type="dxa"/>
            <w:tcBorders>
              <w:top w:val="nil"/>
              <w:left w:val="nil"/>
              <w:bottom w:val="single" w:color="auto" w:sz="4" w:space="0"/>
              <w:right w:val="single" w:color="auto" w:sz="4" w:space="0"/>
            </w:tcBorders>
            <w:shd w:val="clear" w:color="auto" w:fill="auto"/>
            <w:noWrap/>
            <w:vAlign w:val="bottom"/>
            <w:hideMark/>
          </w:tcPr>
          <w:p w:rsidRPr="0087743F" w:rsidR="0087743F" w:rsidP="0087743F" w:rsidRDefault="0087743F" w14:paraId="29DB7B67" w14:textId="77777777">
            <w:pPr>
              <w:spacing w:after="0" w:line="240" w:lineRule="auto"/>
              <w:jc w:val="center"/>
              <w:rPr>
                <w:rFonts w:ascii="Calibri" w:hAnsi="Calibri" w:eastAsia="Times New Roman" w:cs="Calibri"/>
                <w:color w:val="000000"/>
              </w:rPr>
            </w:pPr>
            <w:r w:rsidRPr="0087743F">
              <w:rPr>
                <w:rFonts w:ascii="Calibri" w:hAnsi="Calibri" w:eastAsia="Times New Roman" w:cs="Calibri"/>
                <w:color w:val="000000"/>
              </w:rPr>
              <w:t>No</w:t>
            </w:r>
          </w:p>
        </w:tc>
      </w:tr>
    </w:tbl>
    <w:p w:rsidR="00343B2E" w:rsidP="00744F5C" w:rsidRDefault="00CE5A0E" w14:paraId="3BF5C897" w14:textId="1CC3AB61">
      <w:pPr>
        <w:pStyle w:val="Heading1"/>
      </w:pPr>
      <w:bookmarkStart w:name="_Toc58405308" w:id="9"/>
      <w:r w:rsidRPr="00786964">
        <w:t>Risk Analysis</w:t>
      </w:r>
      <w:bookmarkEnd w:id="9"/>
      <w:r w:rsidRPr="00786964">
        <w:t xml:space="preserve"> </w:t>
      </w:r>
    </w:p>
    <w:p w:rsidR="00786964" w:rsidP="000870D7" w:rsidRDefault="0060228E" w14:paraId="0A60F50F" w14:textId="17A84F7E">
      <w:pPr>
        <w:rPr>
          <w:rFonts w:ascii="Times New Roman" w:hAnsi="Times New Roman" w:cs="Times New Roman"/>
          <w:sz w:val="24"/>
          <w:szCs w:val="24"/>
        </w:rPr>
      </w:pPr>
      <w:r>
        <w:rPr>
          <w:rFonts w:ascii="Times New Roman" w:hAnsi="Times New Roman" w:cs="Times New Roman"/>
          <w:sz w:val="24"/>
          <w:szCs w:val="24"/>
        </w:rPr>
        <w:t xml:space="preserve">This risk analysis will include both qualitative and quantitative/semiquantitative analysis to show a comprehensive overview of the consequences of hazardous events on the business functions listed above. </w:t>
      </w:r>
    </w:p>
    <w:p w:rsidR="0060228E" w:rsidP="00744F5C" w:rsidRDefault="0060228E" w14:paraId="2EFE4F12" w14:textId="276D55ED">
      <w:pPr>
        <w:pStyle w:val="Heading2"/>
      </w:pPr>
      <w:bookmarkStart w:name="_Toc58405309" w:id="10"/>
      <w:r w:rsidRPr="0060228E">
        <w:t>Bow-Tie Models</w:t>
      </w:r>
      <w:bookmarkEnd w:id="10"/>
    </w:p>
    <w:p w:rsidR="00286FD2" w:rsidP="00286FD2" w:rsidRDefault="00286FD2" w14:paraId="28862011" w14:textId="66503F44">
      <w:pPr>
        <w:rPr>
          <w:rFonts w:ascii="Times New Roman" w:hAnsi="Times New Roman" w:cs="Times New Roman"/>
          <w:b/>
          <w:bCs/>
          <w:sz w:val="24"/>
          <w:szCs w:val="24"/>
        </w:rPr>
      </w:pPr>
      <w:r w:rsidRPr="00F04C86">
        <w:rPr>
          <w:rFonts w:ascii="Times New Roman" w:hAnsi="Times New Roman" w:cs="Times New Roman"/>
          <w:b/>
          <w:bCs/>
          <w:sz w:val="24"/>
          <w:szCs w:val="24"/>
        </w:rPr>
        <w:t>Information Security</w:t>
      </w:r>
    </w:p>
    <w:p w:rsidRPr="00F04C86" w:rsidR="00F04C86" w:rsidP="00286FD2" w:rsidRDefault="00F04C86" w14:paraId="2F97F257" w14:textId="7CB871AF">
      <w:pPr>
        <w:rPr>
          <w:rFonts w:ascii="Times New Roman" w:hAnsi="Times New Roman" w:cs="Times New Roman"/>
          <w:sz w:val="24"/>
          <w:szCs w:val="24"/>
        </w:rPr>
      </w:pPr>
      <w:r>
        <w:rPr>
          <w:rFonts w:ascii="Times New Roman" w:hAnsi="Times New Roman" w:cs="Times New Roman"/>
          <w:sz w:val="24"/>
          <w:szCs w:val="24"/>
        </w:rPr>
        <w:t>Hazards: Human Error, Electrical Issues, Cyber Threats, Hardware &amp; Software Controls</w:t>
      </w:r>
    </w:p>
    <w:p w:rsidR="00A16862" w:rsidP="000870D7" w:rsidRDefault="00286FD2" w14:paraId="2F33EF25" w14:textId="2B53DBE1">
      <w:pPr>
        <w:rPr>
          <w:rFonts w:ascii="Times New Roman" w:hAnsi="Times New Roman" w:cs="Times New Roman"/>
          <w:sz w:val="24"/>
          <w:szCs w:val="24"/>
        </w:rPr>
      </w:pPr>
      <w:r>
        <w:rPr>
          <w:noProof/>
        </w:rPr>
        <w:drawing>
          <wp:inline distT="0" distB="0" distL="0" distR="0" wp14:anchorId="7A707905" wp14:editId="3A5F0314">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2130"/>
                    </a:xfrm>
                    <a:prstGeom prst="rect">
                      <a:avLst/>
                    </a:prstGeom>
                  </pic:spPr>
                </pic:pic>
              </a:graphicData>
            </a:graphic>
          </wp:inline>
        </w:drawing>
      </w:r>
    </w:p>
    <w:p w:rsidR="00286FD2" w:rsidP="000870D7" w:rsidRDefault="00286FD2" w14:paraId="4B26FEEF" w14:textId="3F745451">
      <w:pPr>
        <w:rPr>
          <w:rFonts w:ascii="Times New Roman" w:hAnsi="Times New Roman" w:cs="Times New Roman"/>
          <w:b/>
          <w:bCs/>
          <w:sz w:val="24"/>
          <w:szCs w:val="24"/>
        </w:rPr>
      </w:pPr>
      <w:r w:rsidRPr="00F04C86">
        <w:rPr>
          <w:rFonts w:ascii="Times New Roman" w:hAnsi="Times New Roman" w:cs="Times New Roman"/>
          <w:b/>
          <w:bCs/>
          <w:sz w:val="24"/>
          <w:szCs w:val="24"/>
        </w:rPr>
        <w:t>Shipping &amp; Delivery</w:t>
      </w:r>
    </w:p>
    <w:p w:rsidRPr="00F04C86" w:rsidR="00F04C86" w:rsidP="000870D7" w:rsidRDefault="00F04C86" w14:paraId="6CD38D1A" w14:textId="797A2A1B">
      <w:pPr>
        <w:rPr>
          <w:rFonts w:ascii="Times New Roman" w:hAnsi="Times New Roman" w:cs="Times New Roman"/>
          <w:sz w:val="24"/>
          <w:szCs w:val="24"/>
        </w:rPr>
      </w:pPr>
      <w:r>
        <w:rPr>
          <w:rFonts w:ascii="Times New Roman" w:hAnsi="Times New Roman" w:cs="Times New Roman"/>
          <w:sz w:val="24"/>
          <w:szCs w:val="24"/>
        </w:rPr>
        <w:t>Hazards: Poor Safety Culture, Stress,</w:t>
      </w:r>
      <w:r w:rsidR="00CF2CE8">
        <w:rPr>
          <w:rFonts w:ascii="Times New Roman" w:hAnsi="Times New Roman" w:cs="Times New Roman"/>
          <w:sz w:val="24"/>
          <w:szCs w:val="24"/>
        </w:rPr>
        <w:t xml:space="preserve"> </w:t>
      </w:r>
      <w:r>
        <w:rPr>
          <w:rFonts w:ascii="Times New Roman" w:hAnsi="Times New Roman" w:cs="Times New Roman"/>
          <w:sz w:val="24"/>
          <w:szCs w:val="24"/>
        </w:rPr>
        <w:t xml:space="preserve">Storms, Explosion, </w:t>
      </w:r>
      <w:r w:rsidR="00CF2CE8">
        <w:rPr>
          <w:rFonts w:ascii="Times New Roman" w:hAnsi="Times New Roman" w:cs="Times New Roman"/>
          <w:sz w:val="24"/>
          <w:szCs w:val="24"/>
        </w:rPr>
        <w:t>Theft</w:t>
      </w:r>
      <w:r w:rsidR="00A913A5">
        <w:rPr>
          <w:rFonts w:ascii="Times New Roman" w:hAnsi="Times New Roman" w:cs="Times New Roman"/>
          <w:sz w:val="24"/>
          <w:szCs w:val="24"/>
        </w:rPr>
        <w:t>, Cyber Threat</w:t>
      </w:r>
    </w:p>
    <w:p w:rsidR="00286FD2" w:rsidP="000870D7" w:rsidRDefault="000C1CB4" w14:paraId="21F725E3" w14:textId="3FA61C31">
      <w:pPr>
        <w:rPr>
          <w:rFonts w:ascii="Times New Roman" w:hAnsi="Times New Roman" w:cs="Times New Roman"/>
          <w:sz w:val="24"/>
          <w:szCs w:val="24"/>
        </w:rPr>
      </w:pPr>
      <w:r>
        <w:rPr>
          <w:noProof/>
        </w:rPr>
        <w:drawing>
          <wp:inline distT="0" distB="0" distL="0" distR="0" wp14:anchorId="62944729" wp14:editId="75948F33">
            <wp:extent cx="5943600" cy="1967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7230"/>
                    </a:xfrm>
                    <a:prstGeom prst="rect">
                      <a:avLst/>
                    </a:prstGeom>
                  </pic:spPr>
                </pic:pic>
              </a:graphicData>
            </a:graphic>
          </wp:inline>
        </w:drawing>
      </w:r>
    </w:p>
    <w:p w:rsidR="00262D96" w:rsidP="000870D7" w:rsidRDefault="00262D96" w14:paraId="79F2FFA4" w14:textId="6A05DF52">
      <w:pPr>
        <w:rPr>
          <w:rFonts w:ascii="Times New Roman" w:hAnsi="Times New Roman" w:cs="Times New Roman"/>
          <w:sz w:val="24"/>
          <w:szCs w:val="24"/>
        </w:rPr>
      </w:pPr>
    </w:p>
    <w:p w:rsidR="00FC6FFF" w:rsidP="000870D7" w:rsidRDefault="00F04C86" w14:paraId="291E09BF" w14:textId="39883C9A">
      <w:pPr>
        <w:rPr>
          <w:rFonts w:ascii="Times New Roman" w:hAnsi="Times New Roman" w:cs="Times New Roman"/>
          <w:b/>
          <w:bCs/>
          <w:sz w:val="24"/>
          <w:szCs w:val="24"/>
        </w:rPr>
      </w:pPr>
      <w:r w:rsidRPr="00F04C86">
        <w:rPr>
          <w:rFonts w:ascii="Times New Roman" w:hAnsi="Times New Roman" w:cs="Times New Roman"/>
          <w:b/>
          <w:bCs/>
          <w:sz w:val="24"/>
          <w:szCs w:val="24"/>
        </w:rPr>
        <w:lastRenderedPageBreak/>
        <w:t>Fleet Maintenance</w:t>
      </w:r>
    </w:p>
    <w:p w:rsidRPr="00CF2CE8" w:rsidR="00CF2CE8" w:rsidP="000870D7" w:rsidRDefault="00CF2CE8" w14:paraId="3A89BF54" w14:textId="3792F556">
      <w:pPr>
        <w:rPr>
          <w:rFonts w:ascii="Times New Roman" w:hAnsi="Times New Roman" w:cs="Times New Roman"/>
          <w:sz w:val="24"/>
          <w:szCs w:val="24"/>
        </w:rPr>
      </w:pPr>
      <w:r>
        <w:rPr>
          <w:rFonts w:ascii="Times New Roman" w:hAnsi="Times New Roman" w:cs="Times New Roman"/>
          <w:sz w:val="24"/>
          <w:szCs w:val="24"/>
        </w:rPr>
        <w:t>Hazards: Poor Maintenance, Poor Safety Culture, Human Error, Natural Disasters, Storms</w:t>
      </w:r>
    </w:p>
    <w:p w:rsidRPr="00F04C86" w:rsidR="00D84D7D" w:rsidP="00F04C86" w:rsidRDefault="00F04C86" w14:paraId="7046863C" w14:textId="1E49536E">
      <w:pPr>
        <w:rPr>
          <w:rFonts w:ascii="Times New Roman" w:hAnsi="Times New Roman" w:cs="Times New Roman"/>
          <w:sz w:val="24"/>
          <w:szCs w:val="24"/>
        </w:rPr>
      </w:pPr>
      <w:r>
        <w:rPr>
          <w:noProof/>
        </w:rPr>
        <w:drawing>
          <wp:inline distT="0" distB="0" distL="0" distR="0" wp14:anchorId="3C37DB88" wp14:editId="2EC031F5">
            <wp:extent cx="5943600" cy="1916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6430"/>
                    </a:xfrm>
                    <a:prstGeom prst="rect">
                      <a:avLst/>
                    </a:prstGeom>
                  </pic:spPr>
                </pic:pic>
              </a:graphicData>
            </a:graphic>
          </wp:inline>
        </w:drawing>
      </w:r>
    </w:p>
    <w:p w:rsidR="00D84D7D" w:rsidP="00A6393F" w:rsidRDefault="00A6393F" w14:paraId="151B0F7C" w14:textId="312D38CD">
      <w:pPr>
        <w:pStyle w:val="Heading2"/>
      </w:pPr>
      <w:bookmarkStart w:name="_Toc58405310" w:id="11"/>
      <w:r>
        <w:t>Risk Influencing Factors</w:t>
      </w:r>
      <w:bookmarkEnd w:id="11"/>
    </w:p>
    <w:tbl>
      <w:tblPr>
        <w:tblW w:w="9380" w:type="dxa"/>
        <w:tblLook w:val="04A0" w:firstRow="1" w:lastRow="0" w:firstColumn="1" w:lastColumn="0" w:noHBand="0" w:noVBand="1"/>
      </w:tblPr>
      <w:tblGrid>
        <w:gridCol w:w="2970"/>
        <w:gridCol w:w="6410"/>
      </w:tblGrid>
      <w:tr w:rsidRPr="00864A11" w:rsidR="00864A11" w:rsidTr="00864A11" w14:paraId="0AD65474" w14:textId="77777777">
        <w:trPr>
          <w:trHeight w:val="300"/>
        </w:trPr>
        <w:tc>
          <w:tcPr>
            <w:tcW w:w="9380" w:type="dxa"/>
            <w:gridSpan w:val="2"/>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64A11" w:rsidR="00864A11" w:rsidP="00864A11" w:rsidRDefault="00864A11" w14:paraId="29E9D67D" w14:textId="77777777">
            <w:pPr>
              <w:spacing w:after="0" w:line="240" w:lineRule="auto"/>
              <w:jc w:val="center"/>
              <w:rPr>
                <w:rFonts w:ascii="Calibri" w:hAnsi="Calibri" w:eastAsia="Times New Roman" w:cs="Calibri"/>
                <w:b/>
                <w:bCs/>
                <w:color w:val="000000"/>
              </w:rPr>
            </w:pPr>
            <w:r w:rsidRPr="00864A11">
              <w:rPr>
                <w:rFonts w:ascii="Calibri" w:hAnsi="Calibri" w:eastAsia="Times New Roman" w:cs="Calibri"/>
                <w:b/>
                <w:bCs/>
                <w:color w:val="000000"/>
              </w:rPr>
              <w:t>Information Security</w:t>
            </w:r>
          </w:p>
        </w:tc>
      </w:tr>
      <w:tr w:rsidRPr="00864A11" w:rsidR="00864A11" w:rsidTr="00864A11" w14:paraId="4FEBDF18" w14:textId="77777777">
        <w:trPr>
          <w:trHeight w:val="300"/>
        </w:trPr>
        <w:tc>
          <w:tcPr>
            <w:tcW w:w="2970"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5B728DDA"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Operational RIF</w:t>
            </w:r>
          </w:p>
        </w:tc>
        <w:tc>
          <w:tcPr>
            <w:tcW w:w="6410" w:type="dxa"/>
            <w:tcBorders>
              <w:top w:val="single" w:color="auto" w:sz="4" w:space="0"/>
              <w:left w:val="nil"/>
              <w:bottom w:val="single" w:color="auto" w:sz="4" w:space="0"/>
              <w:right w:val="single" w:color="auto" w:sz="4" w:space="0"/>
            </w:tcBorders>
            <w:shd w:val="clear" w:color="auto" w:fill="auto"/>
            <w:noWrap/>
            <w:vAlign w:val="bottom"/>
            <w:hideMark/>
          </w:tcPr>
          <w:p w:rsidRPr="00864A11" w:rsidR="00864A11" w:rsidP="00864A11" w:rsidRDefault="00864A11" w14:paraId="54B8C860"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Operational Procedures, Controls, Routine Maintenance</w:t>
            </w:r>
          </w:p>
        </w:tc>
      </w:tr>
      <w:tr w:rsidRPr="00864A11" w:rsidR="00864A11" w:rsidTr="00864A11" w14:paraId="4FF12BF7" w14:textId="77777777">
        <w:trPr>
          <w:trHeight w:val="300"/>
        </w:trPr>
        <w:tc>
          <w:tcPr>
            <w:tcW w:w="2970"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26DA7BDB"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Organization RIF</w:t>
            </w:r>
          </w:p>
        </w:tc>
        <w:tc>
          <w:tcPr>
            <w:tcW w:w="6410" w:type="dxa"/>
            <w:tcBorders>
              <w:top w:val="single" w:color="auto" w:sz="4" w:space="0"/>
              <w:left w:val="nil"/>
              <w:bottom w:val="single" w:color="auto" w:sz="4" w:space="0"/>
              <w:right w:val="single" w:color="auto" w:sz="4" w:space="0"/>
            </w:tcBorders>
            <w:shd w:val="clear" w:color="auto" w:fill="auto"/>
            <w:noWrap/>
            <w:vAlign w:val="bottom"/>
            <w:hideMark/>
          </w:tcPr>
          <w:p w:rsidRPr="00864A11" w:rsidR="00864A11" w:rsidP="00864A11" w:rsidRDefault="00864A11" w14:paraId="26CE35C2"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Cyber Security Culture</w:t>
            </w:r>
          </w:p>
        </w:tc>
      </w:tr>
      <w:tr w:rsidRPr="00864A11" w:rsidR="00864A11" w:rsidTr="00864A11" w14:paraId="3BAFC29C" w14:textId="77777777">
        <w:trPr>
          <w:trHeight w:val="300"/>
        </w:trPr>
        <w:tc>
          <w:tcPr>
            <w:tcW w:w="2970"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7230906C"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Regulatory/Customer RIF</w:t>
            </w:r>
          </w:p>
        </w:tc>
        <w:tc>
          <w:tcPr>
            <w:tcW w:w="6410" w:type="dxa"/>
            <w:tcBorders>
              <w:top w:val="single" w:color="auto" w:sz="4" w:space="0"/>
              <w:left w:val="nil"/>
              <w:bottom w:val="single" w:color="auto" w:sz="4" w:space="0"/>
              <w:right w:val="single" w:color="auto" w:sz="4" w:space="0"/>
            </w:tcBorders>
            <w:shd w:val="clear" w:color="auto" w:fill="auto"/>
            <w:noWrap/>
            <w:vAlign w:val="bottom"/>
            <w:hideMark/>
          </w:tcPr>
          <w:p w:rsidRPr="00864A11" w:rsidR="00864A11" w:rsidP="00864A11" w:rsidRDefault="00864A11" w14:paraId="4C217C70"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Protection of Customer Information, Proprietary Info</w:t>
            </w:r>
          </w:p>
        </w:tc>
      </w:tr>
    </w:tbl>
    <w:p w:rsidR="00D72B06" w:rsidP="00D72B06" w:rsidRDefault="00D72B06" w14:paraId="3F6F898D" w14:textId="7300625B"/>
    <w:tbl>
      <w:tblPr>
        <w:tblW w:w="9380" w:type="dxa"/>
        <w:tblLook w:val="04A0" w:firstRow="1" w:lastRow="0" w:firstColumn="1" w:lastColumn="0" w:noHBand="0" w:noVBand="1"/>
      </w:tblPr>
      <w:tblGrid>
        <w:gridCol w:w="2442"/>
        <w:gridCol w:w="6938"/>
      </w:tblGrid>
      <w:tr w:rsidRPr="00864A11" w:rsidR="00864A11" w:rsidTr="00864A11" w14:paraId="78FB825E" w14:textId="77777777">
        <w:trPr>
          <w:trHeight w:val="300"/>
        </w:trPr>
        <w:tc>
          <w:tcPr>
            <w:tcW w:w="9380" w:type="dxa"/>
            <w:gridSpan w:val="2"/>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64A11" w:rsidR="00864A11" w:rsidP="00864A11" w:rsidRDefault="00864A11" w14:paraId="7CD45631" w14:textId="77777777">
            <w:pPr>
              <w:spacing w:after="0" w:line="240" w:lineRule="auto"/>
              <w:jc w:val="center"/>
              <w:rPr>
                <w:rFonts w:ascii="Calibri" w:hAnsi="Calibri" w:eastAsia="Times New Roman" w:cs="Calibri"/>
                <w:b/>
                <w:bCs/>
                <w:color w:val="000000"/>
              </w:rPr>
            </w:pPr>
            <w:r w:rsidRPr="00864A11">
              <w:rPr>
                <w:rFonts w:ascii="Calibri" w:hAnsi="Calibri" w:eastAsia="Times New Roman" w:cs="Calibri"/>
                <w:b/>
                <w:bCs/>
                <w:color w:val="000000"/>
              </w:rPr>
              <w:t>Shipping &amp; Delivery</w:t>
            </w:r>
          </w:p>
        </w:tc>
      </w:tr>
      <w:tr w:rsidRPr="00864A11" w:rsidR="00864A11" w:rsidTr="00864A11" w14:paraId="7D4A2641" w14:textId="77777777">
        <w:trPr>
          <w:trHeight w:val="300"/>
        </w:trPr>
        <w:tc>
          <w:tcPr>
            <w:tcW w:w="2442"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63C557FE"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Operational RIF</w:t>
            </w:r>
          </w:p>
        </w:tc>
        <w:tc>
          <w:tcPr>
            <w:tcW w:w="6938" w:type="dxa"/>
            <w:tcBorders>
              <w:top w:val="single" w:color="auto" w:sz="4" w:space="0"/>
              <w:left w:val="nil"/>
              <w:bottom w:val="single" w:color="auto" w:sz="4" w:space="0"/>
              <w:right w:val="single" w:color="000000" w:sz="4" w:space="0"/>
            </w:tcBorders>
            <w:shd w:val="clear" w:color="auto" w:fill="auto"/>
            <w:noWrap/>
            <w:vAlign w:val="bottom"/>
            <w:hideMark/>
          </w:tcPr>
          <w:p w:rsidRPr="00864A11" w:rsidR="00864A11" w:rsidP="00864A11" w:rsidRDefault="00864A11" w14:paraId="24CD9141"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Driver Training, Safety Features in Vehicle</w:t>
            </w:r>
          </w:p>
        </w:tc>
      </w:tr>
      <w:tr w:rsidRPr="00864A11" w:rsidR="00864A11" w:rsidTr="00864A11" w14:paraId="7897D005" w14:textId="77777777">
        <w:trPr>
          <w:trHeight w:val="300"/>
        </w:trPr>
        <w:tc>
          <w:tcPr>
            <w:tcW w:w="2442"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20AA7BEF"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Organization RIF</w:t>
            </w:r>
          </w:p>
        </w:tc>
        <w:tc>
          <w:tcPr>
            <w:tcW w:w="6938" w:type="dxa"/>
            <w:tcBorders>
              <w:top w:val="single" w:color="auto" w:sz="4" w:space="0"/>
              <w:left w:val="nil"/>
              <w:bottom w:val="single" w:color="auto" w:sz="4" w:space="0"/>
              <w:right w:val="single" w:color="000000" w:sz="4" w:space="0"/>
            </w:tcBorders>
            <w:shd w:val="clear" w:color="auto" w:fill="auto"/>
            <w:noWrap/>
            <w:vAlign w:val="bottom"/>
            <w:hideMark/>
          </w:tcPr>
          <w:p w:rsidRPr="00864A11" w:rsidR="00864A11" w:rsidP="00864A11" w:rsidRDefault="00864A11" w14:paraId="47613E17"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Health &amp; Safety Culture, Teamsters Union</w:t>
            </w:r>
          </w:p>
        </w:tc>
      </w:tr>
      <w:tr w:rsidRPr="00864A11" w:rsidR="00864A11" w:rsidTr="00864A11" w14:paraId="04EF30A5" w14:textId="77777777">
        <w:trPr>
          <w:trHeight w:val="300"/>
        </w:trPr>
        <w:tc>
          <w:tcPr>
            <w:tcW w:w="2442"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73143D95"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Regulatory/Customer RIF</w:t>
            </w:r>
          </w:p>
        </w:tc>
        <w:tc>
          <w:tcPr>
            <w:tcW w:w="6938" w:type="dxa"/>
            <w:tcBorders>
              <w:top w:val="single" w:color="auto" w:sz="4" w:space="0"/>
              <w:left w:val="nil"/>
              <w:bottom w:val="single" w:color="auto" w:sz="4" w:space="0"/>
              <w:right w:val="single" w:color="000000" w:sz="4" w:space="0"/>
            </w:tcBorders>
            <w:shd w:val="clear" w:color="auto" w:fill="auto"/>
            <w:noWrap/>
            <w:vAlign w:val="bottom"/>
            <w:hideMark/>
          </w:tcPr>
          <w:p w:rsidRPr="00864A11" w:rsidR="00864A11" w:rsidP="00864A11" w:rsidRDefault="00864A11" w14:paraId="6A8B8160"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Federal Motor Carrier Safety Administration, OSHA, Customer Satisfaction</w:t>
            </w:r>
          </w:p>
        </w:tc>
      </w:tr>
    </w:tbl>
    <w:p w:rsidR="00864A11" w:rsidP="00D72B06" w:rsidRDefault="00864A11" w14:paraId="70CA2116" w14:textId="77777777"/>
    <w:tbl>
      <w:tblPr>
        <w:tblW w:w="9380" w:type="dxa"/>
        <w:tblLook w:val="04A0" w:firstRow="1" w:lastRow="0" w:firstColumn="1" w:lastColumn="0" w:noHBand="0" w:noVBand="1"/>
      </w:tblPr>
      <w:tblGrid>
        <w:gridCol w:w="3169"/>
        <w:gridCol w:w="6211"/>
      </w:tblGrid>
      <w:tr w:rsidRPr="00864A11" w:rsidR="00864A11" w:rsidTr="00864A11" w14:paraId="0539AA1E" w14:textId="77777777">
        <w:trPr>
          <w:trHeight w:val="300"/>
        </w:trPr>
        <w:tc>
          <w:tcPr>
            <w:tcW w:w="9380" w:type="dxa"/>
            <w:gridSpan w:val="2"/>
            <w:tcBorders>
              <w:top w:val="single" w:color="auto" w:sz="4" w:space="0"/>
              <w:left w:val="single" w:color="auto" w:sz="4" w:space="0"/>
              <w:bottom w:val="single" w:color="auto" w:sz="4" w:space="0"/>
              <w:right w:val="single" w:color="auto" w:sz="4" w:space="0"/>
            </w:tcBorders>
            <w:shd w:val="clear" w:color="000000" w:fill="EBF1DE"/>
            <w:noWrap/>
            <w:vAlign w:val="bottom"/>
            <w:hideMark/>
          </w:tcPr>
          <w:p w:rsidRPr="00864A11" w:rsidR="00864A11" w:rsidP="00864A11" w:rsidRDefault="00864A11" w14:paraId="6FD2CE1A" w14:textId="77777777">
            <w:pPr>
              <w:spacing w:after="0" w:line="240" w:lineRule="auto"/>
              <w:jc w:val="center"/>
              <w:rPr>
                <w:rFonts w:ascii="Calibri" w:hAnsi="Calibri" w:eastAsia="Times New Roman" w:cs="Calibri"/>
                <w:b/>
                <w:bCs/>
                <w:color w:val="000000"/>
              </w:rPr>
            </w:pPr>
            <w:r w:rsidRPr="00864A11">
              <w:rPr>
                <w:rFonts w:ascii="Calibri" w:hAnsi="Calibri" w:eastAsia="Times New Roman" w:cs="Calibri"/>
                <w:b/>
                <w:bCs/>
                <w:color w:val="000000"/>
              </w:rPr>
              <w:t>Fleet Maintenance</w:t>
            </w:r>
          </w:p>
        </w:tc>
      </w:tr>
      <w:tr w:rsidRPr="00864A11" w:rsidR="00864A11" w:rsidTr="00864A11" w14:paraId="673EB049" w14:textId="77777777">
        <w:trPr>
          <w:trHeight w:val="300"/>
        </w:trPr>
        <w:tc>
          <w:tcPr>
            <w:tcW w:w="3169"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103FFF51"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Operational RIF</w:t>
            </w:r>
          </w:p>
        </w:tc>
        <w:tc>
          <w:tcPr>
            <w:tcW w:w="6211" w:type="dxa"/>
            <w:tcBorders>
              <w:top w:val="single" w:color="auto" w:sz="4" w:space="0"/>
              <w:left w:val="nil"/>
              <w:bottom w:val="single" w:color="auto" w:sz="4" w:space="0"/>
              <w:right w:val="single" w:color="auto" w:sz="4" w:space="0"/>
            </w:tcBorders>
            <w:shd w:val="clear" w:color="auto" w:fill="auto"/>
            <w:noWrap/>
            <w:vAlign w:val="bottom"/>
            <w:hideMark/>
          </w:tcPr>
          <w:p w:rsidRPr="00864A11" w:rsidR="00864A11" w:rsidP="00864A11" w:rsidRDefault="00864A11" w14:paraId="023285AB"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Automatic Scheduling, Reporting Vehicle Issues</w:t>
            </w:r>
          </w:p>
        </w:tc>
      </w:tr>
      <w:tr w:rsidRPr="00864A11" w:rsidR="00864A11" w:rsidTr="00864A11" w14:paraId="270C5285" w14:textId="77777777">
        <w:trPr>
          <w:trHeight w:val="300"/>
        </w:trPr>
        <w:tc>
          <w:tcPr>
            <w:tcW w:w="3169"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6AFDBF14"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Organization RIF</w:t>
            </w:r>
          </w:p>
        </w:tc>
        <w:tc>
          <w:tcPr>
            <w:tcW w:w="6211" w:type="dxa"/>
            <w:tcBorders>
              <w:top w:val="single" w:color="auto" w:sz="4" w:space="0"/>
              <w:left w:val="nil"/>
              <w:bottom w:val="single" w:color="auto" w:sz="4" w:space="0"/>
              <w:right w:val="single" w:color="auto" w:sz="4" w:space="0"/>
            </w:tcBorders>
            <w:shd w:val="clear" w:color="auto" w:fill="auto"/>
            <w:noWrap/>
            <w:vAlign w:val="bottom"/>
            <w:hideMark/>
          </w:tcPr>
          <w:p w:rsidRPr="00864A11" w:rsidR="00864A11" w:rsidP="00864A11" w:rsidRDefault="00864A11" w14:paraId="23985BF4"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Health &amp; Safety Culture, Teamsters Union</w:t>
            </w:r>
          </w:p>
        </w:tc>
      </w:tr>
      <w:tr w:rsidRPr="00864A11" w:rsidR="00864A11" w:rsidTr="00864A11" w14:paraId="09B1C991" w14:textId="77777777">
        <w:trPr>
          <w:trHeight w:val="300"/>
        </w:trPr>
        <w:tc>
          <w:tcPr>
            <w:tcW w:w="3169" w:type="dxa"/>
            <w:tcBorders>
              <w:top w:val="nil"/>
              <w:left w:val="single" w:color="auto" w:sz="4" w:space="0"/>
              <w:bottom w:val="single" w:color="auto" w:sz="4" w:space="0"/>
              <w:right w:val="single" w:color="auto" w:sz="4" w:space="0"/>
            </w:tcBorders>
            <w:shd w:val="clear" w:color="auto" w:fill="auto"/>
            <w:noWrap/>
            <w:vAlign w:val="bottom"/>
            <w:hideMark/>
          </w:tcPr>
          <w:p w:rsidRPr="00864A11" w:rsidR="00864A11" w:rsidP="00864A11" w:rsidRDefault="00864A11" w14:paraId="1EC6789B" w14:textId="77777777">
            <w:pPr>
              <w:spacing w:after="0" w:line="240" w:lineRule="auto"/>
              <w:rPr>
                <w:rFonts w:ascii="Calibri" w:hAnsi="Calibri" w:eastAsia="Times New Roman" w:cs="Calibri"/>
                <w:b/>
                <w:bCs/>
                <w:color w:val="000000"/>
              </w:rPr>
            </w:pPr>
            <w:r w:rsidRPr="00864A11">
              <w:rPr>
                <w:rFonts w:ascii="Calibri" w:hAnsi="Calibri" w:eastAsia="Times New Roman" w:cs="Calibri"/>
                <w:b/>
                <w:bCs/>
                <w:color w:val="000000"/>
              </w:rPr>
              <w:t>Regulatory/Customer RIF</w:t>
            </w:r>
          </w:p>
        </w:tc>
        <w:tc>
          <w:tcPr>
            <w:tcW w:w="6211" w:type="dxa"/>
            <w:tcBorders>
              <w:top w:val="single" w:color="auto" w:sz="4" w:space="0"/>
              <w:left w:val="nil"/>
              <w:bottom w:val="single" w:color="auto" w:sz="4" w:space="0"/>
              <w:right w:val="single" w:color="auto" w:sz="4" w:space="0"/>
            </w:tcBorders>
            <w:shd w:val="clear" w:color="auto" w:fill="auto"/>
            <w:noWrap/>
            <w:vAlign w:val="bottom"/>
            <w:hideMark/>
          </w:tcPr>
          <w:p w:rsidRPr="00864A11" w:rsidR="00864A11" w:rsidP="00864A11" w:rsidRDefault="00864A11" w14:paraId="3F0DA64E" w14:textId="77777777">
            <w:pPr>
              <w:spacing w:after="0" w:line="240" w:lineRule="auto"/>
              <w:rPr>
                <w:rFonts w:ascii="Calibri" w:hAnsi="Calibri" w:eastAsia="Times New Roman" w:cs="Calibri"/>
                <w:color w:val="000000"/>
              </w:rPr>
            </w:pPr>
            <w:r w:rsidRPr="00864A11">
              <w:rPr>
                <w:rFonts w:ascii="Calibri" w:hAnsi="Calibri" w:eastAsia="Times New Roman" w:cs="Calibri"/>
                <w:color w:val="000000"/>
              </w:rPr>
              <w:t>Federal Motor Carrier Safety Administration, OSHA</w:t>
            </w:r>
          </w:p>
        </w:tc>
      </w:tr>
    </w:tbl>
    <w:p w:rsidR="00D72B06" w:rsidP="00D72B06" w:rsidRDefault="00D72B06" w14:paraId="76C3A05C" w14:textId="3DC2B5BD"/>
    <w:p w:rsidR="00D72B06" w:rsidP="00D72B06" w:rsidRDefault="00D72B06" w14:paraId="71C2EAF3" w14:textId="063F6117">
      <w:pPr>
        <w:pStyle w:val="Heading2"/>
      </w:pPr>
      <w:bookmarkStart w:name="_Toc58405311" w:id="12"/>
      <w:r>
        <w:t>Qualitative</w:t>
      </w:r>
      <w:r w:rsidR="00862C63">
        <w:t xml:space="preserve"> to Quantitative/Semi-Quantitative</w:t>
      </w:r>
      <w:r>
        <w:t xml:space="preserve"> Risk A</w:t>
      </w:r>
      <w:r w:rsidR="00862C63">
        <w:t>nalysis</w:t>
      </w:r>
      <w:bookmarkEnd w:id="12"/>
    </w:p>
    <w:p w:rsidR="00D72B06" w:rsidP="00D72B06" w:rsidRDefault="00247DFA" w14:paraId="585F486C" w14:textId="65A1206A">
      <w:pPr>
        <w:rPr>
          <w:rFonts w:ascii="Times New Roman" w:hAnsi="Times New Roman" w:cs="Times New Roman"/>
          <w:sz w:val="24"/>
          <w:szCs w:val="24"/>
        </w:rPr>
      </w:pPr>
      <w:r>
        <w:rPr>
          <w:rFonts w:ascii="Times New Roman" w:hAnsi="Times New Roman" w:cs="Times New Roman"/>
          <w:sz w:val="24"/>
          <w:szCs w:val="24"/>
        </w:rPr>
        <w:t xml:space="preserve">Based on our understanding of the mission of UPS, business functions, and potentials hazards or threats, we can determine which hazardous events pose the greatest risk by </w:t>
      </w:r>
      <w:r w:rsidR="00862C63">
        <w:rPr>
          <w:rFonts w:ascii="Times New Roman" w:hAnsi="Times New Roman" w:cs="Times New Roman"/>
          <w:sz w:val="24"/>
          <w:szCs w:val="24"/>
        </w:rPr>
        <w:t xml:space="preserve">their </w:t>
      </w:r>
      <w:r>
        <w:rPr>
          <w:rFonts w:ascii="Times New Roman" w:hAnsi="Times New Roman" w:cs="Times New Roman"/>
          <w:sz w:val="24"/>
          <w:szCs w:val="24"/>
        </w:rPr>
        <w:t>likelihood</w:t>
      </w:r>
      <w:r w:rsidR="00862C63">
        <w:rPr>
          <w:rFonts w:ascii="Times New Roman" w:hAnsi="Times New Roman" w:cs="Times New Roman"/>
          <w:sz w:val="24"/>
          <w:szCs w:val="24"/>
        </w:rPr>
        <w:t xml:space="preserve"> versus their </w:t>
      </w:r>
      <w:r>
        <w:rPr>
          <w:rFonts w:ascii="Times New Roman" w:hAnsi="Times New Roman" w:cs="Times New Roman"/>
          <w:sz w:val="24"/>
          <w:szCs w:val="24"/>
        </w:rPr>
        <w:t xml:space="preserve">impact. </w:t>
      </w:r>
    </w:p>
    <w:p w:rsidR="00A913A5" w:rsidP="00D72B06" w:rsidRDefault="00A913A5" w14:paraId="716562A3" w14:textId="7D569B45">
      <w:pPr>
        <w:rPr>
          <w:rFonts w:ascii="Times New Roman" w:hAnsi="Times New Roman" w:cs="Times New Roman"/>
          <w:sz w:val="24"/>
          <w:szCs w:val="24"/>
        </w:rPr>
      </w:pPr>
      <w:r>
        <w:rPr>
          <w:rFonts w:ascii="Times New Roman" w:hAnsi="Times New Roman" w:cs="Times New Roman"/>
          <w:sz w:val="24"/>
          <w:szCs w:val="24"/>
        </w:rPr>
        <w:t xml:space="preserve">Delivery vehicle accidents, data breaches, and </w:t>
      </w:r>
      <w:r w:rsidR="00D605C6">
        <w:rPr>
          <w:rFonts w:ascii="Times New Roman" w:hAnsi="Times New Roman" w:cs="Times New Roman"/>
          <w:sz w:val="24"/>
          <w:szCs w:val="24"/>
        </w:rPr>
        <w:t xml:space="preserve">logistic systems failure </w:t>
      </w:r>
      <w:r>
        <w:rPr>
          <w:rFonts w:ascii="Times New Roman" w:hAnsi="Times New Roman" w:cs="Times New Roman"/>
          <w:sz w:val="24"/>
          <w:szCs w:val="24"/>
        </w:rPr>
        <w:t xml:space="preserve">pose the most overall risk to UPS in terms of cost and damage to the reputation. The figure below outlines the </w:t>
      </w:r>
      <w:r w:rsidR="00D605C6">
        <w:rPr>
          <w:rFonts w:ascii="Times New Roman" w:hAnsi="Times New Roman" w:cs="Times New Roman"/>
          <w:sz w:val="24"/>
          <w:szCs w:val="24"/>
        </w:rPr>
        <w:t>scale.</w:t>
      </w:r>
    </w:p>
    <w:tbl>
      <w:tblPr>
        <w:tblW w:w="8100" w:type="dxa"/>
        <w:tblLook w:val="04A0" w:firstRow="1" w:lastRow="0" w:firstColumn="1" w:lastColumn="0" w:noHBand="0" w:noVBand="1"/>
      </w:tblPr>
      <w:tblGrid>
        <w:gridCol w:w="1400"/>
        <w:gridCol w:w="1340"/>
        <w:gridCol w:w="1340"/>
        <w:gridCol w:w="1340"/>
        <w:gridCol w:w="1340"/>
        <w:gridCol w:w="1340"/>
      </w:tblGrid>
      <w:tr w:rsidRPr="00320385" w:rsidR="00EF5190" w:rsidTr="006C33C2" w14:paraId="364DE898" w14:textId="77777777">
        <w:trPr>
          <w:trHeight w:val="300"/>
        </w:trPr>
        <w:tc>
          <w:tcPr>
            <w:tcW w:w="14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20385" w:rsidR="00EF5190" w:rsidP="006C33C2" w:rsidRDefault="00EF5190" w14:paraId="4A9CB679"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xml:space="preserve">Overall </w:t>
            </w:r>
          </w:p>
        </w:tc>
        <w:tc>
          <w:tcPr>
            <w:tcW w:w="1340" w:type="dxa"/>
            <w:tcBorders>
              <w:top w:val="single" w:color="auto" w:sz="4" w:space="0"/>
              <w:left w:val="nil"/>
              <w:bottom w:val="single" w:color="auto" w:sz="4" w:space="0"/>
              <w:right w:val="single" w:color="auto" w:sz="4" w:space="0"/>
            </w:tcBorders>
            <w:shd w:val="clear" w:color="000000" w:fill="00B0F0"/>
            <w:noWrap/>
            <w:vAlign w:val="bottom"/>
            <w:hideMark/>
          </w:tcPr>
          <w:p w:rsidRPr="00320385" w:rsidR="00EF5190" w:rsidP="006C33C2" w:rsidRDefault="00EF5190" w14:paraId="791117C5"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Very Low</w:t>
            </w:r>
          </w:p>
        </w:tc>
        <w:tc>
          <w:tcPr>
            <w:tcW w:w="1340" w:type="dxa"/>
            <w:tcBorders>
              <w:top w:val="single" w:color="auto" w:sz="4" w:space="0"/>
              <w:left w:val="nil"/>
              <w:bottom w:val="single" w:color="auto" w:sz="4" w:space="0"/>
              <w:right w:val="single" w:color="auto" w:sz="4" w:space="0"/>
            </w:tcBorders>
            <w:shd w:val="clear" w:color="000000" w:fill="92D050"/>
            <w:noWrap/>
            <w:vAlign w:val="bottom"/>
            <w:hideMark/>
          </w:tcPr>
          <w:p w:rsidRPr="00320385" w:rsidR="00EF5190" w:rsidP="006C33C2" w:rsidRDefault="00EF5190" w14:paraId="1FC9DC46"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Low</w:t>
            </w:r>
          </w:p>
        </w:tc>
        <w:tc>
          <w:tcPr>
            <w:tcW w:w="1340" w:type="dxa"/>
            <w:tcBorders>
              <w:top w:val="single" w:color="auto" w:sz="4" w:space="0"/>
              <w:left w:val="nil"/>
              <w:bottom w:val="single" w:color="auto" w:sz="4" w:space="0"/>
              <w:right w:val="single" w:color="auto" w:sz="4" w:space="0"/>
            </w:tcBorders>
            <w:shd w:val="clear" w:color="000000" w:fill="FFFF00"/>
            <w:noWrap/>
            <w:vAlign w:val="bottom"/>
            <w:hideMark/>
          </w:tcPr>
          <w:p w:rsidRPr="00320385" w:rsidR="00EF5190" w:rsidP="006C33C2" w:rsidRDefault="00EF5190" w14:paraId="1E143F13"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Moderate</w:t>
            </w:r>
          </w:p>
        </w:tc>
        <w:tc>
          <w:tcPr>
            <w:tcW w:w="1340" w:type="dxa"/>
            <w:tcBorders>
              <w:top w:val="single" w:color="auto" w:sz="4" w:space="0"/>
              <w:left w:val="nil"/>
              <w:bottom w:val="single" w:color="auto" w:sz="4" w:space="0"/>
              <w:right w:val="single" w:color="auto" w:sz="4" w:space="0"/>
            </w:tcBorders>
            <w:shd w:val="clear" w:color="000000" w:fill="FFC000"/>
            <w:noWrap/>
            <w:vAlign w:val="bottom"/>
            <w:hideMark/>
          </w:tcPr>
          <w:p w:rsidRPr="00320385" w:rsidR="00EF5190" w:rsidP="006C33C2" w:rsidRDefault="00EF5190" w14:paraId="09C486FC"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High</w:t>
            </w:r>
          </w:p>
        </w:tc>
        <w:tc>
          <w:tcPr>
            <w:tcW w:w="1340" w:type="dxa"/>
            <w:tcBorders>
              <w:top w:val="single" w:color="auto" w:sz="4" w:space="0"/>
              <w:left w:val="nil"/>
              <w:bottom w:val="single" w:color="auto" w:sz="4" w:space="0"/>
              <w:right w:val="single" w:color="auto" w:sz="4" w:space="0"/>
            </w:tcBorders>
            <w:shd w:val="clear" w:color="000000" w:fill="FF0000"/>
            <w:noWrap/>
            <w:vAlign w:val="bottom"/>
            <w:hideMark/>
          </w:tcPr>
          <w:p w:rsidRPr="00320385" w:rsidR="00EF5190" w:rsidP="006C33C2" w:rsidRDefault="00EF5190" w14:paraId="537B252C"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Very High</w:t>
            </w:r>
          </w:p>
        </w:tc>
      </w:tr>
    </w:tbl>
    <w:p w:rsidR="00320385" w:rsidP="00D72B06" w:rsidRDefault="00320385" w14:paraId="3A9305D6" w14:textId="77777777">
      <w:pPr>
        <w:rPr>
          <w:rFonts w:ascii="Times New Roman" w:hAnsi="Times New Roman" w:cs="Times New Roman"/>
          <w:sz w:val="24"/>
          <w:szCs w:val="24"/>
        </w:rPr>
      </w:pPr>
    </w:p>
    <w:tbl>
      <w:tblPr>
        <w:tblW w:w="8100" w:type="dxa"/>
        <w:tblLook w:val="04A0" w:firstRow="1" w:lastRow="0" w:firstColumn="1" w:lastColumn="0" w:noHBand="0" w:noVBand="1"/>
      </w:tblPr>
      <w:tblGrid>
        <w:gridCol w:w="1400"/>
        <w:gridCol w:w="1340"/>
        <w:gridCol w:w="1340"/>
        <w:gridCol w:w="1340"/>
        <w:gridCol w:w="1340"/>
        <w:gridCol w:w="1340"/>
      </w:tblGrid>
      <w:tr w:rsidRPr="00320385" w:rsidR="00320385" w:rsidTr="00320385" w14:paraId="0B84AE92" w14:textId="77777777">
        <w:trPr>
          <w:trHeight w:val="300"/>
        </w:trPr>
        <w:tc>
          <w:tcPr>
            <w:tcW w:w="14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20385" w:rsidR="00320385" w:rsidP="00320385" w:rsidRDefault="00320385" w14:paraId="339967F0"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lastRenderedPageBreak/>
              <w:t> </w:t>
            </w:r>
          </w:p>
        </w:tc>
        <w:tc>
          <w:tcPr>
            <w:tcW w:w="1340" w:type="dxa"/>
            <w:tcBorders>
              <w:top w:val="single" w:color="auto" w:sz="4" w:space="0"/>
              <w:left w:val="nil"/>
              <w:bottom w:val="single" w:color="auto" w:sz="4" w:space="0"/>
              <w:right w:val="nil"/>
            </w:tcBorders>
            <w:shd w:val="clear" w:color="auto" w:fill="auto"/>
            <w:noWrap/>
            <w:vAlign w:val="bottom"/>
            <w:hideMark/>
          </w:tcPr>
          <w:p w:rsidRPr="00320385" w:rsidR="00320385" w:rsidP="00320385" w:rsidRDefault="00320385" w14:paraId="1F353729"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single" w:color="auto" w:sz="4" w:space="0"/>
              <w:left w:val="nil"/>
              <w:bottom w:val="single" w:color="auto" w:sz="4" w:space="0"/>
              <w:right w:val="nil"/>
            </w:tcBorders>
            <w:shd w:val="clear" w:color="auto" w:fill="auto"/>
            <w:noWrap/>
            <w:vAlign w:val="bottom"/>
            <w:hideMark/>
          </w:tcPr>
          <w:p w:rsidRPr="00320385" w:rsidR="00320385" w:rsidP="00320385" w:rsidRDefault="00320385" w14:paraId="5791D29F"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w:t>
            </w:r>
          </w:p>
        </w:tc>
        <w:tc>
          <w:tcPr>
            <w:tcW w:w="1340" w:type="dxa"/>
            <w:tcBorders>
              <w:top w:val="single" w:color="auto" w:sz="4" w:space="0"/>
              <w:left w:val="nil"/>
              <w:bottom w:val="single" w:color="auto" w:sz="4" w:space="0"/>
              <w:right w:val="nil"/>
            </w:tcBorders>
            <w:shd w:val="clear" w:color="auto" w:fill="auto"/>
            <w:noWrap/>
            <w:vAlign w:val="bottom"/>
            <w:hideMark/>
          </w:tcPr>
          <w:p w:rsidRPr="00320385" w:rsidR="00320385" w:rsidP="00320385" w:rsidRDefault="00320385" w14:paraId="1049F67B"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Impact</w:t>
            </w:r>
          </w:p>
        </w:tc>
        <w:tc>
          <w:tcPr>
            <w:tcW w:w="1340" w:type="dxa"/>
            <w:tcBorders>
              <w:top w:val="single" w:color="auto" w:sz="4" w:space="0"/>
              <w:left w:val="nil"/>
              <w:bottom w:val="single" w:color="auto" w:sz="4" w:space="0"/>
              <w:right w:val="nil"/>
            </w:tcBorders>
            <w:shd w:val="clear" w:color="auto" w:fill="auto"/>
            <w:noWrap/>
            <w:vAlign w:val="bottom"/>
            <w:hideMark/>
          </w:tcPr>
          <w:p w:rsidRPr="00320385" w:rsidR="00320385" w:rsidP="00320385" w:rsidRDefault="00320385" w14:paraId="00818290"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w:t>
            </w:r>
          </w:p>
        </w:tc>
        <w:tc>
          <w:tcPr>
            <w:tcW w:w="1340" w:type="dxa"/>
            <w:tcBorders>
              <w:top w:val="single" w:color="auto" w:sz="4" w:space="0"/>
              <w:left w:val="nil"/>
              <w:bottom w:val="single" w:color="auto" w:sz="4" w:space="0"/>
              <w:right w:val="single" w:color="auto" w:sz="4" w:space="0"/>
            </w:tcBorders>
            <w:shd w:val="clear" w:color="auto" w:fill="auto"/>
            <w:noWrap/>
            <w:vAlign w:val="bottom"/>
            <w:hideMark/>
          </w:tcPr>
          <w:p w:rsidRPr="00320385" w:rsidR="00320385" w:rsidP="00320385" w:rsidRDefault="00320385" w14:paraId="037A726F"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w:t>
            </w:r>
          </w:p>
        </w:tc>
      </w:tr>
      <w:tr w:rsidRPr="00320385" w:rsidR="00320385" w:rsidTr="00320385" w14:paraId="4D29A5D6" w14:textId="77777777">
        <w:trPr>
          <w:trHeight w:val="300"/>
        </w:trPr>
        <w:tc>
          <w:tcPr>
            <w:tcW w:w="1400" w:type="dxa"/>
            <w:tcBorders>
              <w:top w:val="nil"/>
              <w:left w:val="single" w:color="auto" w:sz="4" w:space="0"/>
              <w:bottom w:val="single" w:color="auto" w:sz="4" w:space="0"/>
              <w:right w:val="single" w:color="auto" w:sz="4" w:space="0"/>
            </w:tcBorders>
            <w:shd w:val="clear" w:color="auto" w:fill="auto"/>
            <w:noWrap/>
            <w:vAlign w:val="bottom"/>
            <w:hideMark/>
          </w:tcPr>
          <w:p w:rsidRPr="00320385" w:rsidR="00320385" w:rsidP="00320385" w:rsidRDefault="00320385" w14:paraId="7C29D662"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xml:space="preserve">Likelihood </w:t>
            </w:r>
          </w:p>
        </w:tc>
        <w:tc>
          <w:tcPr>
            <w:tcW w:w="1340" w:type="dxa"/>
            <w:tcBorders>
              <w:top w:val="nil"/>
              <w:left w:val="nil"/>
              <w:bottom w:val="single" w:color="auto" w:sz="4" w:space="0"/>
              <w:right w:val="single" w:color="auto" w:sz="4" w:space="0"/>
            </w:tcBorders>
            <w:shd w:val="clear" w:color="auto" w:fill="auto"/>
            <w:noWrap/>
            <w:vAlign w:val="bottom"/>
            <w:hideMark/>
          </w:tcPr>
          <w:p w:rsidRPr="00320385" w:rsidR="00320385" w:rsidP="00320385" w:rsidRDefault="00320385" w14:paraId="6C126923"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xml:space="preserve">Very Low </w:t>
            </w:r>
          </w:p>
        </w:tc>
        <w:tc>
          <w:tcPr>
            <w:tcW w:w="1340" w:type="dxa"/>
            <w:tcBorders>
              <w:top w:val="nil"/>
              <w:left w:val="nil"/>
              <w:bottom w:val="single" w:color="auto" w:sz="4" w:space="0"/>
              <w:right w:val="single" w:color="auto" w:sz="4" w:space="0"/>
            </w:tcBorders>
            <w:shd w:val="clear" w:color="auto" w:fill="auto"/>
            <w:noWrap/>
            <w:vAlign w:val="bottom"/>
            <w:hideMark/>
          </w:tcPr>
          <w:p w:rsidRPr="00320385" w:rsidR="00320385" w:rsidP="00320385" w:rsidRDefault="00320385" w14:paraId="19585994"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Low</w:t>
            </w:r>
          </w:p>
        </w:tc>
        <w:tc>
          <w:tcPr>
            <w:tcW w:w="1340" w:type="dxa"/>
            <w:tcBorders>
              <w:top w:val="nil"/>
              <w:left w:val="nil"/>
              <w:bottom w:val="single" w:color="auto" w:sz="4" w:space="0"/>
              <w:right w:val="single" w:color="auto" w:sz="4" w:space="0"/>
            </w:tcBorders>
            <w:shd w:val="clear" w:color="auto" w:fill="auto"/>
            <w:noWrap/>
            <w:vAlign w:val="bottom"/>
            <w:hideMark/>
          </w:tcPr>
          <w:p w:rsidRPr="00320385" w:rsidR="00320385" w:rsidP="00320385" w:rsidRDefault="00320385" w14:paraId="6D7151F6"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Moderate</w:t>
            </w:r>
          </w:p>
        </w:tc>
        <w:tc>
          <w:tcPr>
            <w:tcW w:w="1340" w:type="dxa"/>
            <w:tcBorders>
              <w:top w:val="nil"/>
              <w:left w:val="nil"/>
              <w:bottom w:val="single" w:color="auto" w:sz="4" w:space="0"/>
              <w:right w:val="single" w:color="auto" w:sz="4" w:space="0"/>
            </w:tcBorders>
            <w:shd w:val="clear" w:color="auto" w:fill="auto"/>
            <w:noWrap/>
            <w:vAlign w:val="bottom"/>
            <w:hideMark/>
          </w:tcPr>
          <w:p w:rsidRPr="00320385" w:rsidR="00320385" w:rsidP="00320385" w:rsidRDefault="00320385" w14:paraId="2F624A59"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xml:space="preserve">High </w:t>
            </w:r>
          </w:p>
        </w:tc>
        <w:tc>
          <w:tcPr>
            <w:tcW w:w="1340" w:type="dxa"/>
            <w:tcBorders>
              <w:top w:val="nil"/>
              <w:left w:val="nil"/>
              <w:bottom w:val="single" w:color="auto" w:sz="4" w:space="0"/>
              <w:right w:val="single" w:color="auto" w:sz="4" w:space="0"/>
            </w:tcBorders>
            <w:shd w:val="clear" w:color="auto" w:fill="auto"/>
            <w:noWrap/>
            <w:vAlign w:val="bottom"/>
            <w:hideMark/>
          </w:tcPr>
          <w:p w:rsidRPr="00320385" w:rsidR="00320385" w:rsidP="00320385" w:rsidRDefault="00320385" w14:paraId="68CAF519"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Very High</w:t>
            </w:r>
          </w:p>
        </w:tc>
      </w:tr>
      <w:tr w:rsidRPr="00320385" w:rsidR="00320385" w:rsidTr="00320385" w14:paraId="65960889" w14:textId="77777777">
        <w:trPr>
          <w:trHeight w:val="300"/>
        </w:trPr>
        <w:tc>
          <w:tcPr>
            <w:tcW w:w="1400" w:type="dxa"/>
            <w:tcBorders>
              <w:top w:val="nil"/>
              <w:left w:val="single" w:color="auto" w:sz="4" w:space="0"/>
              <w:bottom w:val="single" w:color="auto" w:sz="4" w:space="0"/>
              <w:right w:val="single" w:color="auto" w:sz="4" w:space="0"/>
            </w:tcBorders>
            <w:shd w:val="clear" w:color="auto" w:fill="auto"/>
            <w:noWrap/>
            <w:vAlign w:val="bottom"/>
            <w:hideMark/>
          </w:tcPr>
          <w:p w:rsidRPr="00320385" w:rsidR="00320385" w:rsidP="00320385" w:rsidRDefault="00320385" w14:paraId="51CBCFD8"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xml:space="preserve">Very High </w:t>
            </w:r>
          </w:p>
        </w:tc>
        <w:tc>
          <w:tcPr>
            <w:tcW w:w="1340" w:type="dxa"/>
            <w:tcBorders>
              <w:top w:val="nil"/>
              <w:left w:val="nil"/>
              <w:bottom w:val="single" w:color="auto" w:sz="4" w:space="0"/>
              <w:right w:val="single" w:color="auto" w:sz="4" w:space="0"/>
            </w:tcBorders>
            <w:shd w:val="clear" w:color="000000" w:fill="00B0F0"/>
            <w:noWrap/>
            <w:vAlign w:val="bottom"/>
            <w:hideMark/>
          </w:tcPr>
          <w:p w:rsidRPr="00320385" w:rsidR="00320385" w:rsidP="00320385" w:rsidRDefault="00320385" w14:paraId="12F167CA"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52276D73"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FFFF00"/>
            <w:noWrap/>
            <w:vAlign w:val="bottom"/>
            <w:hideMark/>
          </w:tcPr>
          <w:p w:rsidRPr="00320385" w:rsidR="00320385" w:rsidP="00320385" w:rsidRDefault="00320385" w14:paraId="4D9EB00A"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FFC000"/>
            <w:noWrap/>
            <w:vAlign w:val="bottom"/>
            <w:hideMark/>
          </w:tcPr>
          <w:p w:rsidRPr="00320385" w:rsidR="00320385" w:rsidP="00320385" w:rsidRDefault="00320385" w14:paraId="5BD4529D"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FF0000"/>
            <w:noWrap/>
            <w:vAlign w:val="bottom"/>
            <w:hideMark/>
          </w:tcPr>
          <w:p w:rsidRPr="00320385" w:rsidR="00320385" w:rsidP="00320385" w:rsidRDefault="00320385" w14:paraId="7B7228D9"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r>
      <w:tr w:rsidRPr="00320385" w:rsidR="00320385" w:rsidTr="00320385" w14:paraId="59798F1D" w14:textId="77777777">
        <w:trPr>
          <w:trHeight w:val="300"/>
        </w:trPr>
        <w:tc>
          <w:tcPr>
            <w:tcW w:w="1400" w:type="dxa"/>
            <w:tcBorders>
              <w:top w:val="nil"/>
              <w:left w:val="single" w:color="auto" w:sz="4" w:space="0"/>
              <w:bottom w:val="single" w:color="auto" w:sz="4" w:space="0"/>
              <w:right w:val="single" w:color="auto" w:sz="4" w:space="0"/>
            </w:tcBorders>
            <w:shd w:val="clear" w:color="auto" w:fill="auto"/>
            <w:noWrap/>
            <w:vAlign w:val="bottom"/>
            <w:hideMark/>
          </w:tcPr>
          <w:p w:rsidRPr="00320385" w:rsidR="00320385" w:rsidP="00320385" w:rsidRDefault="00320385" w14:paraId="47D26BC7"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High</w:t>
            </w:r>
          </w:p>
        </w:tc>
        <w:tc>
          <w:tcPr>
            <w:tcW w:w="1340" w:type="dxa"/>
            <w:tcBorders>
              <w:top w:val="nil"/>
              <w:left w:val="nil"/>
              <w:bottom w:val="single" w:color="auto" w:sz="4" w:space="0"/>
              <w:right w:val="single" w:color="auto" w:sz="4" w:space="0"/>
            </w:tcBorders>
            <w:shd w:val="clear" w:color="000000" w:fill="00B0F0"/>
            <w:noWrap/>
            <w:vAlign w:val="bottom"/>
            <w:hideMark/>
          </w:tcPr>
          <w:p w:rsidRPr="00320385" w:rsidR="00320385" w:rsidP="00320385" w:rsidRDefault="00320385" w14:paraId="6E7D7C5E"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DDR</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5F192280"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FFFF00"/>
            <w:noWrap/>
            <w:vAlign w:val="bottom"/>
            <w:hideMark/>
          </w:tcPr>
          <w:p w:rsidRPr="00320385" w:rsidR="00320385" w:rsidP="00320385" w:rsidRDefault="00320385" w14:paraId="624D682F"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FFC000"/>
            <w:noWrap/>
            <w:vAlign w:val="bottom"/>
            <w:hideMark/>
          </w:tcPr>
          <w:p w:rsidRPr="00320385" w:rsidR="00320385" w:rsidP="00320385" w:rsidRDefault="00320385" w14:paraId="4EA2AB30" w14:textId="77777777">
            <w:pPr>
              <w:spacing w:after="0" w:line="240" w:lineRule="auto"/>
              <w:rPr>
                <w:rFonts w:ascii="Calibri" w:hAnsi="Calibri" w:eastAsia="Times New Roman" w:cs="Calibri"/>
              </w:rPr>
            </w:pPr>
            <w:r w:rsidRPr="00320385">
              <w:rPr>
                <w:rFonts w:ascii="Calibri" w:hAnsi="Calibri" w:eastAsia="Times New Roman" w:cs="Calibri"/>
              </w:rPr>
              <w:t>DB</w:t>
            </w:r>
          </w:p>
        </w:tc>
        <w:tc>
          <w:tcPr>
            <w:tcW w:w="1340" w:type="dxa"/>
            <w:tcBorders>
              <w:top w:val="nil"/>
              <w:left w:val="nil"/>
              <w:bottom w:val="single" w:color="auto" w:sz="4" w:space="0"/>
              <w:right w:val="single" w:color="auto" w:sz="4" w:space="0"/>
            </w:tcBorders>
            <w:shd w:val="clear" w:color="000000" w:fill="FF0000"/>
            <w:noWrap/>
            <w:vAlign w:val="bottom"/>
            <w:hideMark/>
          </w:tcPr>
          <w:p w:rsidRPr="00320385" w:rsidR="00320385" w:rsidP="00320385" w:rsidRDefault="00320385" w14:paraId="518E41A7" w14:textId="77777777">
            <w:pPr>
              <w:spacing w:after="0" w:line="240" w:lineRule="auto"/>
              <w:rPr>
                <w:rFonts w:ascii="Calibri" w:hAnsi="Calibri" w:eastAsia="Times New Roman" w:cs="Calibri"/>
              </w:rPr>
            </w:pPr>
            <w:r w:rsidRPr="00320385">
              <w:rPr>
                <w:rFonts w:ascii="Calibri" w:hAnsi="Calibri" w:eastAsia="Times New Roman" w:cs="Calibri"/>
              </w:rPr>
              <w:t>DVA</w:t>
            </w:r>
          </w:p>
        </w:tc>
      </w:tr>
      <w:tr w:rsidRPr="00320385" w:rsidR="00320385" w:rsidTr="00320385" w14:paraId="29065400" w14:textId="77777777">
        <w:trPr>
          <w:trHeight w:val="300"/>
        </w:trPr>
        <w:tc>
          <w:tcPr>
            <w:tcW w:w="1400" w:type="dxa"/>
            <w:tcBorders>
              <w:top w:val="nil"/>
              <w:left w:val="single" w:color="auto" w:sz="4" w:space="0"/>
              <w:bottom w:val="single" w:color="auto" w:sz="4" w:space="0"/>
              <w:right w:val="single" w:color="auto" w:sz="4" w:space="0"/>
            </w:tcBorders>
            <w:shd w:val="clear" w:color="auto" w:fill="auto"/>
            <w:noWrap/>
            <w:vAlign w:val="bottom"/>
            <w:hideMark/>
          </w:tcPr>
          <w:p w:rsidRPr="00320385" w:rsidR="00320385" w:rsidP="00320385" w:rsidRDefault="00320385" w14:paraId="27743782"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Moderate</w:t>
            </w:r>
          </w:p>
        </w:tc>
        <w:tc>
          <w:tcPr>
            <w:tcW w:w="1340" w:type="dxa"/>
            <w:tcBorders>
              <w:top w:val="nil"/>
              <w:left w:val="nil"/>
              <w:bottom w:val="single" w:color="auto" w:sz="4" w:space="0"/>
              <w:right w:val="single" w:color="auto" w:sz="4" w:space="0"/>
            </w:tcBorders>
            <w:shd w:val="clear" w:color="000000" w:fill="00B0F0"/>
            <w:noWrap/>
            <w:vAlign w:val="bottom"/>
            <w:hideMark/>
          </w:tcPr>
          <w:p w:rsidRPr="00320385" w:rsidR="00320385" w:rsidP="00320385" w:rsidRDefault="00320385" w14:paraId="30824640"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10CDDECB"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HF, IVA</w:t>
            </w:r>
          </w:p>
        </w:tc>
        <w:tc>
          <w:tcPr>
            <w:tcW w:w="1340" w:type="dxa"/>
            <w:tcBorders>
              <w:top w:val="nil"/>
              <w:left w:val="nil"/>
              <w:bottom w:val="single" w:color="auto" w:sz="4" w:space="0"/>
              <w:right w:val="single" w:color="auto" w:sz="4" w:space="0"/>
            </w:tcBorders>
            <w:shd w:val="clear" w:color="000000" w:fill="FFFF00"/>
            <w:noWrap/>
            <w:vAlign w:val="bottom"/>
            <w:hideMark/>
          </w:tcPr>
          <w:p w:rsidRPr="00320385" w:rsidR="00320385" w:rsidP="00320385" w:rsidRDefault="00320385" w14:paraId="44E8C78B"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PLSD</w:t>
            </w:r>
          </w:p>
        </w:tc>
        <w:tc>
          <w:tcPr>
            <w:tcW w:w="1340" w:type="dxa"/>
            <w:tcBorders>
              <w:top w:val="nil"/>
              <w:left w:val="nil"/>
              <w:bottom w:val="single" w:color="auto" w:sz="4" w:space="0"/>
              <w:right w:val="single" w:color="auto" w:sz="4" w:space="0"/>
            </w:tcBorders>
            <w:shd w:val="clear" w:color="000000" w:fill="FFFF00"/>
            <w:noWrap/>
            <w:vAlign w:val="bottom"/>
            <w:hideMark/>
          </w:tcPr>
          <w:p w:rsidRPr="00320385" w:rsidR="00320385" w:rsidP="00320385" w:rsidRDefault="00320385" w14:paraId="313C095F"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FFC000"/>
            <w:noWrap/>
            <w:vAlign w:val="bottom"/>
            <w:hideMark/>
          </w:tcPr>
          <w:p w:rsidRPr="00320385" w:rsidR="00320385" w:rsidP="00320385" w:rsidRDefault="00320385" w14:paraId="67404E3C"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LSF</w:t>
            </w:r>
          </w:p>
        </w:tc>
      </w:tr>
      <w:tr w:rsidRPr="00320385" w:rsidR="00320385" w:rsidTr="00320385" w14:paraId="3201E8C7" w14:textId="77777777">
        <w:trPr>
          <w:trHeight w:val="300"/>
        </w:trPr>
        <w:tc>
          <w:tcPr>
            <w:tcW w:w="1400" w:type="dxa"/>
            <w:tcBorders>
              <w:top w:val="nil"/>
              <w:left w:val="single" w:color="auto" w:sz="4" w:space="0"/>
              <w:bottom w:val="single" w:color="auto" w:sz="4" w:space="0"/>
              <w:right w:val="single" w:color="auto" w:sz="4" w:space="0"/>
            </w:tcBorders>
            <w:shd w:val="clear" w:color="auto" w:fill="auto"/>
            <w:noWrap/>
            <w:vAlign w:val="bottom"/>
            <w:hideMark/>
          </w:tcPr>
          <w:p w:rsidRPr="00320385" w:rsidR="00320385" w:rsidP="00320385" w:rsidRDefault="00320385" w14:paraId="72D155AB"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 xml:space="preserve">Low </w:t>
            </w:r>
          </w:p>
        </w:tc>
        <w:tc>
          <w:tcPr>
            <w:tcW w:w="1340" w:type="dxa"/>
            <w:tcBorders>
              <w:top w:val="nil"/>
              <w:left w:val="nil"/>
              <w:bottom w:val="single" w:color="auto" w:sz="4" w:space="0"/>
              <w:right w:val="single" w:color="auto" w:sz="4" w:space="0"/>
            </w:tcBorders>
            <w:shd w:val="clear" w:color="000000" w:fill="00B0F0"/>
            <w:noWrap/>
            <w:vAlign w:val="bottom"/>
            <w:hideMark/>
          </w:tcPr>
          <w:p w:rsidRPr="00320385" w:rsidR="00320385" w:rsidP="00320385" w:rsidRDefault="00320385" w14:paraId="63D080DF"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50ECDFAD"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2A4DC292"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042E22E6"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AD</w:t>
            </w:r>
          </w:p>
        </w:tc>
        <w:tc>
          <w:tcPr>
            <w:tcW w:w="1340" w:type="dxa"/>
            <w:tcBorders>
              <w:top w:val="nil"/>
              <w:left w:val="nil"/>
              <w:bottom w:val="single" w:color="auto" w:sz="4" w:space="0"/>
              <w:right w:val="single" w:color="auto" w:sz="4" w:space="0"/>
            </w:tcBorders>
            <w:shd w:val="clear" w:color="000000" w:fill="FFFF00"/>
            <w:noWrap/>
            <w:vAlign w:val="bottom"/>
            <w:hideMark/>
          </w:tcPr>
          <w:p w:rsidRPr="00320385" w:rsidR="00320385" w:rsidP="00320385" w:rsidRDefault="00320385" w14:paraId="78FD8C72"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r>
      <w:tr w:rsidRPr="00320385" w:rsidR="00320385" w:rsidTr="00320385" w14:paraId="0C83CC99" w14:textId="77777777">
        <w:trPr>
          <w:trHeight w:val="300"/>
        </w:trPr>
        <w:tc>
          <w:tcPr>
            <w:tcW w:w="1400" w:type="dxa"/>
            <w:tcBorders>
              <w:top w:val="nil"/>
              <w:left w:val="single" w:color="auto" w:sz="4" w:space="0"/>
              <w:bottom w:val="single" w:color="auto" w:sz="4" w:space="0"/>
              <w:right w:val="single" w:color="auto" w:sz="4" w:space="0"/>
            </w:tcBorders>
            <w:shd w:val="clear" w:color="auto" w:fill="auto"/>
            <w:noWrap/>
            <w:vAlign w:val="bottom"/>
            <w:hideMark/>
          </w:tcPr>
          <w:p w:rsidRPr="00320385" w:rsidR="00320385" w:rsidP="00320385" w:rsidRDefault="00320385" w14:paraId="0E4BDB69" w14:textId="77777777">
            <w:pPr>
              <w:spacing w:after="0" w:line="240" w:lineRule="auto"/>
              <w:jc w:val="center"/>
              <w:rPr>
                <w:rFonts w:ascii="Calibri" w:hAnsi="Calibri" w:eastAsia="Times New Roman" w:cs="Calibri"/>
                <w:b/>
                <w:bCs/>
                <w:color w:val="000000"/>
              </w:rPr>
            </w:pPr>
            <w:r w:rsidRPr="00320385">
              <w:rPr>
                <w:rFonts w:ascii="Calibri" w:hAnsi="Calibri" w:eastAsia="Times New Roman" w:cs="Calibri"/>
                <w:b/>
                <w:bCs/>
                <w:color w:val="000000"/>
              </w:rPr>
              <w:t>Very Low</w:t>
            </w:r>
          </w:p>
        </w:tc>
        <w:tc>
          <w:tcPr>
            <w:tcW w:w="1340" w:type="dxa"/>
            <w:tcBorders>
              <w:top w:val="nil"/>
              <w:left w:val="nil"/>
              <w:bottom w:val="single" w:color="auto" w:sz="4" w:space="0"/>
              <w:right w:val="single" w:color="auto" w:sz="4" w:space="0"/>
            </w:tcBorders>
            <w:shd w:val="clear" w:color="000000" w:fill="00B0F0"/>
            <w:noWrap/>
            <w:vAlign w:val="bottom"/>
            <w:hideMark/>
          </w:tcPr>
          <w:p w:rsidRPr="00320385" w:rsidR="00320385" w:rsidP="00320385" w:rsidRDefault="00320385" w14:paraId="0F2CF8B4"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00B0F0"/>
            <w:noWrap/>
            <w:vAlign w:val="bottom"/>
            <w:hideMark/>
          </w:tcPr>
          <w:p w:rsidRPr="00320385" w:rsidR="00320385" w:rsidP="00320385" w:rsidRDefault="00320385" w14:paraId="4B4DD5A6"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00B0F0"/>
            <w:noWrap/>
            <w:vAlign w:val="bottom"/>
            <w:hideMark/>
          </w:tcPr>
          <w:p w:rsidRPr="00320385" w:rsidR="00320385" w:rsidP="00320385" w:rsidRDefault="00320385" w14:paraId="040A2D5B"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157AACB1"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 </w:t>
            </w:r>
          </w:p>
        </w:tc>
        <w:tc>
          <w:tcPr>
            <w:tcW w:w="1340" w:type="dxa"/>
            <w:tcBorders>
              <w:top w:val="nil"/>
              <w:left w:val="nil"/>
              <w:bottom w:val="single" w:color="auto" w:sz="4" w:space="0"/>
              <w:right w:val="single" w:color="auto" w:sz="4" w:space="0"/>
            </w:tcBorders>
            <w:shd w:val="clear" w:color="000000" w:fill="92D050"/>
            <w:noWrap/>
            <w:vAlign w:val="bottom"/>
            <w:hideMark/>
          </w:tcPr>
          <w:p w:rsidRPr="00320385" w:rsidR="00320385" w:rsidP="00320385" w:rsidRDefault="00320385" w14:paraId="1E3FB15C" w14:textId="77777777">
            <w:pPr>
              <w:spacing w:after="0" w:line="240" w:lineRule="auto"/>
              <w:rPr>
                <w:rFonts w:ascii="Calibri" w:hAnsi="Calibri" w:eastAsia="Times New Roman" w:cs="Calibri"/>
                <w:color w:val="000000"/>
              </w:rPr>
            </w:pPr>
            <w:r w:rsidRPr="00320385">
              <w:rPr>
                <w:rFonts w:ascii="Calibri" w:hAnsi="Calibri" w:eastAsia="Times New Roman" w:cs="Calibri"/>
                <w:color w:val="000000"/>
              </w:rPr>
              <w:t>MDoF, WF</w:t>
            </w:r>
          </w:p>
        </w:tc>
      </w:tr>
    </w:tbl>
    <w:p w:rsidR="000E1861" w:rsidP="00D72B06" w:rsidRDefault="000E1861" w14:paraId="5C06D5FF" w14:textId="14C4A156">
      <w:pPr>
        <w:rPr>
          <w:rFonts w:ascii="Times New Roman" w:hAnsi="Times New Roman" w:cs="Times New Roman"/>
          <w:sz w:val="24"/>
          <w:szCs w:val="24"/>
        </w:rPr>
      </w:pPr>
    </w:p>
    <w:p w:rsidR="00EF5190" w:rsidP="00D11B04" w:rsidRDefault="00EF5190" w14:paraId="566E2972" w14:textId="1C8E090B">
      <w:pPr>
        <w:pStyle w:val="Heading2"/>
        <w:spacing w:before="0"/>
      </w:pPr>
      <w:bookmarkStart w:name="_Toc58405312" w:id="13"/>
      <w:r>
        <w:t>Data Dossier</w:t>
      </w:r>
      <w:bookmarkEnd w:id="13"/>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172"/>
        <w:gridCol w:w="4168"/>
      </w:tblGrid>
      <w:tr w:rsidR="00544482" w:rsidTr="00544482" w14:paraId="477B785F" w14:textId="77777777">
        <w:trPr>
          <w:trHeight w:val="480"/>
        </w:trPr>
        <w:tc>
          <w:tcPr>
            <w:tcW w:w="9340" w:type="dxa"/>
            <w:gridSpan w:val="2"/>
          </w:tcPr>
          <w:p w:rsidRPr="00544482" w:rsidR="00544482" w:rsidP="00D11B04" w:rsidRDefault="00544482" w14:paraId="263B2EB4" w14:textId="3CC5418E">
            <w:pPr>
              <w:jc w:val="center"/>
              <w:rPr>
                <w:b/>
                <w:bCs/>
              </w:rPr>
            </w:pPr>
            <w:r w:rsidRPr="00544482">
              <w:rPr>
                <w:b/>
                <w:bCs/>
              </w:rPr>
              <w:t>Data Dossier</w:t>
            </w:r>
          </w:p>
        </w:tc>
      </w:tr>
      <w:tr w:rsidR="00544482" w:rsidTr="00544482" w14:paraId="57957248" w14:textId="1B4E16EA">
        <w:trPr>
          <w:trHeight w:val="570"/>
        </w:trPr>
        <w:tc>
          <w:tcPr>
            <w:tcW w:w="5172" w:type="dxa"/>
          </w:tcPr>
          <w:p w:rsidR="00544482" w:rsidP="00D11B04" w:rsidRDefault="00544482" w14:paraId="49FF05FC" w14:textId="5C074722">
            <w:pPr>
              <w:spacing w:after="0"/>
            </w:pPr>
            <w:r w:rsidRPr="00544482">
              <w:rPr>
                <w:b/>
                <w:bCs/>
              </w:rPr>
              <w:t>Component:</w:t>
            </w:r>
            <w:r w:rsidRPr="00544482">
              <w:t xml:space="preserve"> Light Delivery Truck, Delivery Driver</w:t>
            </w:r>
          </w:p>
        </w:tc>
        <w:tc>
          <w:tcPr>
            <w:tcW w:w="4168" w:type="dxa"/>
            <w:shd w:val="clear" w:color="auto" w:fill="auto"/>
          </w:tcPr>
          <w:p w:rsidR="00544482" w:rsidP="00D11B04" w:rsidRDefault="00544482" w14:paraId="1DD1D1EC" w14:textId="1A0232AC">
            <w:pPr>
              <w:spacing w:after="0"/>
            </w:pPr>
            <w:r w:rsidRPr="00544482">
              <w:rPr>
                <w:b/>
                <w:bCs/>
              </w:rPr>
              <w:t>System:</w:t>
            </w:r>
            <w:r w:rsidRPr="00544482">
              <w:t xml:space="preserve"> Shipping &amp; Delivery</w:t>
            </w:r>
          </w:p>
        </w:tc>
      </w:tr>
      <w:tr w:rsidR="00544482" w:rsidTr="00544482" w14:paraId="567A75CF" w14:textId="77777777">
        <w:trPr>
          <w:trHeight w:val="690"/>
        </w:trPr>
        <w:tc>
          <w:tcPr>
            <w:tcW w:w="9340" w:type="dxa"/>
            <w:gridSpan w:val="2"/>
          </w:tcPr>
          <w:p w:rsidR="00544482" w:rsidP="00D11B04" w:rsidRDefault="00544482" w14:paraId="6FDB989B" w14:textId="601977B7">
            <w:pPr>
              <w:spacing w:after="0"/>
            </w:pPr>
            <w:r w:rsidRPr="00544482">
              <w:t>Description: A light duty truck typically has a total weight less than 26,000 pounds. A single driver must operate the vehicle for it move. Vehicles are typically maintained for safety and longevity. UPS completes their own maintenance. However, the Federal Motor Carrier Safety Administration also measures vehicle maintenance and unsafe driving, etc and issues fines.</w:t>
            </w:r>
          </w:p>
        </w:tc>
      </w:tr>
      <w:tr w:rsidR="00544482" w:rsidTr="00544482" w14:paraId="356502F9" w14:textId="77777777">
        <w:trPr>
          <w:trHeight w:val="660"/>
        </w:trPr>
        <w:tc>
          <w:tcPr>
            <w:tcW w:w="9340" w:type="dxa"/>
            <w:gridSpan w:val="2"/>
          </w:tcPr>
          <w:p w:rsidR="00D11B04" w:rsidP="001E7462" w:rsidRDefault="00544482" w14:paraId="2B65ECE5" w14:textId="60A2D266">
            <w:pPr>
              <w:spacing w:after="0" w:line="240" w:lineRule="auto"/>
            </w:pPr>
            <w:r w:rsidRPr="00544482">
              <w:rPr>
                <w:b/>
                <w:bCs/>
              </w:rPr>
              <w:t>Data:</w:t>
            </w:r>
            <w:r w:rsidRPr="00544482">
              <w:t xml:space="preserve"> </w:t>
            </w:r>
            <w:r w:rsidR="00D11B04">
              <w:t xml:space="preserve">UPS- </w:t>
            </w:r>
            <w:r w:rsidRPr="00544482">
              <w:t>7,077 vehicles, 7,870 drivers</w:t>
            </w:r>
          </w:p>
          <w:p w:rsidR="00D11B04" w:rsidP="001E7462" w:rsidRDefault="00D11B04" w14:paraId="616E749C" w14:textId="2DF67C6F">
            <w:pPr>
              <w:spacing w:after="0" w:line="240" w:lineRule="auto"/>
            </w:pPr>
            <w:r>
              <w:t>U.S. Bureau of Labor Statistics- Light and deliver service truck drivers</w:t>
            </w:r>
          </w:p>
          <w:p w:rsidR="00D11B04" w:rsidP="001E7462" w:rsidRDefault="00D11B04" w14:paraId="1D7D074C" w14:textId="0133B2B8">
            <w:pPr>
              <w:pStyle w:val="ListParagraph"/>
              <w:numPr>
                <w:ilvl w:val="0"/>
                <w:numId w:val="8"/>
              </w:numPr>
              <w:spacing w:after="0" w:line="240" w:lineRule="auto"/>
            </w:pPr>
            <w:r>
              <w:t>Population</w:t>
            </w:r>
            <w:r w:rsidR="001E7462">
              <w:t>-</w:t>
            </w:r>
            <w:r>
              <w:t xml:space="preserve"> 51,410</w:t>
            </w:r>
            <w:r w:rsidR="0011702A">
              <w:t xml:space="preserve"> (2019)</w:t>
            </w:r>
          </w:p>
          <w:p w:rsidR="00D11B04" w:rsidP="001E7462" w:rsidRDefault="00D11B04" w14:paraId="1577A510" w14:textId="3664B6CA">
            <w:pPr>
              <w:pStyle w:val="ListParagraph"/>
              <w:numPr>
                <w:ilvl w:val="0"/>
                <w:numId w:val="8"/>
              </w:numPr>
              <w:spacing w:after="0" w:line="240" w:lineRule="auto"/>
            </w:pPr>
            <w:r>
              <w:t>Average weekly hours</w:t>
            </w:r>
            <w:r w:rsidR="001E7462">
              <w:t>- 41.9</w:t>
            </w:r>
            <w:r w:rsidR="0011702A">
              <w:t xml:space="preserve"> (2020)</w:t>
            </w:r>
          </w:p>
          <w:p w:rsidR="001E7462" w:rsidP="001E7462" w:rsidRDefault="001E7462" w14:paraId="17895BE9" w14:textId="4628A4C8">
            <w:pPr>
              <w:pStyle w:val="ListParagraph"/>
              <w:numPr>
                <w:ilvl w:val="0"/>
                <w:numId w:val="8"/>
              </w:numPr>
              <w:spacing w:after="0" w:line="240" w:lineRule="auto"/>
            </w:pPr>
            <w:r>
              <w:t>Number of fatalities- 607</w:t>
            </w:r>
            <w:r w:rsidR="0011702A">
              <w:t xml:space="preserve"> (2019)</w:t>
            </w:r>
          </w:p>
          <w:p w:rsidR="00544482" w:rsidP="001E7462" w:rsidRDefault="00544482" w14:paraId="155D3FCB" w14:textId="2EFF6232">
            <w:pPr>
              <w:spacing w:line="240" w:lineRule="auto"/>
            </w:pPr>
            <w:r w:rsidRPr="00544482">
              <w:t>Incident rate nonfatal occupational injuries 233 per 10,000 over all light duty drivers</w:t>
            </w:r>
            <w:r w:rsidR="00D11B04">
              <w:t xml:space="preserve"> in 2018</w:t>
            </w:r>
          </w:p>
        </w:tc>
      </w:tr>
      <w:tr w:rsidR="00544482" w:rsidTr="00544482" w14:paraId="6CD8F0D0" w14:textId="77777777">
        <w:trPr>
          <w:trHeight w:val="570"/>
        </w:trPr>
        <w:tc>
          <w:tcPr>
            <w:tcW w:w="9340" w:type="dxa"/>
            <w:gridSpan w:val="2"/>
          </w:tcPr>
          <w:p w:rsidR="00544482" w:rsidP="00D11B04" w:rsidRDefault="00544482" w14:paraId="144DC8E0" w14:textId="6FFB4965">
            <w:pPr>
              <w:spacing w:after="0"/>
            </w:pPr>
            <w:r w:rsidRPr="00544482">
              <w:rPr>
                <w:b/>
                <w:bCs/>
              </w:rPr>
              <w:t>Source:</w:t>
            </w:r>
            <w:r w:rsidRPr="00544482">
              <w:t xml:space="preserve">  </w:t>
            </w:r>
            <w:hyperlink w:history="1" r:id="rId17">
              <w:r w:rsidRPr="009A28C7" w:rsidR="00D11B04">
                <w:rPr>
                  <w:rStyle w:val="Hyperlink"/>
                </w:rPr>
                <w:t>https://ai.fmcsa.dot.gov/SMS/Carrier/121058/BASIC/UnsafeDriving.aspx</w:t>
              </w:r>
            </w:hyperlink>
            <w:r w:rsidR="00D11B04">
              <w:t xml:space="preserve"> </w:t>
            </w:r>
          </w:p>
          <w:p w:rsidR="00D11B04" w:rsidP="00D11B04" w:rsidRDefault="00D11B04" w14:paraId="3BB70B3E" w14:textId="77777777">
            <w:pPr>
              <w:spacing w:after="0"/>
            </w:pPr>
            <w:hyperlink w:history="1" r:id="rId18">
              <w:r w:rsidRPr="009A28C7">
                <w:rPr>
                  <w:rStyle w:val="Hyperlink"/>
                </w:rPr>
                <w:t>https://www.bls.gov/iag/tgs/iag484.htm</w:t>
              </w:r>
            </w:hyperlink>
            <w:r>
              <w:t xml:space="preserve"> </w:t>
            </w:r>
          </w:p>
          <w:p w:rsidR="00D11B04" w:rsidP="00D11B04" w:rsidRDefault="00D11B04" w14:paraId="690E8388" w14:textId="0A297859">
            <w:pPr>
              <w:spacing w:after="0"/>
            </w:pPr>
            <w:hyperlink w:history="1" r:id="rId19">
              <w:r w:rsidRPr="009A28C7">
                <w:rPr>
                  <w:rStyle w:val="Hyperlink"/>
                </w:rPr>
                <w:t>https://www.bls.gov/iif/oshwc/cfoi/truck-drivers-2018.htm#_edn5</w:t>
              </w:r>
            </w:hyperlink>
            <w:r>
              <w:t xml:space="preserve"> </w:t>
            </w:r>
          </w:p>
        </w:tc>
      </w:tr>
      <w:tr w:rsidR="00544482" w:rsidTr="00544482" w14:paraId="569BD44C" w14:textId="77777777">
        <w:tblPrEx>
          <w:tblBorders>
            <w:left w:val="none" w:color="auto" w:sz="0" w:space="0"/>
            <w:bottom w:val="none" w:color="auto" w:sz="0" w:space="0"/>
            <w:right w:val="none" w:color="auto" w:sz="0" w:space="0"/>
            <w:insideH w:val="none" w:color="auto" w:sz="0" w:space="0"/>
            <w:insideV w:val="none" w:color="auto" w:sz="0" w:space="0"/>
          </w:tblBorders>
        </w:tblPrEx>
        <w:trPr>
          <w:trHeight w:val="100"/>
        </w:trPr>
        <w:tc>
          <w:tcPr>
            <w:tcW w:w="9340" w:type="dxa"/>
            <w:gridSpan w:val="2"/>
            <w:tcBorders>
              <w:left w:val="single" w:color="auto" w:sz="4" w:space="0"/>
              <w:right w:val="single" w:color="auto" w:sz="4" w:space="0"/>
            </w:tcBorders>
          </w:tcPr>
          <w:p w:rsidR="00544482" w:rsidP="00D11B04" w:rsidRDefault="00544482" w14:paraId="73928240" w14:textId="25CB7F54">
            <w:pPr>
              <w:spacing w:after="0"/>
            </w:pPr>
            <w:r w:rsidRPr="00544482">
              <w:rPr>
                <w:b/>
                <w:bCs/>
              </w:rPr>
              <w:t>Assessment:</w:t>
            </w:r>
            <w:r w:rsidRPr="00544482">
              <w:t xml:space="preserve"> The total crashes specifically for UPS from a 2 year period as reported by FMCSA. They also keep data on unsafe driving violations and driver fitness, and vehicle maintenance etc.  Failure rates are from the U.S. Bureau of Labor Statistics in 2018. Both sources can be used when considering probab</w:t>
            </w:r>
            <w:r>
              <w:t>il</w:t>
            </w:r>
            <w:r w:rsidRPr="00544482">
              <w:t>ities for delivery vehicle accidents.</w:t>
            </w:r>
          </w:p>
        </w:tc>
      </w:tr>
      <w:tr w:rsidR="00544482" w:rsidTr="00544482" w14:paraId="53703959" w14:textId="77777777">
        <w:trPr>
          <w:trHeight w:val="450"/>
        </w:trPr>
        <w:tc>
          <w:tcPr>
            <w:tcW w:w="9340" w:type="dxa"/>
            <w:gridSpan w:val="2"/>
          </w:tcPr>
          <w:p w:rsidR="00544482" w:rsidP="00D11B04" w:rsidRDefault="00544482" w14:paraId="2E9634B1" w14:textId="2387BB00">
            <w:pPr>
              <w:spacing w:after="0"/>
            </w:pPr>
            <w:r w:rsidRPr="00544482">
              <w:rPr>
                <w:b/>
                <w:bCs/>
              </w:rPr>
              <w:t>Testing and Maintenance:</w:t>
            </w:r>
            <w:r w:rsidRPr="00544482">
              <w:t xml:space="preserve"> Inspections and violations are conducted by FMSCA. They are assessed over a rolling time period and updated monthly. Additionally</w:t>
            </w:r>
            <w:r>
              <w:t>,</w:t>
            </w:r>
            <w:r w:rsidRPr="00544482">
              <w:t xml:space="preserve"> driver's license status is also checked. Vehicle maintenance including inspections and repairs are also assessed by FMSCA.</w:t>
            </w:r>
          </w:p>
        </w:tc>
      </w:tr>
      <w:tr w:rsidR="00544482" w:rsidTr="00D11B04" w14:paraId="2B59931B" w14:textId="77777777">
        <w:tblPrEx>
          <w:tblBorders>
            <w:left w:val="none" w:color="auto" w:sz="0" w:space="0"/>
            <w:bottom w:val="none" w:color="auto" w:sz="0" w:space="0"/>
            <w:right w:val="none" w:color="auto" w:sz="0" w:space="0"/>
            <w:insideH w:val="none" w:color="auto" w:sz="0" w:space="0"/>
            <w:insideV w:val="none" w:color="auto" w:sz="0" w:space="0"/>
          </w:tblBorders>
        </w:tblPrEx>
        <w:trPr>
          <w:trHeight w:val="782"/>
        </w:trPr>
        <w:tc>
          <w:tcPr>
            <w:tcW w:w="9340" w:type="dxa"/>
            <w:gridSpan w:val="2"/>
            <w:tcBorders>
              <w:left w:val="single" w:color="auto" w:sz="4" w:space="0"/>
              <w:bottom w:val="single" w:color="auto" w:sz="4" w:space="0"/>
              <w:right w:val="single" w:color="auto" w:sz="4" w:space="0"/>
            </w:tcBorders>
          </w:tcPr>
          <w:p w:rsidR="00544482" w:rsidP="00D11B04" w:rsidRDefault="00544482" w14:paraId="3E8910E2" w14:textId="1BAEFF60">
            <w:pPr>
              <w:spacing w:after="0"/>
            </w:pPr>
            <w:r w:rsidRPr="00544482">
              <w:rPr>
                <w:b/>
                <w:bCs/>
              </w:rPr>
              <w:t>Comments:</w:t>
            </w:r>
            <w:r w:rsidRPr="00544482">
              <w:t xml:space="preserve"> This information is valid to understand where delivery drivers have the greatest opportunities to improve on unsafe driving habits and reduce injuries.</w:t>
            </w:r>
          </w:p>
        </w:tc>
      </w:tr>
    </w:tbl>
    <w:p w:rsidRPr="00544482" w:rsidR="00544482" w:rsidP="00544482" w:rsidRDefault="00544482" w14:paraId="0FFD9A0E" w14:textId="66274E9F"/>
    <w:p w:rsidR="00EF5190" w:rsidP="001B36C4" w:rsidRDefault="001B36C4" w14:paraId="143BDA76" w14:textId="77777777">
      <w:pPr>
        <w:pStyle w:val="Heading2"/>
      </w:pPr>
      <w:bookmarkStart w:name="_Toc58405313" w:id="14"/>
      <w:r>
        <w:t>Accident Scenarios</w:t>
      </w:r>
      <w:bookmarkEnd w:id="14"/>
    </w:p>
    <w:p w:rsidR="001B36C4" w:rsidP="001B36C4" w:rsidRDefault="001B36C4" w14:paraId="6252D909" w14:textId="1C954C50">
      <w:pPr>
        <w:rPr>
          <w:rFonts w:ascii="Times New Roman" w:hAnsi="Times New Roman" w:cs="Times New Roman"/>
          <w:sz w:val="24"/>
          <w:szCs w:val="24"/>
        </w:rPr>
      </w:pPr>
      <w:r>
        <w:rPr>
          <w:rFonts w:ascii="Times New Roman" w:hAnsi="Times New Roman" w:cs="Times New Roman"/>
          <w:sz w:val="24"/>
          <w:szCs w:val="24"/>
        </w:rPr>
        <w:t>Delivery Vehicle Accident</w:t>
      </w:r>
    </w:p>
    <w:p w:rsidR="001B36C4" w:rsidP="001B36C4" w:rsidRDefault="001B36C4" w14:paraId="269D644B" w14:textId="00C456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Driver </w:t>
      </w:r>
      <w:r w:rsidR="00050D5F">
        <w:rPr>
          <w:rFonts w:ascii="Times New Roman" w:hAnsi="Times New Roman" w:cs="Times New Roman"/>
          <w:sz w:val="24"/>
          <w:szCs w:val="24"/>
        </w:rPr>
        <w:t>following too closely to vehicle ahead</w:t>
      </w:r>
      <w:r>
        <w:rPr>
          <w:rFonts w:ascii="Times New Roman" w:hAnsi="Times New Roman" w:cs="Times New Roman"/>
          <w:sz w:val="24"/>
          <w:szCs w:val="24"/>
        </w:rPr>
        <w:t xml:space="preserve"> (Initiating Event)</w:t>
      </w:r>
    </w:p>
    <w:p w:rsidR="0051203F" w:rsidP="001B36C4" w:rsidRDefault="0051203F" w14:paraId="19057DAC" w14:textId="7E3C3FF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Vehicle ahead stops suddenly</w:t>
      </w:r>
    </w:p>
    <w:p w:rsidRPr="008308B9" w:rsidR="0051203F" w:rsidP="008308B9" w:rsidRDefault="0051203F" w14:paraId="419BAAA0" w14:textId="70DF379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Anti-lock brakes fail</w:t>
      </w:r>
    </w:p>
    <w:p w:rsidR="001B36C4" w:rsidP="001B36C4" w:rsidRDefault="001B36C4" w14:paraId="7F1520DF" w14:textId="4FF8DB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Driver rear-ends vehicle ahead</w:t>
      </w:r>
    </w:p>
    <w:p w:rsidR="001B36C4" w:rsidP="001B36C4" w:rsidRDefault="001B36C4" w14:paraId="23EB0186" w14:textId="68ECE4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Airbags </w:t>
      </w:r>
      <w:r w:rsidR="0051203F">
        <w:rPr>
          <w:rFonts w:ascii="Times New Roman" w:hAnsi="Times New Roman" w:cs="Times New Roman"/>
          <w:sz w:val="24"/>
          <w:szCs w:val="24"/>
        </w:rPr>
        <w:t>fail to deploy on impact</w:t>
      </w:r>
    </w:p>
    <w:p w:rsidR="001B36C4" w:rsidP="001B36C4" w:rsidRDefault="001B36C4" w14:paraId="26313F1A" w14:textId="02D01BB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Damage to packages that are not secured</w:t>
      </w:r>
    </w:p>
    <w:p w:rsidR="001B36C4" w:rsidP="001B36C4" w:rsidRDefault="001B36C4" w14:paraId="712D5836" w14:textId="20CCA7F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Driver suffers injuries, d</w:t>
      </w:r>
      <w:r w:rsidRPr="001B36C4">
        <w:rPr>
          <w:rFonts w:ascii="Times New Roman" w:hAnsi="Times New Roman" w:cs="Times New Roman"/>
          <w:sz w:val="24"/>
          <w:szCs w:val="24"/>
        </w:rPr>
        <w:t>river in vehicle ahead suffers</w:t>
      </w:r>
      <w:r w:rsidR="0051203F">
        <w:rPr>
          <w:rFonts w:ascii="Times New Roman" w:hAnsi="Times New Roman" w:cs="Times New Roman"/>
          <w:sz w:val="24"/>
          <w:szCs w:val="24"/>
        </w:rPr>
        <w:t xml:space="preserve"> </w:t>
      </w:r>
      <w:r w:rsidRPr="001B36C4">
        <w:rPr>
          <w:rFonts w:ascii="Times New Roman" w:hAnsi="Times New Roman" w:cs="Times New Roman"/>
          <w:sz w:val="24"/>
          <w:szCs w:val="24"/>
        </w:rPr>
        <w:t>injuries</w:t>
      </w:r>
    </w:p>
    <w:p w:rsidR="001B36C4" w:rsidP="001B36C4" w:rsidRDefault="001B36C4" w14:paraId="52619D09" w14:textId="6D98C9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Lawsuit occurs from delivery driver liability </w:t>
      </w:r>
    </w:p>
    <w:p w:rsidR="001B36C4" w:rsidP="001B36C4" w:rsidRDefault="001B36C4" w14:paraId="1968295E" w14:textId="340BD868">
      <w:pPr>
        <w:pStyle w:val="Heading2"/>
      </w:pPr>
      <w:bookmarkStart w:name="_Toc58405314" w:id="15"/>
      <w:r>
        <w:t>Causal and Frequency Analysis</w:t>
      </w:r>
      <w:bookmarkEnd w:id="15"/>
      <w:r>
        <w:t xml:space="preserve"> </w:t>
      </w:r>
    </w:p>
    <w:p w:rsidR="00AC5D45" w:rsidP="001B36C4" w:rsidRDefault="00BB2845" w14:paraId="60E2FE00" w14:textId="74123190">
      <w:pPr>
        <w:rPr>
          <w:rFonts w:ascii="Times New Roman" w:hAnsi="Times New Roman" w:cs="Times New Roman"/>
          <w:sz w:val="24"/>
          <w:szCs w:val="24"/>
        </w:rPr>
      </w:pPr>
      <w:r>
        <w:rPr>
          <w:rFonts w:ascii="Times New Roman" w:hAnsi="Times New Roman" w:cs="Times New Roman"/>
          <w:sz w:val="24"/>
          <w:szCs w:val="24"/>
        </w:rPr>
        <w:t xml:space="preserve">A fault tree analysis can help to determine what causes the top event or accident to occur. </w:t>
      </w:r>
    </w:p>
    <w:p w:rsidR="001B36C4" w:rsidP="001B36C4" w:rsidRDefault="00BB2845" w14:paraId="463E55B6" w14:textId="1C6374D8">
      <w:pPr>
        <w:rPr>
          <w:rFonts w:ascii="Times New Roman" w:hAnsi="Times New Roman" w:cs="Times New Roman"/>
          <w:sz w:val="24"/>
          <w:szCs w:val="24"/>
        </w:rPr>
      </w:pPr>
      <w:r>
        <w:rPr>
          <w:noProof/>
        </w:rPr>
        <w:drawing>
          <wp:inline distT="0" distB="0" distL="0" distR="0" wp14:anchorId="7E4A247D" wp14:editId="23EF7297">
            <wp:extent cx="5943600" cy="331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17875"/>
                    </a:xfrm>
                    <a:prstGeom prst="rect">
                      <a:avLst/>
                    </a:prstGeom>
                  </pic:spPr>
                </pic:pic>
              </a:graphicData>
            </a:graphic>
          </wp:inline>
        </w:drawing>
      </w:r>
    </w:p>
    <w:p w:rsidR="001B36C4" w:rsidP="00BB2845" w:rsidRDefault="00BB2845" w14:paraId="066C2D85" w14:textId="62D5E359">
      <w:pPr>
        <w:pStyle w:val="Heading2"/>
      </w:pPr>
      <w:bookmarkStart w:name="_Toc58405315" w:id="16"/>
      <w:r>
        <w:t>Barrier Analysis</w:t>
      </w:r>
      <w:bookmarkEnd w:id="16"/>
      <w:r>
        <w:t xml:space="preserve"> </w:t>
      </w:r>
    </w:p>
    <w:p w:rsidRPr="0076429B" w:rsidR="0076429B" w:rsidP="0076429B" w:rsidRDefault="0076429B" w14:paraId="5180A4BD" w14:textId="5ED8A9CA">
      <w:pPr>
        <w:rPr>
          <w:rFonts w:ascii="Times New Roman" w:hAnsi="Times New Roman" w:cs="Times New Roman"/>
          <w:sz w:val="24"/>
          <w:szCs w:val="24"/>
        </w:rPr>
      </w:pPr>
      <w:r>
        <w:rPr>
          <w:rFonts w:ascii="Times New Roman" w:hAnsi="Times New Roman" w:cs="Times New Roman"/>
          <w:sz w:val="24"/>
          <w:szCs w:val="24"/>
        </w:rPr>
        <w:t>Hazard-Barrier Matrix</w:t>
      </w:r>
    </w:p>
    <w:p w:rsidR="00BB2845" w:rsidP="001B36C4" w:rsidRDefault="0076429B" w14:paraId="6EA7B5C1" w14:textId="3C503A40">
      <w:pPr>
        <w:rPr>
          <w:rFonts w:ascii="Times New Roman" w:hAnsi="Times New Roman" w:cs="Times New Roman"/>
          <w:b/>
          <w:bCs/>
          <w:sz w:val="24"/>
          <w:szCs w:val="24"/>
        </w:rPr>
      </w:pPr>
      <w:r>
        <w:rPr>
          <w:noProof/>
        </w:rPr>
        <w:drawing>
          <wp:inline distT="0" distB="0" distL="0" distR="0" wp14:anchorId="73BAE5DA" wp14:editId="6410C432">
            <wp:extent cx="569595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2162175"/>
                    </a:xfrm>
                    <a:prstGeom prst="rect">
                      <a:avLst/>
                    </a:prstGeom>
                  </pic:spPr>
                </pic:pic>
              </a:graphicData>
            </a:graphic>
          </wp:inline>
        </w:drawing>
      </w:r>
    </w:p>
    <w:p w:rsidR="0076429B" w:rsidP="001B36C4" w:rsidRDefault="0076429B" w14:paraId="6CD77C6B" w14:textId="38BB2C39">
      <w:pPr>
        <w:rPr>
          <w:rFonts w:ascii="Times New Roman" w:hAnsi="Times New Roman" w:cs="Times New Roman"/>
          <w:b/>
          <w:bCs/>
          <w:sz w:val="24"/>
          <w:szCs w:val="24"/>
        </w:rPr>
      </w:pPr>
      <w:r w:rsidRPr="69984C7C" w:rsidR="0076429B">
        <w:rPr>
          <w:rFonts w:ascii="Times New Roman" w:hAnsi="Times New Roman" w:cs="Times New Roman"/>
          <w:b w:val="1"/>
          <w:bCs w:val="1"/>
          <w:sz w:val="24"/>
          <w:szCs w:val="24"/>
        </w:rPr>
        <w:t>Safety Barrier Diagram</w:t>
      </w:r>
    </w:p>
    <w:p w:rsidR="0076429B" w:rsidP="69984C7C" w:rsidRDefault="00050D5F" w14:paraId="0B0C4DDB" w14:textId="0683CDC7">
      <w:pPr>
        <w:pStyle w:val="Normal"/>
      </w:pPr>
      <w:r w:rsidR="06599CDD">
        <w:drawing>
          <wp:inline wp14:editId="3BAAF9C4" wp14:anchorId="27C25088">
            <wp:extent cx="5782235" cy="2047875"/>
            <wp:effectExtent l="0" t="0" r="0" b="0"/>
            <wp:docPr id="153828444" name="" title=""/>
            <wp:cNvGraphicFramePr>
              <a:graphicFrameLocks noChangeAspect="1"/>
            </wp:cNvGraphicFramePr>
            <a:graphic>
              <a:graphicData uri="http://schemas.openxmlformats.org/drawingml/2006/picture">
                <pic:pic>
                  <pic:nvPicPr>
                    <pic:cNvPr id="0" name=""/>
                    <pic:cNvPicPr/>
                  </pic:nvPicPr>
                  <pic:blipFill>
                    <a:blip r:embed="R4ac720cf7a9c4eb6">
                      <a:extLst>
                        <a:ext xmlns:a="http://schemas.openxmlformats.org/drawingml/2006/main" uri="{28A0092B-C50C-407E-A947-70E740481C1C}">
                          <a14:useLocalDpi val="0"/>
                        </a:ext>
                      </a:extLst>
                    </a:blip>
                    <a:stretch>
                      <a:fillRect/>
                    </a:stretch>
                  </pic:blipFill>
                  <pic:spPr>
                    <a:xfrm>
                      <a:off x="0" y="0"/>
                      <a:ext cx="5782235" cy="2047875"/>
                    </a:xfrm>
                    <a:prstGeom prst="rect">
                      <a:avLst/>
                    </a:prstGeom>
                  </pic:spPr>
                </pic:pic>
              </a:graphicData>
            </a:graphic>
          </wp:inline>
        </w:drawing>
      </w:r>
    </w:p>
    <w:p w:rsidR="0076429B" w:rsidP="0076429B" w:rsidRDefault="006C33C2" w14:paraId="4ED05F00" w14:textId="5B7CBC9E">
      <w:pPr>
        <w:pStyle w:val="Heading2"/>
      </w:pPr>
      <w:bookmarkStart w:name="_Toc58405316" w:id="17"/>
      <w:r>
        <w:t>Cause-Consequence Analysis</w:t>
      </w:r>
      <w:bookmarkEnd w:id="17"/>
    </w:p>
    <w:p w:rsidRPr="0051203F" w:rsidR="0051203F" w:rsidP="0051203F" w:rsidRDefault="0051203F" w14:paraId="5B5CEBD0" w14:textId="6FC43877">
      <w:pPr>
        <w:rPr>
          <w:rFonts w:ascii="Times New Roman" w:hAnsi="Times New Roman" w:cs="Times New Roman"/>
          <w:sz w:val="24"/>
          <w:szCs w:val="24"/>
        </w:rPr>
      </w:pPr>
      <w:r>
        <w:rPr>
          <w:rFonts w:ascii="Times New Roman" w:hAnsi="Times New Roman" w:cs="Times New Roman"/>
          <w:sz w:val="24"/>
          <w:szCs w:val="24"/>
        </w:rPr>
        <w:t xml:space="preserve">Delivery vehicles are equipped with many safety features to assist the driver in avoiding accidents and serious injury like anti-lock brakes, airbags, and seat belts. While the driver </w:t>
      </w:r>
      <w:r w:rsidR="008308B9">
        <w:rPr>
          <w:rFonts w:ascii="Times New Roman" w:hAnsi="Times New Roman" w:cs="Times New Roman"/>
          <w:sz w:val="24"/>
          <w:szCs w:val="24"/>
        </w:rPr>
        <w:t xml:space="preserve">should follow driving laws and have </w:t>
      </w:r>
      <w:r>
        <w:rPr>
          <w:rFonts w:ascii="Times New Roman" w:hAnsi="Times New Roman" w:cs="Times New Roman"/>
          <w:sz w:val="24"/>
          <w:szCs w:val="24"/>
        </w:rPr>
        <w:t>driver safety training, accidents by nature</w:t>
      </w:r>
      <w:r w:rsidR="008308B9">
        <w:rPr>
          <w:rFonts w:ascii="Times New Roman" w:hAnsi="Times New Roman" w:cs="Times New Roman"/>
          <w:sz w:val="24"/>
          <w:szCs w:val="24"/>
        </w:rPr>
        <w:t xml:space="preserve"> can still</w:t>
      </w:r>
      <w:r>
        <w:rPr>
          <w:rFonts w:ascii="Times New Roman" w:hAnsi="Times New Roman" w:cs="Times New Roman"/>
          <w:sz w:val="24"/>
          <w:szCs w:val="24"/>
        </w:rPr>
        <w:t xml:space="preserve"> occur. </w:t>
      </w:r>
      <w:r w:rsidR="008308B9">
        <w:rPr>
          <w:rFonts w:ascii="Times New Roman" w:hAnsi="Times New Roman" w:cs="Times New Roman"/>
          <w:sz w:val="24"/>
          <w:szCs w:val="24"/>
        </w:rPr>
        <w:t>I</w:t>
      </w:r>
      <w:r>
        <w:rPr>
          <w:rFonts w:ascii="Times New Roman" w:hAnsi="Times New Roman" w:cs="Times New Roman"/>
          <w:sz w:val="24"/>
          <w:szCs w:val="24"/>
        </w:rPr>
        <w:t xml:space="preserve">f any of the proactive and reactive barriers installed on the vehicle fail, the probability of a serious accident increases. </w:t>
      </w:r>
      <w:r w:rsidR="0011702A">
        <w:rPr>
          <w:rFonts w:ascii="Times New Roman" w:hAnsi="Times New Roman" w:cs="Times New Roman"/>
          <w:sz w:val="24"/>
          <w:szCs w:val="24"/>
        </w:rPr>
        <w:t xml:space="preserve">Proper functionality of these components impacts both Shipping &amp; Delivery and Fleet Maintenance business functions. </w:t>
      </w:r>
      <w:r>
        <w:rPr>
          <w:rFonts w:ascii="Times New Roman" w:hAnsi="Times New Roman" w:cs="Times New Roman"/>
          <w:sz w:val="24"/>
          <w:szCs w:val="24"/>
        </w:rPr>
        <w:t xml:space="preserve">The Event Tree Analysis below outlines </w:t>
      </w:r>
      <w:r w:rsidR="00F5058F">
        <w:rPr>
          <w:rFonts w:ascii="Times New Roman" w:hAnsi="Times New Roman" w:cs="Times New Roman"/>
          <w:sz w:val="24"/>
          <w:szCs w:val="24"/>
        </w:rPr>
        <w:t>the probable consequences of mechanical failures of the anti-lock brake system and airbags in the scenario that the driver is following too closely, and the vehicle ahead stops short. Even if the anti-lock brakes do not fail, an accident can still occur where the airbags could deploy on impact.</w:t>
      </w:r>
      <w:r w:rsidR="0011702A">
        <w:rPr>
          <w:rFonts w:ascii="Times New Roman" w:hAnsi="Times New Roman" w:cs="Times New Roman"/>
          <w:sz w:val="24"/>
          <w:szCs w:val="24"/>
        </w:rPr>
        <w:t xml:space="preserve"> Failure rates have been estimated.</w:t>
      </w:r>
      <w:r w:rsidR="00F5058F">
        <w:rPr>
          <w:rFonts w:ascii="Times New Roman" w:hAnsi="Times New Roman" w:cs="Times New Roman"/>
          <w:sz w:val="24"/>
          <w:szCs w:val="24"/>
        </w:rPr>
        <w:t xml:space="preserve"> The probability that an accident will occur with all these failures has been determined to be .15%. </w:t>
      </w:r>
    </w:p>
    <w:p w:rsidR="0076429B" w:rsidP="001B36C4" w:rsidRDefault="006C33C2" w14:paraId="11D41775" w14:textId="1038EAA8">
      <w:pPr>
        <w:rPr>
          <w:rFonts w:ascii="Times New Roman" w:hAnsi="Times New Roman" w:cs="Times New Roman"/>
          <w:b/>
          <w:bCs/>
          <w:sz w:val="24"/>
          <w:szCs w:val="24"/>
        </w:rPr>
      </w:pPr>
      <w:r>
        <w:rPr>
          <w:rFonts w:ascii="Times New Roman" w:hAnsi="Times New Roman" w:cs="Times New Roman"/>
          <w:b/>
          <w:bCs/>
          <w:sz w:val="24"/>
          <w:szCs w:val="24"/>
        </w:rPr>
        <w:t>Event Tree Analysis- Before</w:t>
      </w:r>
      <w:r w:rsidR="00994D32">
        <w:rPr>
          <w:rFonts w:ascii="Times New Roman" w:hAnsi="Times New Roman" w:cs="Times New Roman"/>
          <w:b/>
          <w:bCs/>
          <w:sz w:val="24"/>
          <w:szCs w:val="24"/>
        </w:rPr>
        <w:t xml:space="preserve"> New</w:t>
      </w:r>
      <w:r>
        <w:rPr>
          <w:rFonts w:ascii="Times New Roman" w:hAnsi="Times New Roman" w:cs="Times New Roman"/>
          <w:b/>
          <w:bCs/>
          <w:sz w:val="24"/>
          <w:szCs w:val="24"/>
        </w:rPr>
        <w:t xml:space="preserve"> Control</w:t>
      </w:r>
    </w:p>
    <w:p w:rsidR="005F2724" w:rsidP="001B36C4" w:rsidRDefault="00994D32" w14:paraId="2838E6F9" w14:textId="5FA82042">
      <w:pPr>
        <w:rPr>
          <w:rFonts w:ascii="Times New Roman" w:hAnsi="Times New Roman" w:cs="Times New Roman"/>
          <w:b/>
          <w:bCs/>
          <w:sz w:val="24"/>
          <w:szCs w:val="24"/>
        </w:rPr>
      </w:pPr>
      <w:r>
        <w:rPr>
          <w:noProof/>
        </w:rPr>
        <w:drawing>
          <wp:inline distT="0" distB="0" distL="0" distR="0" wp14:anchorId="3D044F00" wp14:editId="3CC724CC">
            <wp:extent cx="5943600" cy="2606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6675"/>
                    </a:xfrm>
                    <a:prstGeom prst="rect">
                      <a:avLst/>
                    </a:prstGeom>
                  </pic:spPr>
                </pic:pic>
              </a:graphicData>
            </a:graphic>
          </wp:inline>
        </w:drawing>
      </w:r>
    </w:p>
    <w:p w:rsidR="00A1637A" w:rsidP="001B36C4" w:rsidRDefault="005152BD" w14:paraId="7BC11EE3" w14:textId="7F3738A3">
      <w:pPr>
        <w:rPr>
          <w:rFonts w:ascii="Times New Roman" w:hAnsi="Times New Roman" w:cs="Times New Roman"/>
          <w:b/>
          <w:bCs/>
          <w:sz w:val="24"/>
          <w:szCs w:val="24"/>
        </w:rPr>
      </w:pPr>
      <w:r>
        <w:rPr>
          <w:rFonts w:ascii="Times New Roman" w:hAnsi="Times New Roman" w:cs="Times New Roman"/>
          <w:b/>
          <w:bCs/>
          <w:sz w:val="24"/>
          <w:szCs w:val="24"/>
        </w:rPr>
        <w:t>Personal Safety Issues</w:t>
      </w:r>
    </w:p>
    <w:p w:rsidR="00B00FA6" w:rsidP="001B36C4" w:rsidRDefault="00C100BB" w14:paraId="37F9294C" w14:textId="48E53091">
      <w:pPr>
        <w:rPr>
          <w:rFonts w:ascii="Times New Roman" w:hAnsi="Times New Roman" w:cs="Times New Roman"/>
          <w:sz w:val="24"/>
          <w:szCs w:val="24"/>
        </w:rPr>
      </w:pPr>
      <w:r>
        <w:rPr>
          <w:rFonts w:ascii="Times New Roman" w:hAnsi="Times New Roman" w:cs="Times New Roman"/>
          <w:sz w:val="24"/>
          <w:szCs w:val="24"/>
        </w:rPr>
        <w:lastRenderedPageBreak/>
        <w:t xml:space="preserve">UPS is a people driven business. It cannot function without a safe work environment for its delivery employees; therefore, personal safety is essential to continuing to delivery billions of parcels and packages. Fatalities for delivery drivers </w:t>
      </w:r>
      <w:r w:rsidR="00833060">
        <w:rPr>
          <w:rFonts w:ascii="Times New Roman" w:hAnsi="Times New Roman" w:cs="Times New Roman"/>
          <w:sz w:val="24"/>
          <w:szCs w:val="24"/>
        </w:rPr>
        <w:t xml:space="preserve">(not including heavy duty or tractor trailer drivers) </w:t>
      </w:r>
      <w:r>
        <w:rPr>
          <w:rFonts w:ascii="Times New Roman" w:hAnsi="Times New Roman" w:cs="Times New Roman"/>
          <w:sz w:val="24"/>
          <w:szCs w:val="24"/>
        </w:rPr>
        <w:t xml:space="preserve">can be calculated using Individual Risk per Annum and Potential Loss of Life. </w:t>
      </w:r>
      <w:r w:rsidR="001E7462">
        <w:rPr>
          <w:rFonts w:ascii="Times New Roman" w:hAnsi="Times New Roman" w:cs="Times New Roman"/>
          <w:sz w:val="24"/>
          <w:szCs w:val="24"/>
        </w:rPr>
        <w:t>Numbers used from Data Dossier.</w:t>
      </w:r>
    </w:p>
    <w:p w:rsidR="00C100BB" w:rsidP="001B36C4" w:rsidRDefault="00C100BB" w14:paraId="505BFE5A" w14:textId="01704CA2">
      <w:pPr>
        <w:rPr>
          <w:rFonts w:ascii="Times New Roman" w:hAnsi="Times New Roman" w:cs="Times New Roman"/>
          <w:sz w:val="24"/>
          <w:szCs w:val="24"/>
        </w:rPr>
      </w:pPr>
      <w:r>
        <w:rPr>
          <w:rFonts w:ascii="Times New Roman" w:hAnsi="Times New Roman" w:cs="Times New Roman"/>
          <w:sz w:val="24"/>
          <w:szCs w:val="24"/>
        </w:rPr>
        <w:t>Exposure Time Rate α = 41.9</w:t>
      </w:r>
      <w:r w:rsidR="00833060">
        <w:rPr>
          <w:rFonts w:ascii="Times New Roman" w:hAnsi="Times New Roman" w:cs="Times New Roman"/>
          <w:sz w:val="24"/>
          <w:szCs w:val="24"/>
        </w:rPr>
        <w:t xml:space="preserve"> </w:t>
      </w:r>
      <w:r>
        <w:rPr>
          <w:rFonts w:ascii="Times New Roman" w:hAnsi="Times New Roman" w:cs="Times New Roman"/>
          <w:sz w:val="24"/>
          <w:szCs w:val="24"/>
        </w:rPr>
        <w:t>/</w:t>
      </w:r>
      <w:r w:rsidR="00833060">
        <w:rPr>
          <w:rFonts w:ascii="Times New Roman" w:hAnsi="Times New Roman" w:cs="Times New Roman"/>
          <w:sz w:val="24"/>
          <w:szCs w:val="24"/>
        </w:rPr>
        <w:t xml:space="preserve"> </w:t>
      </w:r>
      <w:r>
        <w:rPr>
          <w:rFonts w:ascii="Times New Roman" w:hAnsi="Times New Roman" w:cs="Times New Roman"/>
          <w:sz w:val="24"/>
          <w:szCs w:val="24"/>
        </w:rPr>
        <w:t xml:space="preserve">168 (hours in a week) = </w:t>
      </w:r>
      <w:r w:rsidR="00833060">
        <w:rPr>
          <w:rFonts w:ascii="Times New Roman" w:hAnsi="Times New Roman" w:cs="Times New Roman"/>
          <w:sz w:val="24"/>
          <w:szCs w:val="24"/>
        </w:rPr>
        <w:t>.249 or 24.9%</w:t>
      </w:r>
    </w:p>
    <w:p w:rsidR="00833060" w:rsidP="001B36C4" w:rsidRDefault="00833060" w14:paraId="383C925F" w14:textId="75B6D515">
      <w:pPr>
        <w:rPr>
          <w:rFonts w:ascii="Times New Roman" w:hAnsi="Times New Roman" w:cs="Times New Roman"/>
          <w:sz w:val="24"/>
          <w:szCs w:val="24"/>
        </w:rPr>
      </w:pPr>
      <w:r w:rsidRPr="69984C7C" w:rsidR="00833060">
        <w:rPr>
          <w:rFonts w:ascii="Times New Roman" w:hAnsi="Times New Roman" w:cs="Times New Roman"/>
          <w:sz w:val="24"/>
          <w:szCs w:val="24"/>
        </w:rPr>
        <w:t>IRPA = 607 / 51410 * .249 = .0029</w:t>
      </w:r>
    </w:p>
    <w:p w:rsidR="00833060" w:rsidP="001B36C4" w:rsidRDefault="00833060" w14:paraId="34AB1040" w14:textId="5CE9F3FE">
      <w:pPr>
        <w:rPr>
          <w:rFonts w:ascii="Times New Roman" w:hAnsi="Times New Roman" w:cs="Times New Roman"/>
          <w:sz w:val="24"/>
          <w:szCs w:val="24"/>
        </w:rPr>
      </w:pPr>
      <w:r w:rsidRPr="69984C7C" w:rsidR="00833060">
        <w:rPr>
          <w:rFonts w:ascii="Times New Roman" w:hAnsi="Times New Roman" w:cs="Times New Roman"/>
          <w:sz w:val="24"/>
          <w:szCs w:val="24"/>
        </w:rPr>
        <w:t>PLL = 7870 * .0029 = 23.1</w:t>
      </w:r>
      <w:r w:rsidRPr="69984C7C" w:rsidR="78C4E1BB">
        <w:rPr>
          <w:rFonts w:ascii="Times New Roman" w:hAnsi="Times New Roman" w:cs="Times New Roman"/>
          <w:sz w:val="24"/>
          <w:szCs w:val="24"/>
        </w:rPr>
        <w:t>4</w:t>
      </w:r>
      <w:r w:rsidRPr="69984C7C" w:rsidR="00833060">
        <w:rPr>
          <w:rFonts w:ascii="Times New Roman" w:hAnsi="Times New Roman" w:cs="Times New Roman"/>
          <w:sz w:val="24"/>
          <w:szCs w:val="24"/>
        </w:rPr>
        <w:t xml:space="preserve"> fatalities </w:t>
      </w:r>
    </w:p>
    <w:p w:rsidRPr="00B00FA6" w:rsidR="001E7462" w:rsidP="001B36C4" w:rsidRDefault="001E7462" w14:paraId="1904BDFE" w14:textId="5F102BE9">
      <w:pPr>
        <w:rPr>
          <w:rFonts w:ascii="Times New Roman" w:hAnsi="Times New Roman" w:cs="Times New Roman"/>
          <w:sz w:val="24"/>
          <w:szCs w:val="24"/>
        </w:rPr>
      </w:pPr>
      <w:r>
        <w:rPr>
          <w:rFonts w:ascii="Times New Roman" w:hAnsi="Times New Roman" w:cs="Times New Roman"/>
          <w:sz w:val="24"/>
          <w:szCs w:val="24"/>
        </w:rPr>
        <w:t>Additionally, nonfatal injuries can cause significant time out of work for delivery drivers which can put a strain of productivity. In 2018, U.S. Bureau of Labor Statistics reported the incidence rate of nonfatal occupational injuries and illnesses</w:t>
      </w:r>
      <w:r w:rsidR="008D7829">
        <w:rPr>
          <w:rFonts w:ascii="Times New Roman" w:hAnsi="Times New Roman" w:cs="Times New Roman"/>
          <w:sz w:val="24"/>
          <w:szCs w:val="24"/>
        </w:rPr>
        <w:t xml:space="preserve"> with time out of work</w:t>
      </w:r>
      <w:r>
        <w:rPr>
          <w:rFonts w:ascii="Times New Roman" w:hAnsi="Times New Roman" w:cs="Times New Roman"/>
          <w:sz w:val="24"/>
          <w:szCs w:val="24"/>
        </w:rPr>
        <w:t xml:space="preserve"> to be 233 cases per 10,000 of light truck or delivery service. For the population of drivers for U.S. (7870) this equates to 183.4 incidences. While it does not </w:t>
      </w:r>
      <w:r w:rsidR="0011702A">
        <w:rPr>
          <w:rFonts w:ascii="Times New Roman" w:hAnsi="Times New Roman" w:cs="Times New Roman"/>
          <w:sz w:val="24"/>
          <w:szCs w:val="24"/>
        </w:rPr>
        <w:t>consider</w:t>
      </w:r>
      <w:r>
        <w:rPr>
          <w:rFonts w:ascii="Times New Roman" w:hAnsi="Times New Roman" w:cs="Times New Roman"/>
          <w:sz w:val="24"/>
          <w:szCs w:val="24"/>
        </w:rPr>
        <w:t xml:space="preserve"> severity or number of days out of work, it could be a significant cost that can be mitigated by adding vehicle safety controls. </w:t>
      </w:r>
    </w:p>
    <w:p w:rsidR="001B36C4" w:rsidP="001B36C4" w:rsidRDefault="00994D32" w14:paraId="7DB124B3" w14:textId="049F5A5C">
      <w:pPr>
        <w:rPr>
          <w:rFonts w:ascii="Times New Roman" w:hAnsi="Times New Roman" w:cs="Times New Roman"/>
          <w:b/>
          <w:bCs/>
          <w:sz w:val="24"/>
          <w:szCs w:val="24"/>
        </w:rPr>
      </w:pPr>
      <w:r>
        <w:rPr>
          <w:rFonts w:ascii="Times New Roman" w:hAnsi="Times New Roman" w:cs="Times New Roman"/>
          <w:b/>
          <w:bCs/>
          <w:sz w:val="24"/>
          <w:szCs w:val="24"/>
        </w:rPr>
        <w:t xml:space="preserve">Event Tree- </w:t>
      </w:r>
      <w:r w:rsidR="00050D5F">
        <w:rPr>
          <w:rFonts w:ascii="Times New Roman" w:hAnsi="Times New Roman" w:cs="Times New Roman"/>
          <w:b/>
          <w:bCs/>
          <w:sz w:val="24"/>
          <w:szCs w:val="24"/>
        </w:rPr>
        <w:t xml:space="preserve">After </w:t>
      </w:r>
      <w:r w:rsidR="0051203F">
        <w:rPr>
          <w:rFonts w:ascii="Times New Roman" w:hAnsi="Times New Roman" w:cs="Times New Roman"/>
          <w:b/>
          <w:bCs/>
          <w:sz w:val="24"/>
          <w:szCs w:val="24"/>
        </w:rPr>
        <w:t xml:space="preserve">New </w:t>
      </w:r>
      <w:r w:rsidR="00050D5F">
        <w:rPr>
          <w:rFonts w:ascii="Times New Roman" w:hAnsi="Times New Roman" w:cs="Times New Roman"/>
          <w:b/>
          <w:bCs/>
          <w:sz w:val="24"/>
          <w:szCs w:val="24"/>
        </w:rPr>
        <w:t>Control</w:t>
      </w:r>
    </w:p>
    <w:p w:rsidRPr="00F5058F" w:rsidR="00F5058F" w:rsidP="001B36C4" w:rsidRDefault="00F5058F" w14:paraId="15E0FF48" w14:textId="73AE1FBB">
      <w:pPr>
        <w:rPr>
          <w:rFonts w:ascii="Times New Roman" w:hAnsi="Times New Roman" w:cs="Times New Roman"/>
          <w:sz w:val="24"/>
          <w:szCs w:val="24"/>
        </w:rPr>
      </w:pPr>
      <w:r>
        <w:rPr>
          <w:rFonts w:ascii="Times New Roman" w:hAnsi="Times New Roman" w:cs="Times New Roman"/>
          <w:sz w:val="24"/>
          <w:szCs w:val="24"/>
        </w:rPr>
        <w:t xml:space="preserve">Based on our analysis, we would recommend an automatic braking feature be installed to avoid the delivery vehicle striking a vehicle ahead if it is following too close. The probability that an accident will occur if the new control fails is dramatically reduced to .0015%. </w:t>
      </w:r>
    </w:p>
    <w:p w:rsidR="0051203F" w:rsidP="001B36C4" w:rsidRDefault="0051203F" w14:paraId="4A6E96F7" w14:textId="645E794C">
      <w:pPr>
        <w:rPr>
          <w:rFonts w:ascii="Times New Roman" w:hAnsi="Times New Roman" w:cs="Times New Roman"/>
          <w:b/>
          <w:bCs/>
          <w:sz w:val="24"/>
          <w:szCs w:val="24"/>
        </w:rPr>
      </w:pPr>
      <w:r>
        <w:rPr>
          <w:noProof/>
        </w:rPr>
        <w:drawing>
          <wp:inline distT="0" distB="0" distL="0" distR="0" wp14:anchorId="46F0B60C" wp14:editId="1E591B65">
            <wp:extent cx="5943600" cy="293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34335"/>
                    </a:xfrm>
                    <a:prstGeom prst="rect">
                      <a:avLst/>
                    </a:prstGeom>
                  </pic:spPr>
                </pic:pic>
              </a:graphicData>
            </a:graphic>
          </wp:inline>
        </w:drawing>
      </w:r>
    </w:p>
    <w:p w:rsidR="0011702A" w:rsidP="001B36C4" w:rsidRDefault="0011702A" w14:paraId="17604F39" w14:textId="32C71499">
      <w:pPr>
        <w:rPr>
          <w:rFonts w:ascii="Times New Roman" w:hAnsi="Times New Roman" w:cs="Times New Roman"/>
          <w:sz w:val="24"/>
          <w:szCs w:val="24"/>
        </w:rPr>
      </w:pPr>
      <w:r w:rsidRPr="69984C7C" w:rsidR="0011702A">
        <w:rPr>
          <w:rFonts w:ascii="Times New Roman" w:hAnsi="Times New Roman" w:cs="Times New Roman"/>
          <w:sz w:val="24"/>
          <w:szCs w:val="24"/>
        </w:rPr>
        <w:t xml:space="preserve">The ALARP Principle strives for risk to be “as low as reasonably practicable”. </w:t>
      </w:r>
      <w:r w:rsidRPr="69984C7C" w:rsidR="00D23A83">
        <w:rPr>
          <w:rFonts w:ascii="Times New Roman" w:hAnsi="Times New Roman" w:cs="Times New Roman"/>
          <w:sz w:val="24"/>
          <w:szCs w:val="24"/>
        </w:rPr>
        <w:t xml:space="preserve">In the case of driver accidents and injuries, they should never be in the unacceptable region. Additional safety controls for the delivery fleet would lower the risk and keep it in the ALARP Region. Adding automatic breaking features to the delivery fleet is cost that could reduce injuries, save lives, and let UPS remain the industry leader in delivery services. </w:t>
      </w:r>
    </w:p>
    <w:p w:rsidR="008D7829" w:rsidP="00AF1391" w:rsidRDefault="008D7829" w14:paraId="574A176F" w14:textId="659AF6A4">
      <w:pPr>
        <w:pStyle w:val="Heading2"/>
      </w:pPr>
      <w:bookmarkStart w:name="_Toc58405317" w:id="18"/>
      <w:r>
        <w:lastRenderedPageBreak/>
        <w:t>References</w:t>
      </w:r>
      <w:bookmarkEnd w:id="18"/>
    </w:p>
    <w:p w:rsidRPr="00AF1391" w:rsidR="00AF1391" w:rsidP="00106B18" w:rsidRDefault="00106B18" w14:paraId="5A2DF6BE" w14:textId="24576A05">
      <w:pPr>
        <w:rPr>
          <w:rFonts w:ascii="Times New Roman" w:hAnsi="Times New Roman" w:cs="Times New Roman"/>
          <w:b/>
          <w:color w:val="0563C1" w:themeColor="hyperlink"/>
          <w:sz w:val="24"/>
          <w:szCs w:val="24"/>
          <w:u w:val="single"/>
        </w:rPr>
      </w:pPr>
      <w:r>
        <w:rPr>
          <w:rFonts w:ascii="Times New Roman" w:hAnsi="Times New Roman" w:cs="Times New Roman"/>
          <w:i/>
          <w:sz w:val="24"/>
          <w:szCs w:val="24"/>
        </w:rPr>
        <w:t>Board of Directors.</w:t>
      </w:r>
      <w:r>
        <w:rPr>
          <w:rFonts w:ascii="Times New Roman" w:hAnsi="Times New Roman" w:cs="Times New Roman"/>
          <w:sz w:val="24"/>
          <w:szCs w:val="24"/>
        </w:rPr>
        <w:t xml:space="preserve"> (n.d.) UPS Investors. Retrieved from </w:t>
      </w:r>
      <w:r>
        <w:rPr>
          <w:rFonts w:ascii="Times New Roman" w:hAnsi="Times New Roman" w:cs="Times New Roman"/>
          <w:sz w:val="24"/>
          <w:szCs w:val="24"/>
        </w:rPr>
        <w:tab/>
      </w:r>
      <w:hyperlink w:history="1" r:id="rId25">
        <w:r w:rsidRPr="00811BB2">
          <w:rPr>
            <w:rStyle w:val="Hyperlink"/>
            <w:rFonts w:ascii="Times New Roman" w:hAnsi="Times New Roman" w:cs="Times New Roman"/>
            <w:b/>
            <w:sz w:val="24"/>
            <w:szCs w:val="24"/>
          </w:rPr>
          <w:t>http://www.investors.ups.com/governance/board-of-directors</w:t>
        </w:r>
      </w:hyperlink>
    </w:p>
    <w:p w:rsidR="00AF1391" w:rsidP="00106B18" w:rsidRDefault="00AF1391" w14:paraId="1A99FA40" w14:textId="1699A3BB">
      <w:pPr>
        <w:pStyle w:val="Normal1"/>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Federal Motor Carrier Safety Administration. (2020). UPS Ground Freight INC. Retrieved from </w:t>
      </w:r>
    </w:p>
    <w:p w:rsidR="00AF1391" w:rsidP="00106B18" w:rsidRDefault="00AF1391" w14:paraId="1F2AED31" w14:textId="61A25F69">
      <w:pPr>
        <w:pStyle w:val="Normal1"/>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ab/>
      </w:r>
      <w:hyperlink w:history="1" r:id="rId26">
        <w:r w:rsidRPr="009A28C7">
          <w:rPr>
            <w:rStyle w:val="Hyperlink"/>
            <w:rFonts w:ascii="Times New Roman" w:hAnsi="Times New Roman" w:eastAsia="Times New Roman" w:cs="Times New Roman"/>
            <w:sz w:val="24"/>
            <w:szCs w:val="24"/>
          </w:rPr>
          <w:t>https://ai.fmcsa.dot.gov/SMS/Carrier/121058/BASIC/UnsafeDriving.aspx</w:t>
        </w:r>
      </w:hyperlink>
      <w:r>
        <w:rPr>
          <w:rFonts w:ascii="Times New Roman" w:hAnsi="Times New Roman" w:eastAsia="Times New Roman" w:cs="Times New Roman"/>
          <w:sz w:val="24"/>
          <w:szCs w:val="24"/>
        </w:rPr>
        <w:t xml:space="preserve"> </w:t>
      </w:r>
    </w:p>
    <w:p w:rsidR="00AF1391" w:rsidP="00106B18" w:rsidRDefault="00AF1391" w14:paraId="2D3333F6" w14:textId="77777777">
      <w:pPr>
        <w:pStyle w:val="Normal1"/>
        <w:spacing w:line="240" w:lineRule="auto"/>
        <w:contextualSpacing w:val="0"/>
        <w:rPr>
          <w:rFonts w:ascii="Times New Roman" w:hAnsi="Times New Roman" w:eastAsia="Times New Roman" w:cs="Times New Roman"/>
          <w:sz w:val="24"/>
          <w:szCs w:val="24"/>
        </w:rPr>
      </w:pPr>
    </w:p>
    <w:p w:rsidR="00106B18" w:rsidP="00106B18" w:rsidRDefault="00106B18" w14:paraId="6C46164C" w14:textId="488B1463">
      <w:pPr>
        <w:pStyle w:val="Normal1"/>
        <w:spacing w:line="240" w:lineRule="auto"/>
        <w:contextualSpacing w:val="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National Institute of Standards and Technology/U.S. Department of Commerce. (2012). </w:t>
      </w:r>
      <w:r>
        <w:rPr>
          <w:rFonts w:ascii="Times New Roman" w:hAnsi="Times New Roman" w:eastAsia="Times New Roman" w:cs="Times New Roman"/>
          <w:i/>
          <w:sz w:val="24"/>
          <w:szCs w:val="24"/>
        </w:rPr>
        <w:t xml:space="preserve">NIST  </w:t>
      </w:r>
      <w:r>
        <w:rPr>
          <w:rFonts w:ascii="Times New Roman" w:hAnsi="Times New Roman" w:eastAsia="Times New Roman" w:cs="Times New Roman"/>
          <w:i/>
          <w:sz w:val="24"/>
          <w:szCs w:val="24"/>
        </w:rPr>
        <w:tab/>
      </w:r>
    </w:p>
    <w:p w:rsidR="00106B18" w:rsidP="00106B18" w:rsidRDefault="00106B18" w14:paraId="57D24543" w14:textId="77777777">
      <w:pPr>
        <w:pStyle w:val="Normal1"/>
        <w:spacing w:line="240" w:lineRule="auto"/>
        <w:contextualSpacing w:val="0"/>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             Special Pubilication 800-30: Guide for Conducting Risk Assessments Revision 1 </w:t>
      </w:r>
      <w:r>
        <w:rPr>
          <w:rFonts w:ascii="Times New Roman" w:hAnsi="Times New Roman" w:eastAsia="Times New Roman" w:cs="Times New Roman"/>
          <w:sz w:val="24"/>
          <w:szCs w:val="24"/>
        </w:rPr>
        <w:t>[PDF]</w:t>
      </w:r>
      <w:r>
        <w:rPr>
          <w:rFonts w:ascii="Times New Roman" w:hAnsi="Times New Roman" w:eastAsia="Times New Roman" w:cs="Times New Roman"/>
          <w:i/>
          <w:sz w:val="24"/>
          <w:szCs w:val="24"/>
        </w:rPr>
        <w:t xml:space="preserve">. </w:t>
      </w:r>
    </w:p>
    <w:p w:rsidR="008D7829" w:rsidP="00106B18" w:rsidRDefault="00106B18" w14:paraId="04F4D5E9" w14:textId="2F09352A">
      <w:pPr>
        <w:pStyle w:val="Normal1"/>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Gaithersburg, MD. Retrieved from </w:t>
      </w:r>
      <w:r>
        <w:rPr>
          <w:rFonts w:ascii="Times New Roman" w:hAnsi="Times New Roman" w:eastAsia="Times New Roman" w:cs="Times New Roman"/>
          <w:sz w:val="24"/>
          <w:szCs w:val="24"/>
        </w:rPr>
        <w:tab/>
      </w:r>
      <w:hyperlink w:history="1" r:id="rId27">
        <w:r w:rsidRPr="009A28C7">
          <w:rPr>
            <w:rStyle w:val="Hyperlink"/>
            <w:rFonts w:ascii="Times New Roman" w:hAnsi="Times New Roman" w:eastAsia="Times New Roman" w:cs="Times New Roman"/>
            <w:sz w:val="24"/>
            <w:szCs w:val="24"/>
          </w:rPr>
          <w:t>https://nvlpubs.nist.gov/nistpubs/Legacy/SP/nistspecialpublication800-30r1.pdf</w:t>
        </w:r>
      </w:hyperlink>
    </w:p>
    <w:p w:rsidR="00106B18" w:rsidP="00106B18" w:rsidRDefault="00106B18" w14:paraId="0F494595" w14:textId="08FF16E3">
      <w:pPr>
        <w:pStyle w:val="Normal1"/>
        <w:spacing w:line="240" w:lineRule="auto"/>
        <w:contextualSpacing w:val="0"/>
        <w:rPr>
          <w:rFonts w:ascii="Times New Roman" w:hAnsi="Times New Roman" w:eastAsia="Times New Roman" w:cs="Times New Roman"/>
          <w:sz w:val="24"/>
          <w:szCs w:val="24"/>
        </w:rPr>
      </w:pPr>
    </w:p>
    <w:p w:rsidR="00106B18" w:rsidP="00106B18" w:rsidRDefault="00106B18" w14:paraId="3D1DA6F5" w14:textId="1BD23A45">
      <w:pPr>
        <w:pStyle w:val="Normal1"/>
        <w:spacing w:line="240" w:lineRule="auto"/>
        <w:ind w:left="720" w:hanging="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Rausand, M. &amp; Safari Books Online (Firm). (2011). </w:t>
      </w:r>
      <w:r w:rsidRPr="00106B18">
        <w:rPr>
          <w:rFonts w:ascii="Times New Roman" w:hAnsi="Times New Roman" w:eastAsia="Times New Roman" w:cs="Times New Roman"/>
          <w:i/>
          <w:iCs/>
          <w:sz w:val="24"/>
          <w:szCs w:val="24"/>
        </w:rPr>
        <w:t>Risk assessment: Theory, methods, and applications</w:t>
      </w:r>
      <w:r>
        <w:rPr>
          <w:rFonts w:ascii="Times New Roman" w:hAnsi="Times New Roman" w:eastAsia="Times New Roman" w:cs="Times New Roman"/>
          <w:sz w:val="24"/>
          <w:szCs w:val="24"/>
        </w:rPr>
        <w:t xml:space="preserve"> (1</w:t>
      </w:r>
      <w:r w:rsidRPr="00106B18">
        <w:rPr>
          <w:rFonts w:ascii="Times New Roman" w:hAnsi="Times New Roman" w:eastAsia="Times New Roman" w:cs="Times New Roman"/>
          <w:sz w:val="24"/>
          <w:szCs w:val="24"/>
          <w:vertAlign w:val="superscript"/>
        </w:rPr>
        <w:t>st</w:t>
      </w:r>
      <w:r>
        <w:rPr>
          <w:rFonts w:ascii="Times New Roman" w:hAnsi="Times New Roman" w:eastAsia="Times New Roman" w:cs="Times New Roman"/>
          <w:sz w:val="24"/>
          <w:szCs w:val="24"/>
        </w:rPr>
        <w:t xml:space="preserve"> ed). Wiley. Retrieved from </w:t>
      </w:r>
    </w:p>
    <w:p w:rsidR="00106B18" w:rsidP="00106B18" w:rsidRDefault="00106B18" w14:paraId="6B122BC0" w14:textId="5A63BD46">
      <w:pPr>
        <w:pStyle w:val="Normal1"/>
        <w:spacing w:line="240" w:lineRule="auto"/>
        <w:ind w:left="720" w:hanging="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ab/>
      </w:r>
      <w:hyperlink w:history="1" r:id="rId28">
        <w:r w:rsidRPr="009A28C7">
          <w:rPr>
            <w:rStyle w:val="Hyperlink"/>
            <w:rFonts w:ascii="Times New Roman" w:hAnsi="Times New Roman" w:eastAsia="Times New Roman" w:cs="Times New Roman"/>
            <w:sz w:val="24"/>
            <w:szCs w:val="24"/>
          </w:rPr>
          <w:t>https://learning.oreilly.com/library/view/risk-assessment-theory/9780470637647/13_chapter04.html</w:t>
        </w:r>
      </w:hyperlink>
      <w:r>
        <w:rPr>
          <w:rFonts w:ascii="Times New Roman" w:hAnsi="Times New Roman" w:eastAsia="Times New Roman" w:cs="Times New Roman"/>
          <w:sz w:val="24"/>
          <w:szCs w:val="24"/>
        </w:rPr>
        <w:t xml:space="preserve"> </w:t>
      </w:r>
    </w:p>
    <w:p w:rsidRPr="00106B18" w:rsidR="00106B18" w:rsidP="00106B18" w:rsidRDefault="00106B18" w14:paraId="7812ABE6" w14:textId="77777777">
      <w:pPr>
        <w:pStyle w:val="Normal1"/>
        <w:spacing w:line="240" w:lineRule="auto"/>
        <w:contextualSpacing w:val="0"/>
        <w:rPr>
          <w:rFonts w:ascii="Times New Roman" w:hAnsi="Times New Roman" w:eastAsia="Times New Roman" w:cs="Times New Roman"/>
          <w:sz w:val="24"/>
          <w:szCs w:val="24"/>
        </w:rPr>
      </w:pPr>
    </w:p>
    <w:p w:rsidR="00106B18" w:rsidP="00106B18" w:rsidRDefault="00106B18" w14:paraId="7575CE01" w14:textId="77777777">
      <w:pPr>
        <w:ind w:left="720" w:hanging="720"/>
        <w:rPr>
          <w:rFonts w:ascii="Times New Roman" w:hAnsi="Times New Roman" w:cs="Times New Roman"/>
          <w:sz w:val="24"/>
          <w:szCs w:val="24"/>
        </w:rPr>
      </w:pPr>
      <w:r w:rsidRPr="00AD2889">
        <w:rPr>
          <w:rFonts w:ascii="Times New Roman" w:hAnsi="Times New Roman" w:cs="Times New Roman"/>
          <w:i/>
          <w:sz w:val="24"/>
          <w:szCs w:val="24"/>
        </w:rPr>
        <w:t>UPS Fact Sheet.</w:t>
      </w:r>
      <w:r>
        <w:rPr>
          <w:rFonts w:ascii="Times New Roman" w:hAnsi="Times New Roman" w:cs="Times New Roman"/>
          <w:sz w:val="24"/>
          <w:szCs w:val="24"/>
        </w:rPr>
        <w:t xml:space="preserve"> (n.d.). UPS Pressroom. Retrieved from </w:t>
      </w:r>
      <w:hyperlink w:history="1" r:id="rId29">
        <w:r w:rsidRPr="00811BB2">
          <w:rPr>
            <w:rStyle w:val="Hyperlink"/>
            <w:rFonts w:ascii="Times New Roman" w:hAnsi="Times New Roman" w:cs="Times New Roman"/>
            <w:sz w:val="24"/>
            <w:szCs w:val="24"/>
          </w:rPr>
          <w:t>https://pressroom.ups.com/pressroom/ContentDetailsViewer.page?ConceptType=FactSheets&amp;id=1426321563187-193</w:t>
        </w:r>
      </w:hyperlink>
    </w:p>
    <w:p w:rsidR="00106B18" w:rsidP="00AC5D45" w:rsidRDefault="00106B18" w14:paraId="6F5D9DA6" w14:textId="32BB28EB">
      <w:pPr>
        <w:tabs>
          <w:tab w:val="left" w:pos="0"/>
        </w:tabs>
        <w:ind w:left="720" w:hanging="720"/>
        <w:rPr>
          <w:rFonts w:ascii="Times New Roman" w:hAnsi="Times New Roman" w:cs="Times New Roman"/>
          <w:sz w:val="24"/>
          <w:szCs w:val="24"/>
        </w:rPr>
      </w:pPr>
      <w:r>
        <w:rPr>
          <w:rFonts w:ascii="Times New Roman" w:hAnsi="Times New Roman" w:cs="Times New Roman"/>
          <w:sz w:val="24"/>
          <w:szCs w:val="24"/>
        </w:rPr>
        <w:t>U.S. Bureau of Labor Statistics</w:t>
      </w:r>
      <w:r w:rsidR="00AC5D45">
        <w:rPr>
          <w:rFonts w:ascii="Times New Roman" w:hAnsi="Times New Roman" w:cs="Times New Roman"/>
          <w:sz w:val="24"/>
          <w:szCs w:val="24"/>
        </w:rPr>
        <w:t xml:space="preserve">. (2020). Industries at a Glance: Truck Transportation NAICS 484. Retrieved from </w:t>
      </w:r>
      <w:hyperlink w:history="1" r:id="rId30">
        <w:r w:rsidRPr="009A28C7" w:rsidR="00AC5D45">
          <w:rPr>
            <w:rStyle w:val="Hyperlink"/>
            <w:rFonts w:ascii="Times New Roman" w:hAnsi="Times New Roman" w:cs="Times New Roman"/>
            <w:sz w:val="24"/>
            <w:szCs w:val="24"/>
          </w:rPr>
          <w:t>https://www.bls.gov/iag/tgs/iag484.htm</w:t>
        </w:r>
      </w:hyperlink>
      <w:r w:rsidR="00AC5D45">
        <w:rPr>
          <w:rFonts w:ascii="Times New Roman" w:hAnsi="Times New Roman" w:cs="Times New Roman"/>
          <w:sz w:val="24"/>
          <w:szCs w:val="24"/>
        </w:rPr>
        <w:t xml:space="preserve"> </w:t>
      </w:r>
    </w:p>
    <w:p w:rsidR="00AC5D45" w:rsidP="00AC5D45" w:rsidRDefault="00AF1391" w14:paraId="511D7D56" w14:textId="2AF73D13">
      <w:pPr>
        <w:tabs>
          <w:tab w:val="left" w:pos="0"/>
        </w:tabs>
        <w:ind w:left="720" w:hanging="720"/>
        <w:rPr>
          <w:rFonts w:ascii="Times New Roman" w:hAnsi="Times New Roman" w:cs="Times New Roman"/>
          <w:sz w:val="24"/>
          <w:szCs w:val="24"/>
        </w:rPr>
      </w:pPr>
      <w:r>
        <w:rPr>
          <w:rFonts w:ascii="Times New Roman" w:hAnsi="Times New Roman" w:cs="Times New Roman"/>
          <w:sz w:val="24"/>
          <w:szCs w:val="24"/>
        </w:rPr>
        <w:t>U.S. Bureau of Labor Statistics. (2020).</w:t>
      </w:r>
      <w:r>
        <w:rPr>
          <w:rFonts w:ascii="Times New Roman" w:hAnsi="Times New Roman" w:cs="Times New Roman"/>
          <w:sz w:val="24"/>
          <w:szCs w:val="24"/>
        </w:rPr>
        <w:t xml:space="preserve"> Injuries, Illnesses, Fatatlies: Fact Sheet Truck Drivers 2018, July 2020. Retrieved from </w:t>
      </w:r>
      <w:hyperlink w:history="1" r:id="rId31">
        <w:r w:rsidRPr="009A28C7">
          <w:rPr>
            <w:rStyle w:val="Hyperlink"/>
            <w:rFonts w:ascii="Times New Roman" w:hAnsi="Times New Roman" w:cs="Times New Roman"/>
            <w:sz w:val="24"/>
            <w:szCs w:val="24"/>
          </w:rPr>
          <w:t>https://www.bls.gov/iif/oshwc/cfoi/truck-drivers-2018.htm#_edn5</w:t>
        </w:r>
      </w:hyperlink>
      <w:r>
        <w:rPr>
          <w:rFonts w:ascii="Times New Roman" w:hAnsi="Times New Roman" w:cs="Times New Roman"/>
          <w:sz w:val="24"/>
          <w:szCs w:val="24"/>
        </w:rPr>
        <w:t xml:space="preserve"> </w:t>
      </w:r>
    </w:p>
    <w:p w:rsidRPr="0011702A" w:rsidR="008D7829" w:rsidP="001B36C4" w:rsidRDefault="008D7829" w14:paraId="2450DF67" w14:textId="77777777">
      <w:pPr>
        <w:rPr>
          <w:rFonts w:ascii="Times New Roman" w:hAnsi="Times New Roman" w:cs="Times New Roman"/>
          <w:sz w:val="24"/>
          <w:szCs w:val="24"/>
        </w:rPr>
      </w:pPr>
    </w:p>
    <w:p w:rsidRPr="006C33C2" w:rsidR="001E7462" w:rsidP="001B36C4" w:rsidRDefault="001E7462" w14:paraId="1FCCD867" w14:textId="77777777">
      <w:pPr>
        <w:rPr>
          <w:rFonts w:ascii="Times New Roman" w:hAnsi="Times New Roman" w:cs="Times New Roman"/>
          <w:b/>
          <w:bCs/>
          <w:sz w:val="24"/>
          <w:szCs w:val="24"/>
        </w:rPr>
      </w:pPr>
    </w:p>
    <w:sectPr w:rsidRPr="006C33C2" w:rsidR="001E7462">
      <w:footerReference w:type="default" r:id="rId3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1ED1" w:rsidP="00E44783" w:rsidRDefault="00F61ED1" w14:paraId="6D450B61" w14:textId="77777777">
      <w:pPr>
        <w:spacing w:after="0" w:line="240" w:lineRule="auto"/>
      </w:pPr>
      <w:r>
        <w:separator/>
      </w:r>
    </w:p>
  </w:endnote>
  <w:endnote w:type="continuationSeparator" w:id="0">
    <w:p w:rsidR="00F61ED1" w:rsidP="00E44783" w:rsidRDefault="00F61ED1" w14:paraId="046741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683004"/>
      <w:docPartObj>
        <w:docPartGallery w:val="Page Numbers (Bottom of Page)"/>
        <w:docPartUnique/>
      </w:docPartObj>
    </w:sdtPr>
    <w:sdtEndPr>
      <w:rPr>
        <w:noProof/>
      </w:rPr>
    </w:sdtEndPr>
    <w:sdtContent>
      <w:p w:rsidR="0011702A" w:rsidRDefault="0011702A" w14:paraId="42245191" w14:textId="46FBAA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1702A" w:rsidRDefault="0011702A" w14:paraId="571C95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1ED1" w:rsidP="00E44783" w:rsidRDefault="00F61ED1" w14:paraId="71B91216" w14:textId="77777777">
      <w:pPr>
        <w:spacing w:after="0" w:line="240" w:lineRule="auto"/>
      </w:pPr>
      <w:r>
        <w:separator/>
      </w:r>
    </w:p>
  </w:footnote>
  <w:footnote w:type="continuationSeparator" w:id="0">
    <w:p w:rsidR="00F61ED1" w:rsidP="00E44783" w:rsidRDefault="00F61ED1" w14:paraId="31A9AE7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0315B"/>
    <w:multiLevelType w:val="hybridMultilevel"/>
    <w:tmpl w:val="76003ED2"/>
    <w:lvl w:ilvl="0" w:tplc="56DA7CE6">
      <w:start w:val="1"/>
      <w:numFmt w:val="bullet"/>
      <w:lvlText w:val="·"/>
      <w:lvlJc w:val="left"/>
      <w:pPr>
        <w:ind w:left="720" w:hanging="360"/>
      </w:pPr>
      <w:rPr>
        <w:rFonts w:hint="default" w:ascii="Symbol" w:hAnsi="Symbol"/>
      </w:rPr>
    </w:lvl>
    <w:lvl w:ilvl="1" w:tplc="246E0DDE">
      <w:start w:val="1"/>
      <w:numFmt w:val="bullet"/>
      <w:lvlText w:val="o"/>
      <w:lvlJc w:val="left"/>
      <w:pPr>
        <w:ind w:left="1440" w:hanging="360"/>
      </w:pPr>
      <w:rPr>
        <w:rFonts w:hint="default" w:ascii="Courier New" w:hAnsi="Courier New"/>
      </w:rPr>
    </w:lvl>
    <w:lvl w:ilvl="2" w:tplc="729EA99A">
      <w:start w:val="1"/>
      <w:numFmt w:val="bullet"/>
      <w:lvlText w:val=""/>
      <w:lvlJc w:val="left"/>
      <w:pPr>
        <w:ind w:left="2160" w:hanging="360"/>
      </w:pPr>
      <w:rPr>
        <w:rFonts w:hint="default" w:ascii="Wingdings" w:hAnsi="Wingdings"/>
      </w:rPr>
    </w:lvl>
    <w:lvl w:ilvl="3" w:tplc="0B9EEDBE">
      <w:start w:val="1"/>
      <w:numFmt w:val="bullet"/>
      <w:lvlText w:val=""/>
      <w:lvlJc w:val="left"/>
      <w:pPr>
        <w:ind w:left="2880" w:hanging="360"/>
      </w:pPr>
      <w:rPr>
        <w:rFonts w:hint="default" w:ascii="Symbol" w:hAnsi="Symbol"/>
      </w:rPr>
    </w:lvl>
    <w:lvl w:ilvl="4" w:tplc="3E603B66">
      <w:start w:val="1"/>
      <w:numFmt w:val="bullet"/>
      <w:lvlText w:val="o"/>
      <w:lvlJc w:val="left"/>
      <w:pPr>
        <w:ind w:left="3600" w:hanging="360"/>
      </w:pPr>
      <w:rPr>
        <w:rFonts w:hint="default" w:ascii="Courier New" w:hAnsi="Courier New"/>
      </w:rPr>
    </w:lvl>
    <w:lvl w:ilvl="5" w:tplc="1904F604">
      <w:start w:val="1"/>
      <w:numFmt w:val="bullet"/>
      <w:lvlText w:val=""/>
      <w:lvlJc w:val="left"/>
      <w:pPr>
        <w:ind w:left="4320" w:hanging="360"/>
      </w:pPr>
      <w:rPr>
        <w:rFonts w:hint="default" w:ascii="Wingdings" w:hAnsi="Wingdings"/>
      </w:rPr>
    </w:lvl>
    <w:lvl w:ilvl="6" w:tplc="B67670F0">
      <w:start w:val="1"/>
      <w:numFmt w:val="bullet"/>
      <w:lvlText w:val=""/>
      <w:lvlJc w:val="left"/>
      <w:pPr>
        <w:ind w:left="5040" w:hanging="360"/>
      </w:pPr>
      <w:rPr>
        <w:rFonts w:hint="default" w:ascii="Symbol" w:hAnsi="Symbol"/>
      </w:rPr>
    </w:lvl>
    <w:lvl w:ilvl="7" w:tplc="2412427C">
      <w:start w:val="1"/>
      <w:numFmt w:val="bullet"/>
      <w:lvlText w:val="o"/>
      <w:lvlJc w:val="left"/>
      <w:pPr>
        <w:ind w:left="5760" w:hanging="360"/>
      </w:pPr>
      <w:rPr>
        <w:rFonts w:hint="default" w:ascii="Courier New" w:hAnsi="Courier New"/>
      </w:rPr>
    </w:lvl>
    <w:lvl w:ilvl="8" w:tplc="1D4C6E06">
      <w:start w:val="1"/>
      <w:numFmt w:val="bullet"/>
      <w:lvlText w:val=""/>
      <w:lvlJc w:val="left"/>
      <w:pPr>
        <w:ind w:left="6480" w:hanging="360"/>
      </w:pPr>
      <w:rPr>
        <w:rFonts w:hint="default" w:ascii="Wingdings" w:hAnsi="Wingdings"/>
      </w:rPr>
    </w:lvl>
  </w:abstractNum>
  <w:abstractNum w:abstractNumId="1" w15:restartNumberingAfterBreak="0">
    <w:nsid w:val="1D947AC8"/>
    <w:multiLevelType w:val="hybridMultilevel"/>
    <w:tmpl w:val="32CC2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4124D16"/>
    <w:multiLevelType w:val="hybridMultilevel"/>
    <w:tmpl w:val="0B5AEC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50869F2"/>
    <w:multiLevelType w:val="hybridMultilevel"/>
    <w:tmpl w:val="FD007A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08C3801"/>
    <w:multiLevelType w:val="hybridMultilevel"/>
    <w:tmpl w:val="A11AE8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6E247DB"/>
    <w:multiLevelType w:val="hybridMultilevel"/>
    <w:tmpl w:val="3D72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2379B"/>
    <w:multiLevelType w:val="hybridMultilevel"/>
    <w:tmpl w:val="FD428A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E226BA0"/>
    <w:multiLevelType w:val="hybridMultilevel"/>
    <w:tmpl w:val="74DC8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F23A1"/>
    <w:multiLevelType w:val="hybridMultilevel"/>
    <w:tmpl w:val="2FD2183A"/>
    <w:lvl w:ilvl="0" w:tplc="F0A8DD4C">
      <w:start w:val="1"/>
      <w:numFmt w:val="bullet"/>
      <w:lvlText w:val="·"/>
      <w:lvlJc w:val="left"/>
      <w:pPr>
        <w:ind w:left="720" w:hanging="360"/>
      </w:pPr>
      <w:rPr>
        <w:rFonts w:hint="default" w:ascii="Symbol" w:hAnsi="Symbol"/>
      </w:rPr>
    </w:lvl>
    <w:lvl w:ilvl="1" w:tplc="5AA49BA0">
      <w:start w:val="1"/>
      <w:numFmt w:val="bullet"/>
      <w:lvlText w:val="o"/>
      <w:lvlJc w:val="left"/>
      <w:pPr>
        <w:ind w:left="1440" w:hanging="360"/>
      </w:pPr>
      <w:rPr>
        <w:rFonts w:hint="default" w:ascii="Courier New" w:hAnsi="Courier New"/>
      </w:rPr>
    </w:lvl>
    <w:lvl w:ilvl="2" w:tplc="B05AE8D2">
      <w:start w:val="1"/>
      <w:numFmt w:val="bullet"/>
      <w:lvlText w:val=""/>
      <w:lvlJc w:val="left"/>
      <w:pPr>
        <w:ind w:left="2160" w:hanging="360"/>
      </w:pPr>
      <w:rPr>
        <w:rFonts w:hint="default" w:ascii="Wingdings" w:hAnsi="Wingdings"/>
      </w:rPr>
    </w:lvl>
    <w:lvl w:ilvl="3" w:tplc="71727EC4">
      <w:start w:val="1"/>
      <w:numFmt w:val="bullet"/>
      <w:lvlText w:val=""/>
      <w:lvlJc w:val="left"/>
      <w:pPr>
        <w:ind w:left="2880" w:hanging="360"/>
      </w:pPr>
      <w:rPr>
        <w:rFonts w:hint="default" w:ascii="Symbol" w:hAnsi="Symbol"/>
      </w:rPr>
    </w:lvl>
    <w:lvl w:ilvl="4" w:tplc="A61CFFAE">
      <w:start w:val="1"/>
      <w:numFmt w:val="bullet"/>
      <w:lvlText w:val="o"/>
      <w:lvlJc w:val="left"/>
      <w:pPr>
        <w:ind w:left="3600" w:hanging="360"/>
      </w:pPr>
      <w:rPr>
        <w:rFonts w:hint="default" w:ascii="Courier New" w:hAnsi="Courier New"/>
      </w:rPr>
    </w:lvl>
    <w:lvl w:ilvl="5" w:tplc="6D4C59C8">
      <w:start w:val="1"/>
      <w:numFmt w:val="bullet"/>
      <w:lvlText w:val=""/>
      <w:lvlJc w:val="left"/>
      <w:pPr>
        <w:ind w:left="4320" w:hanging="360"/>
      </w:pPr>
      <w:rPr>
        <w:rFonts w:hint="default" w:ascii="Wingdings" w:hAnsi="Wingdings"/>
      </w:rPr>
    </w:lvl>
    <w:lvl w:ilvl="6" w:tplc="A474865C">
      <w:start w:val="1"/>
      <w:numFmt w:val="bullet"/>
      <w:lvlText w:val=""/>
      <w:lvlJc w:val="left"/>
      <w:pPr>
        <w:ind w:left="5040" w:hanging="360"/>
      </w:pPr>
      <w:rPr>
        <w:rFonts w:hint="default" w:ascii="Symbol" w:hAnsi="Symbol"/>
      </w:rPr>
    </w:lvl>
    <w:lvl w:ilvl="7" w:tplc="F41C7920">
      <w:start w:val="1"/>
      <w:numFmt w:val="bullet"/>
      <w:lvlText w:val="o"/>
      <w:lvlJc w:val="left"/>
      <w:pPr>
        <w:ind w:left="5760" w:hanging="360"/>
      </w:pPr>
      <w:rPr>
        <w:rFonts w:hint="default" w:ascii="Courier New" w:hAnsi="Courier New"/>
      </w:rPr>
    </w:lvl>
    <w:lvl w:ilvl="8" w:tplc="50984A98">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6"/>
  </w:num>
  <w:num w:numId="4">
    <w:abstractNumId w:val="3"/>
  </w:num>
  <w:num w:numId="5">
    <w:abstractNumId w:val="2"/>
  </w:num>
  <w:num w:numId="6">
    <w:abstractNumId w:val="7"/>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9F"/>
    <w:rsid w:val="00043B54"/>
    <w:rsid w:val="00050D5F"/>
    <w:rsid w:val="000870D7"/>
    <w:rsid w:val="000B3C00"/>
    <w:rsid w:val="000C1CB4"/>
    <w:rsid w:val="000E1861"/>
    <w:rsid w:val="00106B18"/>
    <w:rsid w:val="0011702A"/>
    <w:rsid w:val="00163805"/>
    <w:rsid w:val="001B36C4"/>
    <w:rsid w:val="001C388F"/>
    <w:rsid w:val="001E7462"/>
    <w:rsid w:val="00247DFA"/>
    <w:rsid w:val="00262D96"/>
    <w:rsid w:val="00264F62"/>
    <w:rsid w:val="00275EFB"/>
    <w:rsid w:val="00286FD2"/>
    <w:rsid w:val="002C3111"/>
    <w:rsid w:val="00320385"/>
    <w:rsid w:val="003323CD"/>
    <w:rsid w:val="00343B2E"/>
    <w:rsid w:val="00361579"/>
    <w:rsid w:val="003F605F"/>
    <w:rsid w:val="004E0517"/>
    <w:rsid w:val="0051203F"/>
    <w:rsid w:val="005152BD"/>
    <w:rsid w:val="0053313E"/>
    <w:rsid w:val="00544482"/>
    <w:rsid w:val="00597E51"/>
    <w:rsid w:val="005B208F"/>
    <w:rsid w:val="005F2724"/>
    <w:rsid w:val="0060228E"/>
    <w:rsid w:val="00613704"/>
    <w:rsid w:val="00650C3F"/>
    <w:rsid w:val="006714A7"/>
    <w:rsid w:val="00686BC3"/>
    <w:rsid w:val="006C33C2"/>
    <w:rsid w:val="007043E0"/>
    <w:rsid w:val="00744F5C"/>
    <w:rsid w:val="0076429B"/>
    <w:rsid w:val="00786964"/>
    <w:rsid w:val="007C1856"/>
    <w:rsid w:val="008308B9"/>
    <w:rsid w:val="00833060"/>
    <w:rsid w:val="00857B40"/>
    <w:rsid w:val="00862C63"/>
    <w:rsid w:val="008644B3"/>
    <w:rsid w:val="00864A11"/>
    <w:rsid w:val="0087743F"/>
    <w:rsid w:val="00882CD7"/>
    <w:rsid w:val="008D7829"/>
    <w:rsid w:val="008E17C0"/>
    <w:rsid w:val="009573CC"/>
    <w:rsid w:val="00994D32"/>
    <w:rsid w:val="00A019E3"/>
    <w:rsid w:val="00A1637A"/>
    <w:rsid w:val="00A16862"/>
    <w:rsid w:val="00A6393F"/>
    <w:rsid w:val="00A913A5"/>
    <w:rsid w:val="00AA16EA"/>
    <w:rsid w:val="00AC5D45"/>
    <w:rsid w:val="00AD0C6E"/>
    <w:rsid w:val="00AE2D93"/>
    <w:rsid w:val="00AE752F"/>
    <w:rsid w:val="00AF1391"/>
    <w:rsid w:val="00B00FA6"/>
    <w:rsid w:val="00BA74CE"/>
    <w:rsid w:val="00BB2845"/>
    <w:rsid w:val="00C100BB"/>
    <w:rsid w:val="00CE5A0E"/>
    <w:rsid w:val="00CF2CE8"/>
    <w:rsid w:val="00D11B04"/>
    <w:rsid w:val="00D23A83"/>
    <w:rsid w:val="00D605C6"/>
    <w:rsid w:val="00D72B06"/>
    <w:rsid w:val="00D84D7D"/>
    <w:rsid w:val="00D93092"/>
    <w:rsid w:val="00E44783"/>
    <w:rsid w:val="00EF5190"/>
    <w:rsid w:val="00F04C86"/>
    <w:rsid w:val="00F04F34"/>
    <w:rsid w:val="00F4429F"/>
    <w:rsid w:val="00F5058F"/>
    <w:rsid w:val="00F61ED1"/>
    <w:rsid w:val="00FA44D7"/>
    <w:rsid w:val="00FC6FFF"/>
    <w:rsid w:val="06599CDD"/>
    <w:rsid w:val="58B2741C"/>
    <w:rsid w:val="69984C7C"/>
    <w:rsid w:val="78C4E1BB"/>
    <w:rsid w:val="7F38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66AC"/>
  <w15:chartTrackingRefBased/>
  <w15:docId w15:val="{1ADB62B3-1EA0-445D-A80C-E9AF841E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3B2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3C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F5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43B2E"/>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43B2E"/>
    <w:pPr>
      <w:outlineLvl w:val="9"/>
    </w:pPr>
  </w:style>
  <w:style w:type="character" w:styleId="Hyperlink">
    <w:name w:val="Hyperlink"/>
    <w:basedOn w:val="DefaultParagraphFont"/>
    <w:uiPriority w:val="99"/>
    <w:unhideWhenUsed/>
    <w:rsid w:val="00343B2E"/>
    <w:rPr>
      <w:color w:val="0563C1" w:themeColor="hyperlink"/>
      <w:u w:val="single"/>
    </w:rPr>
  </w:style>
  <w:style w:type="character" w:styleId="UnresolvedMention">
    <w:name w:val="Unresolved Mention"/>
    <w:basedOn w:val="DefaultParagraphFont"/>
    <w:uiPriority w:val="99"/>
    <w:semiHidden/>
    <w:unhideWhenUsed/>
    <w:rsid w:val="00343B2E"/>
    <w:rPr>
      <w:color w:val="605E5C"/>
      <w:shd w:val="clear" w:color="auto" w:fill="E1DFDD"/>
    </w:rPr>
  </w:style>
  <w:style w:type="paragraph" w:styleId="ListParagraph">
    <w:name w:val="List Paragraph"/>
    <w:basedOn w:val="Normal"/>
    <w:uiPriority w:val="34"/>
    <w:qFormat/>
    <w:rsid w:val="00D93092"/>
    <w:pPr>
      <w:ind w:left="720"/>
      <w:contextualSpacing/>
    </w:pPr>
  </w:style>
  <w:style w:type="table" w:styleId="TableGrid">
    <w:name w:val="Table Grid"/>
    <w:basedOn w:val="TableNormal"/>
    <w:uiPriority w:val="59"/>
    <w:rsid w:val="004E051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E447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4783"/>
  </w:style>
  <w:style w:type="paragraph" w:styleId="Footer">
    <w:name w:val="footer"/>
    <w:basedOn w:val="Normal"/>
    <w:link w:val="FooterChar"/>
    <w:uiPriority w:val="99"/>
    <w:unhideWhenUsed/>
    <w:rsid w:val="00E447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4783"/>
  </w:style>
  <w:style w:type="paragraph" w:styleId="Style1" w:customStyle="1">
    <w:name w:val="Style1"/>
    <w:basedOn w:val="Normal"/>
    <w:link w:val="Style1Char"/>
    <w:qFormat/>
    <w:rsid w:val="00AE752F"/>
    <w:rPr>
      <w:rFonts w:ascii="Times New Roman" w:hAnsi="Times New Roman" w:cs="Times New Roman"/>
      <w:sz w:val="28"/>
      <w:szCs w:val="28"/>
    </w:rPr>
  </w:style>
  <w:style w:type="paragraph" w:styleId="TOC1">
    <w:name w:val="toc 1"/>
    <w:basedOn w:val="Normal"/>
    <w:next w:val="Normal"/>
    <w:autoRedefine/>
    <w:uiPriority w:val="39"/>
    <w:unhideWhenUsed/>
    <w:rsid w:val="003323CD"/>
    <w:pPr>
      <w:spacing w:after="100"/>
    </w:pPr>
  </w:style>
  <w:style w:type="character" w:styleId="Style1Char" w:customStyle="1">
    <w:name w:val="Style1 Char"/>
    <w:basedOn w:val="DefaultParagraphFont"/>
    <w:link w:val="Style1"/>
    <w:rsid w:val="00AE752F"/>
    <w:rPr>
      <w:rFonts w:ascii="Times New Roman" w:hAnsi="Times New Roman" w:cs="Times New Roman"/>
      <w:sz w:val="28"/>
      <w:szCs w:val="28"/>
    </w:rPr>
  </w:style>
  <w:style w:type="character" w:styleId="Heading2Char" w:customStyle="1">
    <w:name w:val="Heading 2 Char"/>
    <w:basedOn w:val="DefaultParagraphFont"/>
    <w:link w:val="Heading2"/>
    <w:uiPriority w:val="9"/>
    <w:rsid w:val="003323CD"/>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3323CD"/>
    <w:pPr>
      <w:spacing w:after="100"/>
      <w:ind w:left="220"/>
    </w:pPr>
  </w:style>
  <w:style w:type="character" w:styleId="Heading3Char" w:customStyle="1">
    <w:name w:val="Heading 3 Char"/>
    <w:basedOn w:val="DefaultParagraphFont"/>
    <w:link w:val="Heading3"/>
    <w:uiPriority w:val="9"/>
    <w:rsid w:val="00744F5C"/>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744F5C"/>
    <w:pPr>
      <w:spacing w:after="100"/>
      <w:ind w:left="440"/>
    </w:pPr>
  </w:style>
  <w:style w:type="paragraph" w:styleId="paragraph" w:customStyle="1">
    <w:name w:val="paragraph"/>
    <w:basedOn w:val="Normal"/>
    <w:rsid w:val="008D7829"/>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8D7829"/>
  </w:style>
  <w:style w:type="character" w:styleId="eop" w:customStyle="1">
    <w:name w:val="eop"/>
    <w:basedOn w:val="DefaultParagraphFont"/>
    <w:rsid w:val="008D7829"/>
  </w:style>
  <w:style w:type="paragraph" w:styleId="Normal1" w:customStyle="1">
    <w:name w:val="Normal1"/>
    <w:rsid w:val="00106B18"/>
    <w:pPr>
      <w:spacing w:after="0" w:line="276" w:lineRule="auto"/>
      <w:contextualSpacing/>
    </w:pPr>
    <w:rPr>
      <w:rFonts w:ascii="Arial" w:hAnsi="Arial" w:eastAsia="Arial" w:cs="Arial"/>
    </w:rPr>
  </w:style>
  <w:style w:type="paragraph" w:styleId="ng-binding" w:customStyle="1">
    <w:name w:val="ng-binding"/>
    <w:basedOn w:val="Normal"/>
    <w:rsid w:val="00106B18"/>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3802">
      <w:bodyDiv w:val="1"/>
      <w:marLeft w:val="0"/>
      <w:marRight w:val="0"/>
      <w:marTop w:val="0"/>
      <w:marBottom w:val="0"/>
      <w:divBdr>
        <w:top w:val="none" w:sz="0" w:space="0" w:color="auto"/>
        <w:left w:val="none" w:sz="0" w:space="0" w:color="auto"/>
        <w:bottom w:val="none" w:sz="0" w:space="0" w:color="auto"/>
        <w:right w:val="none" w:sz="0" w:space="0" w:color="auto"/>
      </w:divBdr>
    </w:div>
    <w:div w:id="56829053">
      <w:bodyDiv w:val="1"/>
      <w:marLeft w:val="0"/>
      <w:marRight w:val="0"/>
      <w:marTop w:val="0"/>
      <w:marBottom w:val="0"/>
      <w:divBdr>
        <w:top w:val="none" w:sz="0" w:space="0" w:color="auto"/>
        <w:left w:val="none" w:sz="0" w:space="0" w:color="auto"/>
        <w:bottom w:val="none" w:sz="0" w:space="0" w:color="auto"/>
        <w:right w:val="none" w:sz="0" w:space="0" w:color="auto"/>
      </w:divBdr>
    </w:div>
    <w:div w:id="57628524">
      <w:bodyDiv w:val="1"/>
      <w:marLeft w:val="0"/>
      <w:marRight w:val="0"/>
      <w:marTop w:val="0"/>
      <w:marBottom w:val="0"/>
      <w:divBdr>
        <w:top w:val="none" w:sz="0" w:space="0" w:color="auto"/>
        <w:left w:val="none" w:sz="0" w:space="0" w:color="auto"/>
        <w:bottom w:val="none" w:sz="0" w:space="0" w:color="auto"/>
        <w:right w:val="none" w:sz="0" w:space="0" w:color="auto"/>
      </w:divBdr>
    </w:div>
    <w:div w:id="99186424">
      <w:bodyDiv w:val="1"/>
      <w:marLeft w:val="0"/>
      <w:marRight w:val="0"/>
      <w:marTop w:val="0"/>
      <w:marBottom w:val="0"/>
      <w:divBdr>
        <w:top w:val="none" w:sz="0" w:space="0" w:color="auto"/>
        <w:left w:val="none" w:sz="0" w:space="0" w:color="auto"/>
        <w:bottom w:val="none" w:sz="0" w:space="0" w:color="auto"/>
        <w:right w:val="none" w:sz="0" w:space="0" w:color="auto"/>
      </w:divBdr>
    </w:div>
    <w:div w:id="113183398">
      <w:bodyDiv w:val="1"/>
      <w:marLeft w:val="0"/>
      <w:marRight w:val="0"/>
      <w:marTop w:val="0"/>
      <w:marBottom w:val="0"/>
      <w:divBdr>
        <w:top w:val="none" w:sz="0" w:space="0" w:color="auto"/>
        <w:left w:val="none" w:sz="0" w:space="0" w:color="auto"/>
        <w:bottom w:val="none" w:sz="0" w:space="0" w:color="auto"/>
        <w:right w:val="none" w:sz="0" w:space="0" w:color="auto"/>
      </w:divBdr>
    </w:div>
    <w:div w:id="137651344">
      <w:bodyDiv w:val="1"/>
      <w:marLeft w:val="0"/>
      <w:marRight w:val="0"/>
      <w:marTop w:val="0"/>
      <w:marBottom w:val="0"/>
      <w:divBdr>
        <w:top w:val="none" w:sz="0" w:space="0" w:color="auto"/>
        <w:left w:val="none" w:sz="0" w:space="0" w:color="auto"/>
        <w:bottom w:val="none" w:sz="0" w:space="0" w:color="auto"/>
        <w:right w:val="none" w:sz="0" w:space="0" w:color="auto"/>
      </w:divBdr>
    </w:div>
    <w:div w:id="236323616">
      <w:bodyDiv w:val="1"/>
      <w:marLeft w:val="0"/>
      <w:marRight w:val="0"/>
      <w:marTop w:val="0"/>
      <w:marBottom w:val="0"/>
      <w:divBdr>
        <w:top w:val="none" w:sz="0" w:space="0" w:color="auto"/>
        <w:left w:val="none" w:sz="0" w:space="0" w:color="auto"/>
        <w:bottom w:val="none" w:sz="0" w:space="0" w:color="auto"/>
        <w:right w:val="none" w:sz="0" w:space="0" w:color="auto"/>
      </w:divBdr>
    </w:div>
    <w:div w:id="267157084">
      <w:bodyDiv w:val="1"/>
      <w:marLeft w:val="0"/>
      <w:marRight w:val="0"/>
      <w:marTop w:val="0"/>
      <w:marBottom w:val="0"/>
      <w:divBdr>
        <w:top w:val="none" w:sz="0" w:space="0" w:color="auto"/>
        <w:left w:val="none" w:sz="0" w:space="0" w:color="auto"/>
        <w:bottom w:val="none" w:sz="0" w:space="0" w:color="auto"/>
        <w:right w:val="none" w:sz="0" w:space="0" w:color="auto"/>
      </w:divBdr>
    </w:div>
    <w:div w:id="267735321">
      <w:bodyDiv w:val="1"/>
      <w:marLeft w:val="0"/>
      <w:marRight w:val="0"/>
      <w:marTop w:val="0"/>
      <w:marBottom w:val="0"/>
      <w:divBdr>
        <w:top w:val="none" w:sz="0" w:space="0" w:color="auto"/>
        <w:left w:val="none" w:sz="0" w:space="0" w:color="auto"/>
        <w:bottom w:val="none" w:sz="0" w:space="0" w:color="auto"/>
        <w:right w:val="none" w:sz="0" w:space="0" w:color="auto"/>
      </w:divBdr>
    </w:div>
    <w:div w:id="381684610">
      <w:bodyDiv w:val="1"/>
      <w:marLeft w:val="0"/>
      <w:marRight w:val="0"/>
      <w:marTop w:val="0"/>
      <w:marBottom w:val="0"/>
      <w:divBdr>
        <w:top w:val="none" w:sz="0" w:space="0" w:color="auto"/>
        <w:left w:val="none" w:sz="0" w:space="0" w:color="auto"/>
        <w:bottom w:val="none" w:sz="0" w:space="0" w:color="auto"/>
        <w:right w:val="none" w:sz="0" w:space="0" w:color="auto"/>
      </w:divBdr>
    </w:div>
    <w:div w:id="434718073">
      <w:bodyDiv w:val="1"/>
      <w:marLeft w:val="0"/>
      <w:marRight w:val="0"/>
      <w:marTop w:val="0"/>
      <w:marBottom w:val="0"/>
      <w:divBdr>
        <w:top w:val="none" w:sz="0" w:space="0" w:color="auto"/>
        <w:left w:val="none" w:sz="0" w:space="0" w:color="auto"/>
        <w:bottom w:val="none" w:sz="0" w:space="0" w:color="auto"/>
        <w:right w:val="none" w:sz="0" w:space="0" w:color="auto"/>
      </w:divBdr>
    </w:div>
    <w:div w:id="443185249">
      <w:bodyDiv w:val="1"/>
      <w:marLeft w:val="0"/>
      <w:marRight w:val="0"/>
      <w:marTop w:val="0"/>
      <w:marBottom w:val="0"/>
      <w:divBdr>
        <w:top w:val="none" w:sz="0" w:space="0" w:color="auto"/>
        <w:left w:val="none" w:sz="0" w:space="0" w:color="auto"/>
        <w:bottom w:val="none" w:sz="0" w:space="0" w:color="auto"/>
        <w:right w:val="none" w:sz="0" w:space="0" w:color="auto"/>
      </w:divBdr>
    </w:div>
    <w:div w:id="452870146">
      <w:bodyDiv w:val="1"/>
      <w:marLeft w:val="0"/>
      <w:marRight w:val="0"/>
      <w:marTop w:val="0"/>
      <w:marBottom w:val="0"/>
      <w:divBdr>
        <w:top w:val="none" w:sz="0" w:space="0" w:color="auto"/>
        <w:left w:val="none" w:sz="0" w:space="0" w:color="auto"/>
        <w:bottom w:val="none" w:sz="0" w:space="0" w:color="auto"/>
        <w:right w:val="none" w:sz="0" w:space="0" w:color="auto"/>
      </w:divBdr>
    </w:div>
    <w:div w:id="500001566">
      <w:bodyDiv w:val="1"/>
      <w:marLeft w:val="0"/>
      <w:marRight w:val="0"/>
      <w:marTop w:val="0"/>
      <w:marBottom w:val="0"/>
      <w:divBdr>
        <w:top w:val="none" w:sz="0" w:space="0" w:color="auto"/>
        <w:left w:val="none" w:sz="0" w:space="0" w:color="auto"/>
        <w:bottom w:val="none" w:sz="0" w:space="0" w:color="auto"/>
        <w:right w:val="none" w:sz="0" w:space="0" w:color="auto"/>
      </w:divBdr>
    </w:div>
    <w:div w:id="506940614">
      <w:bodyDiv w:val="1"/>
      <w:marLeft w:val="0"/>
      <w:marRight w:val="0"/>
      <w:marTop w:val="0"/>
      <w:marBottom w:val="0"/>
      <w:divBdr>
        <w:top w:val="none" w:sz="0" w:space="0" w:color="auto"/>
        <w:left w:val="none" w:sz="0" w:space="0" w:color="auto"/>
        <w:bottom w:val="none" w:sz="0" w:space="0" w:color="auto"/>
        <w:right w:val="none" w:sz="0" w:space="0" w:color="auto"/>
      </w:divBdr>
    </w:div>
    <w:div w:id="560674220">
      <w:bodyDiv w:val="1"/>
      <w:marLeft w:val="0"/>
      <w:marRight w:val="0"/>
      <w:marTop w:val="0"/>
      <w:marBottom w:val="0"/>
      <w:divBdr>
        <w:top w:val="none" w:sz="0" w:space="0" w:color="auto"/>
        <w:left w:val="none" w:sz="0" w:space="0" w:color="auto"/>
        <w:bottom w:val="none" w:sz="0" w:space="0" w:color="auto"/>
        <w:right w:val="none" w:sz="0" w:space="0" w:color="auto"/>
      </w:divBdr>
    </w:div>
    <w:div w:id="565531537">
      <w:bodyDiv w:val="1"/>
      <w:marLeft w:val="0"/>
      <w:marRight w:val="0"/>
      <w:marTop w:val="0"/>
      <w:marBottom w:val="0"/>
      <w:divBdr>
        <w:top w:val="none" w:sz="0" w:space="0" w:color="auto"/>
        <w:left w:val="none" w:sz="0" w:space="0" w:color="auto"/>
        <w:bottom w:val="none" w:sz="0" w:space="0" w:color="auto"/>
        <w:right w:val="none" w:sz="0" w:space="0" w:color="auto"/>
      </w:divBdr>
    </w:div>
    <w:div w:id="586116045">
      <w:bodyDiv w:val="1"/>
      <w:marLeft w:val="0"/>
      <w:marRight w:val="0"/>
      <w:marTop w:val="0"/>
      <w:marBottom w:val="0"/>
      <w:divBdr>
        <w:top w:val="none" w:sz="0" w:space="0" w:color="auto"/>
        <w:left w:val="none" w:sz="0" w:space="0" w:color="auto"/>
        <w:bottom w:val="none" w:sz="0" w:space="0" w:color="auto"/>
        <w:right w:val="none" w:sz="0" w:space="0" w:color="auto"/>
      </w:divBdr>
    </w:div>
    <w:div w:id="607851142">
      <w:bodyDiv w:val="1"/>
      <w:marLeft w:val="0"/>
      <w:marRight w:val="0"/>
      <w:marTop w:val="0"/>
      <w:marBottom w:val="0"/>
      <w:divBdr>
        <w:top w:val="none" w:sz="0" w:space="0" w:color="auto"/>
        <w:left w:val="none" w:sz="0" w:space="0" w:color="auto"/>
        <w:bottom w:val="none" w:sz="0" w:space="0" w:color="auto"/>
        <w:right w:val="none" w:sz="0" w:space="0" w:color="auto"/>
      </w:divBdr>
    </w:div>
    <w:div w:id="612636157">
      <w:bodyDiv w:val="1"/>
      <w:marLeft w:val="0"/>
      <w:marRight w:val="0"/>
      <w:marTop w:val="0"/>
      <w:marBottom w:val="0"/>
      <w:divBdr>
        <w:top w:val="none" w:sz="0" w:space="0" w:color="auto"/>
        <w:left w:val="none" w:sz="0" w:space="0" w:color="auto"/>
        <w:bottom w:val="none" w:sz="0" w:space="0" w:color="auto"/>
        <w:right w:val="none" w:sz="0" w:space="0" w:color="auto"/>
      </w:divBdr>
    </w:div>
    <w:div w:id="641737299">
      <w:bodyDiv w:val="1"/>
      <w:marLeft w:val="0"/>
      <w:marRight w:val="0"/>
      <w:marTop w:val="0"/>
      <w:marBottom w:val="0"/>
      <w:divBdr>
        <w:top w:val="none" w:sz="0" w:space="0" w:color="auto"/>
        <w:left w:val="none" w:sz="0" w:space="0" w:color="auto"/>
        <w:bottom w:val="none" w:sz="0" w:space="0" w:color="auto"/>
        <w:right w:val="none" w:sz="0" w:space="0" w:color="auto"/>
      </w:divBdr>
    </w:div>
    <w:div w:id="711341572">
      <w:bodyDiv w:val="1"/>
      <w:marLeft w:val="0"/>
      <w:marRight w:val="0"/>
      <w:marTop w:val="0"/>
      <w:marBottom w:val="0"/>
      <w:divBdr>
        <w:top w:val="none" w:sz="0" w:space="0" w:color="auto"/>
        <w:left w:val="none" w:sz="0" w:space="0" w:color="auto"/>
        <w:bottom w:val="none" w:sz="0" w:space="0" w:color="auto"/>
        <w:right w:val="none" w:sz="0" w:space="0" w:color="auto"/>
      </w:divBdr>
    </w:div>
    <w:div w:id="735250043">
      <w:bodyDiv w:val="1"/>
      <w:marLeft w:val="0"/>
      <w:marRight w:val="0"/>
      <w:marTop w:val="0"/>
      <w:marBottom w:val="0"/>
      <w:divBdr>
        <w:top w:val="none" w:sz="0" w:space="0" w:color="auto"/>
        <w:left w:val="none" w:sz="0" w:space="0" w:color="auto"/>
        <w:bottom w:val="none" w:sz="0" w:space="0" w:color="auto"/>
        <w:right w:val="none" w:sz="0" w:space="0" w:color="auto"/>
      </w:divBdr>
    </w:div>
    <w:div w:id="778842540">
      <w:bodyDiv w:val="1"/>
      <w:marLeft w:val="0"/>
      <w:marRight w:val="0"/>
      <w:marTop w:val="0"/>
      <w:marBottom w:val="0"/>
      <w:divBdr>
        <w:top w:val="none" w:sz="0" w:space="0" w:color="auto"/>
        <w:left w:val="none" w:sz="0" w:space="0" w:color="auto"/>
        <w:bottom w:val="none" w:sz="0" w:space="0" w:color="auto"/>
        <w:right w:val="none" w:sz="0" w:space="0" w:color="auto"/>
      </w:divBdr>
    </w:div>
    <w:div w:id="811555932">
      <w:bodyDiv w:val="1"/>
      <w:marLeft w:val="0"/>
      <w:marRight w:val="0"/>
      <w:marTop w:val="0"/>
      <w:marBottom w:val="0"/>
      <w:divBdr>
        <w:top w:val="none" w:sz="0" w:space="0" w:color="auto"/>
        <w:left w:val="none" w:sz="0" w:space="0" w:color="auto"/>
        <w:bottom w:val="none" w:sz="0" w:space="0" w:color="auto"/>
        <w:right w:val="none" w:sz="0" w:space="0" w:color="auto"/>
      </w:divBdr>
    </w:div>
    <w:div w:id="821892865">
      <w:bodyDiv w:val="1"/>
      <w:marLeft w:val="0"/>
      <w:marRight w:val="0"/>
      <w:marTop w:val="0"/>
      <w:marBottom w:val="0"/>
      <w:divBdr>
        <w:top w:val="none" w:sz="0" w:space="0" w:color="auto"/>
        <w:left w:val="none" w:sz="0" w:space="0" w:color="auto"/>
        <w:bottom w:val="none" w:sz="0" w:space="0" w:color="auto"/>
        <w:right w:val="none" w:sz="0" w:space="0" w:color="auto"/>
      </w:divBdr>
    </w:div>
    <w:div w:id="875510372">
      <w:bodyDiv w:val="1"/>
      <w:marLeft w:val="0"/>
      <w:marRight w:val="0"/>
      <w:marTop w:val="0"/>
      <w:marBottom w:val="0"/>
      <w:divBdr>
        <w:top w:val="none" w:sz="0" w:space="0" w:color="auto"/>
        <w:left w:val="none" w:sz="0" w:space="0" w:color="auto"/>
        <w:bottom w:val="none" w:sz="0" w:space="0" w:color="auto"/>
        <w:right w:val="none" w:sz="0" w:space="0" w:color="auto"/>
      </w:divBdr>
    </w:div>
    <w:div w:id="907150336">
      <w:bodyDiv w:val="1"/>
      <w:marLeft w:val="0"/>
      <w:marRight w:val="0"/>
      <w:marTop w:val="0"/>
      <w:marBottom w:val="0"/>
      <w:divBdr>
        <w:top w:val="none" w:sz="0" w:space="0" w:color="auto"/>
        <w:left w:val="none" w:sz="0" w:space="0" w:color="auto"/>
        <w:bottom w:val="none" w:sz="0" w:space="0" w:color="auto"/>
        <w:right w:val="none" w:sz="0" w:space="0" w:color="auto"/>
      </w:divBdr>
      <w:divsChild>
        <w:div w:id="684553436">
          <w:marLeft w:val="0"/>
          <w:marRight w:val="0"/>
          <w:marTop w:val="0"/>
          <w:marBottom w:val="0"/>
          <w:divBdr>
            <w:top w:val="none" w:sz="0" w:space="0" w:color="auto"/>
            <w:left w:val="none" w:sz="0" w:space="0" w:color="auto"/>
            <w:bottom w:val="none" w:sz="0" w:space="0" w:color="auto"/>
            <w:right w:val="none" w:sz="0" w:space="0" w:color="auto"/>
          </w:divBdr>
        </w:div>
        <w:div w:id="1057246962">
          <w:marLeft w:val="0"/>
          <w:marRight w:val="0"/>
          <w:marTop w:val="0"/>
          <w:marBottom w:val="0"/>
          <w:divBdr>
            <w:top w:val="none" w:sz="0" w:space="0" w:color="auto"/>
            <w:left w:val="none" w:sz="0" w:space="0" w:color="auto"/>
            <w:bottom w:val="none" w:sz="0" w:space="0" w:color="auto"/>
            <w:right w:val="none" w:sz="0" w:space="0" w:color="auto"/>
          </w:divBdr>
        </w:div>
        <w:div w:id="836924462">
          <w:marLeft w:val="0"/>
          <w:marRight w:val="0"/>
          <w:marTop w:val="0"/>
          <w:marBottom w:val="0"/>
          <w:divBdr>
            <w:top w:val="none" w:sz="0" w:space="0" w:color="auto"/>
            <w:left w:val="none" w:sz="0" w:space="0" w:color="auto"/>
            <w:bottom w:val="none" w:sz="0" w:space="0" w:color="auto"/>
            <w:right w:val="none" w:sz="0" w:space="0" w:color="auto"/>
          </w:divBdr>
        </w:div>
      </w:divsChild>
    </w:div>
    <w:div w:id="921722493">
      <w:bodyDiv w:val="1"/>
      <w:marLeft w:val="0"/>
      <w:marRight w:val="0"/>
      <w:marTop w:val="0"/>
      <w:marBottom w:val="0"/>
      <w:divBdr>
        <w:top w:val="none" w:sz="0" w:space="0" w:color="auto"/>
        <w:left w:val="none" w:sz="0" w:space="0" w:color="auto"/>
        <w:bottom w:val="none" w:sz="0" w:space="0" w:color="auto"/>
        <w:right w:val="none" w:sz="0" w:space="0" w:color="auto"/>
      </w:divBdr>
    </w:div>
    <w:div w:id="985620276">
      <w:bodyDiv w:val="1"/>
      <w:marLeft w:val="0"/>
      <w:marRight w:val="0"/>
      <w:marTop w:val="0"/>
      <w:marBottom w:val="0"/>
      <w:divBdr>
        <w:top w:val="none" w:sz="0" w:space="0" w:color="auto"/>
        <w:left w:val="none" w:sz="0" w:space="0" w:color="auto"/>
        <w:bottom w:val="none" w:sz="0" w:space="0" w:color="auto"/>
        <w:right w:val="none" w:sz="0" w:space="0" w:color="auto"/>
      </w:divBdr>
    </w:div>
    <w:div w:id="1063874357">
      <w:bodyDiv w:val="1"/>
      <w:marLeft w:val="0"/>
      <w:marRight w:val="0"/>
      <w:marTop w:val="0"/>
      <w:marBottom w:val="0"/>
      <w:divBdr>
        <w:top w:val="none" w:sz="0" w:space="0" w:color="auto"/>
        <w:left w:val="none" w:sz="0" w:space="0" w:color="auto"/>
        <w:bottom w:val="none" w:sz="0" w:space="0" w:color="auto"/>
        <w:right w:val="none" w:sz="0" w:space="0" w:color="auto"/>
      </w:divBdr>
      <w:divsChild>
        <w:div w:id="1852375722">
          <w:marLeft w:val="0"/>
          <w:marRight w:val="0"/>
          <w:marTop w:val="0"/>
          <w:marBottom w:val="0"/>
          <w:divBdr>
            <w:top w:val="none" w:sz="0" w:space="0" w:color="auto"/>
            <w:left w:val="none" w:sz="0" w:space="0" w:color="auto"/>
            <w:bottom w:val="none" w:sz="0" w:space="0" w:color="auto"/>
            <w:right w:val="none" w:sz="0" w:space="0" w:color="auto"/>
          </w:divBdr>
          <w:divsChild>
            <w:div w:id="246311886">
              <w:marLeft w:val="0"/>
              <w:marRight w:val="0"/>
              <w:marTop w:val="225"/>
              <w:marBottom w:val="0"/>
              <w:divBdr>
                <w:top w:val="none" w:sz="0" w:space="0" w:color="auto"/>
                <w:left w:val="none" w:sz="0" w:space="0" w:color="auto"/>
                <w:bottom w:val="none" w:sz="0" w:space="0" w:color="auto"/>
                <w:right w:val="none" w:sz="0" w:space="0" w:color="auto"/>
              </w:divBdr>
              <w:divsChild>
                <w:div w:id="6602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4556">
      <w:bodyDiv w:val="1"/>
      <w:marLeft w:val="0"/>
      <w:marRight w:val="0"/>
      <w:marTop w:val="0"/>
      <w:marBottom w:val="0"/>
      <w:divBdr>
        <w:top w:val="none" w:sz="0" w:space="0" w:color="auto"/>
        <w:left w:val="none" w:sz="0" w:space="0" w:color="auto"/>
        <w:bottom w:val="none" w:sz="0" w:space="0" w:color="auto"/>
        <w:right w:val="none" w:sz="0" w:space="0" w:color="auto"/>
      </w:divBdr>
    </w:div>
    <w:div w:id="1212228914">
      <w:bodyDiv w:val="1"/>
      <w:marLeft w:val="0"/>
      <w:marRight w:val="0"/>
      <w:marTop w:val="0"/>
      <w:marBottom w:val="0"/>
      <w:divBdr>
        <w:top w:val="none" w:sz="0" w:space="0" w:color="auto"/>
        <w:left w:val="none" w:sz="0" w:space="0" w:color="auto"/>
        <w:bottom w:val="none" w:sz="0" w:space="0" w:color="auto"/>
        <w:right w:val="none" w:sz="0" w:space="0" w:color="auto"/>
      </w:divBdr>
    </w:div>
    <w:div w:id="1224441230">
      <w:bodyDiv w:val="1"/>
      <w:marLeft w:val="0"/>
      <w:marRight w:val="0"/>
      <w:marTop w:val="0"/>
      <w:marBottom w:val="0"/>
      <w:divBdr>
        <w:top w:val="none" w:sz="0" w:space="0" w:color="auto"/>
        <w:left w:val="none" w:sz="0" w:space="0" w:color="auto"/>
        <w:bottom w:val="none" w:sz="0" w:space="0" w:color="auto"/>
        <w:right w:val="none" w:sz="0" w:space="0" w:color="auto"/>
      </w:divBdr>
      <w:divsChild>
        <w:div w:id="1922910431">
          <w:marLeft w:val="0"/>
          <w:marRight w:val="0"/>
          <w:marTop w:val="0"/>
          <w:marBottom w:val="0"/>
          <w:divBdr>
            <w:top w:val="none" w:sz="0" w:space="0" w:color="auto"/>
            <w:left w:val="none" w:sz="0" w:space="0" w:color="auto"/>
            <w:bottom w:val="none" w:sz="0" w:space="0" w:color="auto"/>
            <w:right w:val="none" w:sz="0" w:space="0" w:color="auto"/>
          </w:divBdr>
        </w:div>
        <w:div w:id="1030379968">
          <w:marLeft w:val="0"/>
          <w:marRight w:val="0"/>
          <w:marTop w:val="0"/>
          <w:marBottom w:val="0"/>
          <w:divBdr>
            <w:top w:val="none" w:sz="0" w:space="0" w:color="auto"/>
            <w:left w:val="none" w:sz="0" w:space="0" w:color="auto"/>
            <w:bottom w:val="none" w:sz="0" w:space="0" w:color="auto"/>
            <w:right w:val="none" w:sz="0" w:space="0" w:color="auto"/>
          </w:divBdr>
        </w:div>
        <w:div w:id="1319654845">
          <w:marLeft w:val="0"/>
          <w:marRight w:val="0"/>
          <w:marTop w:val="0"/>
          <w:marBottom w:val="0"/>
          <w:divBdr>
            <w:top w:val="none" w:sz="0" w:space="0" w:color="auto"/>
            <w:left w:val="none" w:sz="0" w:space="0" w:color="auto"/>
            <w:bottom w:val="none" w:sz="0" w:space="0" w:color="auto"/>
            <w:right w:val="none" w:sz="0" w:space="0" w:color="auto"/>
          </w:divBdr>
        </w:div>
      </w:divsChild>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56204245">
      <w:bodyDiv w:val="1"/>
      <w:marLeft w:val="0"/>
      <w:marRight w:val="0"/>
      <w:marTop w:val="0"/>
      <w:marBottom w:val="0"/>
      <w:divBdr>
        <w:top w:val="none" w:sz="0" w:space="0" w:color="auto"/>
        <w:left w:val="none" w:sz="0" w:space="0" w:color="auto"/>
        <w:bottom w:val="none" w:sz="0" w:space="0" w:color="auto"/>
        <w:right w:val="none" w:sz="0" w:space="0" w:color="auto"/>
      </w:divBdr>
    </w:div>
    <w:div w:id="1273325625">
      <w:bodyDiv w:val="1"/>
      <w:marLeft w:val="0"/>
      <w:marRight w:val="0"/>
      <w:marTop w:val="0"/>
      <w:marBottom w:val="0"/>
      <w:divBdr>
        <w:top w:val="none" w:sz="0" w:space="0" w:color="auto"/>
        <w:left w:val="none" w:sz="0" w:space="0" w:color="auto"/>
        <w:bottom w:val="none" w:sz="0" w:space="0" w:color="auto"/>
        <w:right w:val="none" w:sz="0" w:space="0" w:color="auto"/>
      </w:divBdr>
    </w:div>
    <w:div w:id="1361470233">
      <w:bodyDiv w:val="1"/>
      <w:marLeft w:val="0"/>
      <w:marRight w:val="0"/>
      <w:marTop w:val="0"/>
      <w:marBottom w:val="0"/>
      <w:divBdr>
        <w:top w:val="none" w:sz="0" w:space="0" w:color="auto"/>
        <w:left w:val="none" w:sz="0" w:space="0" w:color="auto"/>
        <w:bottom w:val="none" w:sz="0" w:space="0" w:color="auto"/>
        <w:right w:val="none" w:sz="0" w:space="0" w:color="auto"/>
      </w:divBdr>
    </w:div>
    <w:div w:id="1362394492">
      <w:bodyDiv w:val="1"/>
      <w:marLeft w:val="0"/>
      <w:marRight w:val="0"/>
      <w:marTop w:val="0"/>
      <w:marBottom w:val="0"/>
      <w:divBdr>
        <w:top w:val="none" w:sz="0" w:space="0" w:color="auto"/>
        <w:left w:val="none" w:sz="0" w:space="0" w:color="auto"/>
        <w:bottom w:val="none" w:sz="0" w:space="0" w:color="auto"/>
        <w:right w:val="none" w:sz="0" w:space="0" w:color="auto"/>
      </w:divBdr>
    </w:div>
    <w:div w:id="1475222941">
      <w:bodyDiv w:val="1"/>
      <w:marLeft w:val="0"/>
      <w:marRight w:val="0"/>
      <w:marTop w:val="0"/>
      <w:marBottom w:val="0"/>
      <w:divBdr>
        <w:top w:val="none" w:sz="0" w:space="0" w:color="auto"/>
        <w:left w:val="none" w:sz="0" w:space="0" w:color="auto"/>
        <w:bottom w:val="none" w:sz="0" w:space="0" w:color="auto"/>
        <w:right w:val="none" w:sz="0" w:space="0" w:color="auto"/>
      </w:divBdr>
    </w:div>
    <w:div w:id="1490294944">
      <w:bodyDiv w:val="1"/>
      <w:marLeft w:val="0"/>
      <w:marRight w:val="0"/>
      <w:marTop w:val="0"/>
      <w:marBottom w:val="0"/>
      <w:divBdr>
        <w:top w:val="none" w:sz="0" w:space="0" w:color="auto"/>
        <w:left w:val="none" w:sz="0" w:space="0" w:color="auto"/>
        <w:bottom w:val="none" w:sz="0" w:space="0" w:color="auto"/>
        <w:right w:val="none" w:sz="0" w:space="0" w:color="auto"/>
      </w:divBdr>
    </w:div>
    <w:div w:id="1535729118">
      <w:bodyDiv w:val="1"/>
      <w:marLeft w:val="0"/>
      <w:marRight w:val="0"/>
      <w:marTop w:val="0"/>
      <w:marBottom w:val="0"/>
      <w:divBdr>
        <w:top w:val="none" w:sz="0" w:space="0" w:color="auto"/>
        <w:left w:val="none" w:sz="0" w:space="0" w:color="auto"/>
        <w:bottom w:val="none" w:sz="0" w:space="0" w:color="auto"/>
        <w:right w:val="none" w:sz="0" w:space="0" w:color="auto"/>
      </w:divBdr>
    </w:div>
    <w:div w:id="1537501892">
      <w:bodyDiv w:val="1"/>
      <w:marLeft w:val="0"/>
      <w:marRight w:val="0"/>
      <w:marTop w:val="0"/>
      <w:marBottom w:val="0"/>
      <w:divBdr>
        <w:top w:val="none" w:sz="0" w:space="0" w:color="auto"/>
        <w:left w:val="none" w:sz="0" w:space="0" w:color="auto"/>
        <w:bottom w:val="none" w:sz="0" w:space="0" w:color="auto"/>
        <w:right w:val="none" w:sz="0" w:space="0" w:color="auto"/>
      </w:divBdr>
    </w:div>
    <w:div w:id="1539857092">
      <w:bodyDiv w:val="1"/>
      <w:marLeft w:val="0"/>
      <w:marRight w:val="0"/>
      <w:marTop w:val="0"/>
      <w:marBottom w:val="0"/>
      <w:divBdr>
        <w:top w:val="none" w:sz="0" w:space="0" w:color="auto"/>
        <w:left w:val="none" w:sz="0" w:space="0" w:color="auto"/>
        <w:bottom w:val="none" w:sz="0" w:space="0" w:color="auto"/>
        <w:right w:val="none" w:sz="0" w:space="0" w:color="auto"/>
      </w:divBdr>
    </w:div>
    <w:div w:id="1547714199">
      <w:bodyDiv w:val="1"/>
      <w:marLeft w:val="0"/>
      <w:marRight w:val="0"/>
      <w:marTop w:val="0"/>
      <w:marBottom w:val="0"/>
      <w:divBdr>
        <w:top w:val="none" w:sz="0" w:space="0" w:color="auto"/>
        <w:left w:val="none" w:sz="0" w:space="0" w:color="auto"/>
        <w:bottom w:val="none" w:sz="0" w:space="0" w:color="auto"/>
        <w:right w:val="none" w:sz="0" w:space="0" w:color="auto"/>
      </w:divBdr>
    </w:div>
    <w:div w:id="1568108400">
      <w:bodyDiv w:val="1"/>
      <w:marLeft w:val="0"/>
      <w:marRight w:val="0"/>
      <w:marTop w:val="0"/>
      <w:marBottom w:val="0"/>
      <w:divBdr>
        <w:top w:val="none" w:sz="0" w:space="0" w:color="auto"/>
        <w:left w:val="none" w:sz="0" w:space="0" w:color="auto"/>
        <w:bottom w:val="none" w:sz="0" w:space="0" w:color="auto"/>
        <w:right w:val="none" w:sz="0" w:space="0" w:color="auto"/>
      </w:divBdr>
    </w:div>
    <w:div w:id="1629312662">
      <w:bodyDiv w:val="1"/>
      <w:marLeft w:val="0"/>
      <w:marRight w:val="0"/>
      <w:marTop w:val="0"/>
      <w:marBottom w:val="0"/>
      <w:divBdr>
        <w:top w:val="none" w:sz="0" w:space="0" w:color="auto"/>
        <w:left w:val="none" w:sz="0" w:space="0" w:color="auto"/>
        <w:bottom w:val="none" w:sz="0" w:space="0" w:color="auto"/>
        <w:right w:val="none" w:sz="0" w:space="0" w:color="auto"/>
      </w:divBdr>
    </w:div>
    <w:div w:id="1630699191">
      <w:bodyDiv w:val="1"/>
      <w:marLeft w:val="0"/>
      <w:marRight w:val="0"/>
      <w:marTop w:val="0"/>
      <w:marBottom w:val="0"/>
      <w:divBdr>
        <w:top w:val="none" w:sz="0" w:space="0" w:color="auto"/>
        <w:left w:val="none" w:sz="0" w:space="0" w:color="auto"/>
        <w:bottom w:val="none" w:sz="0" w:space="0" w:color="auto"/>
        <w:right w:val="none" w:sz="0" w:space="0" w:color="auto"/>
      </w:divBdr>
    </w:div>
    <w:div w:id="1674717292">
      <w:bodyDiv w:val="1"/>
      <w:marLeft w:val="0"/>
      <w:marRight w:val="0"/>
      <w:marTop w:val="0"/>
      <w:marBottom w:val="0"/>
      <w:divBdr>
        <w:top w:val="none" w:sz="0" w:space="0" w:color="auto"/>
        <w:left w:val="none" w:sz="0" w:space="0" w:color="auto"/>
        <w:bottom w:val="none" w:sz="0" w:space="0" w:color="auto"/>
        <w:right w:val="none" w:sz="0" w:space="0" w:color="auto"/>
      </w:divBdr>
    </w:div>
    <w:div w:id="1688018368">
      <w:bodyDiv w:val="1"/>
      <w:marLeft w:val="0"/>
      <w:marRight w:val="0"/>
      <w:marTop w:val="0"/>
      <w:marBottom w:val="0"/>
      <w:divBdr>
        <w:top w:val="none" w:sz="0" w:space="0" w:color="auto"/>
        <w:left w:val="none" w:sz="0" w:space="0" w:color="auto"/>
        <w:bottom w:val="none" w:sz="0" w:space="0" w:color="auto"/>
        <w:right w:val="none" w:sz="0" w:space="0" w:color="auto"/>
      </w:divBdr>
    </w:div>
    <w:div w:id="1794401959">
      <w:bodyDiv w:val="1"/>
      <w:marLeft w:val="0"/>
      <w:marRight w:val="0"/>
      <w:marTop w:val="0"/>
      <w:marBottom w:val="0"/>
      <w:divBdr>
        <w:top w:val="none" w:sz="0" w:space="0" w:color="auto"/>
        <w:left w:val="none" w:sz="0" w:space="0" w:color="auto"/>
        <w:bottom w:val="none" w:sz="0" w:space="0" w:color="auto"/>
        <w:right w:val="none" w:sz="0" w:space="0" w:color="auto"/>
      </w:divBdr>
    </w:div>
    <w:div w:id="1820464519">
      <w:bodyDiv w:val="1"/>
      <w:marLeft w:val="0"/>
      <w:marRight w:val="0"/>
      <w:marTop w:val="0"/>
      <w:marBottom w:val="0"/>
      <w:divBdr>
        <w:top w:val="none" w:sz="0" w:space="0" w:color="auto"/>
        <w:left w:val="none" w:sz="0" w:space="0" w:color="auto"/>
        <w:bottom w:val="none" w:sz="0" w:space="0" w:color="auto"/>
        <w:right w:val="none" w:sz="0" w:space="0" w:color="auto"/>
      </w:divBdr>
    </w:div>
    <w:div w:id="1974209847">
      <w:bodyDiv w:val="1"/>
      <w:marLeft w:val="0"/>
      <w:marRight w:val="0"/>
      <w:marTop w:val="0"/>
      <w:marBottom w:val="0"/>
      <w:divBdr>
        <w:top w:val="none" w:sz="0" w:space="0" w:color="auto"/>
        <w:left w:val="none" w:sz="0" w:space="0" w:color="auto"/>
        <w:bottom w:val="none" w:sz="0" w:space="0" w:color="auto"/>
        <w:right w:val="none" w:sz="0" w:space="0" w:color="auto"/>
      </w:divBdr>
    </w:div>
    <w:div w:id="2057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hyperlink" Target="https://www.bls.gov/iag/tgs/iag484.htm" TargetMode="External" Id="rId18" /><Relationship Type="http://schemas.openxmlformats.org/officeDocument/2006/relationships/hyperlink" Target="https://ai.fmcsa.dot.gov/SMS/Carrier/121058/BASIC/UnsafeDriving.aspx" TargetMode="External" Id="rId26" /><Relationship Type="http://schemas.openxmlformats.org/officeDocument/2006/relationships/image" Target="media/image10.png"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hyperlink" Target="https://ai.fmcsa.dot.gov/SMS/Carrier/121058/BASIC/UnsafeDriving.aspx" TargetMode="External" Id="rId17" /><Relationship Type="http://schemas.openxmlformats.org/officeDocument/2006/relationships/hyperlink" Target="http://www.investors.ups.com/governance/board-of-directors" TargetMode="External"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9.png" Id="rId20" /><Relationship Type="http://schemas.openxmlformats.org/officeDocument/2006/relationships/hyperlink" Target="https://pressroom.ups.com/pressroom/ContentDetailsViewer.page?ConceptType=FactSheets&amp;id=1426321563187-193"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image" Target="media/image13.png" Id="rId24" /><Relationship Type="http://schemas.openxmlformats.org/officeDocument/2006/relationships/footer" Target="footer1.xml" Id="rId32" /><Relationship Type="http://schemas.openxmlformats.org/officeDocument/2006/relationships/customXml" Target="../customXml/item4.xml" Id="rId37"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12.png" Id="rId23" /><Relationship Type="http://schemas.openxmlformats.org/officeDocument/2006/relationships/hyperlink" Target="https://learning.oreilly.com/library/view/risk-assessment-theory/9780470637647/13_chapter04.html" TargetMode="External" Id="rId28" /><Relationship Type="http://schemas.openxmlformats.org/officeDocument/2006/relationships/customXml" Target="../customXml/item3.xml" Id="rId36" /><Relationship Type="http://schemas.openxmlformats.org/officeDocument/2006/relationships/image" Target="media/image2.png" Id="rId10" /><Relationship Type="http://schemas.openxmlformats.org/officeDocument/2006/relationships/hyperlink" Target="https://www.bls.gov/iif/oshwc/cfoi/truck-drivers-2018.htm#_edn5" TargetMode="External" Id="rId19" /><Relationship Type="http://schemas.openxmlformats.org/officeDocument/2006/relationships/hyperlink" Target="https://www.bls.gov/iif/oshwc/cfoi/truck-drivers-2018.htm#_edn5" TargetMode="External" Id="rId31" /><Relationship Type="http://schemas.openxmlformats.org/officeDocument/2006/relationships/settings" Target="settings.xml" Id="rId4" /><Relationship Type="http://schemas.openxmlformats.org/officeDocument/2006/relationships/hyperlink" Target="https://github.com/ncoombes95/SRA-311-Project" TargetMode="External" Id="rId9" /><Relationship Type="http://schemas.openxmlformats.org/officeDocument/2006/relationships/image" Target="media/image6.png" Id="rId14" /><Relationship Type="http://schemas.openxmlformats.org/officeDocument/2006/relationships/hyperlink" Target="https://nvlpubs.nist.gov/nistpubs/Legacy/SP/nistspecialpublication800-30r1.pdf" TargetMode="External" Id="rId27" /><Relationship Type="http://schemas.openxmlformats.org/officeDocument/2006/relationships/hyperlink" Target="https://www.bls.gov/iag/tgs/iag484.htm" TargetMode="External" Id="rId30" /><Relationship Type="http://schemas.openxmlformats.org/officeDocument/2006/relationships/customXml" Target="../customXml/item2.xml" Id="rId35" /><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image" Target="/media/imaged.png" Id="R4ac720cf7a9c4eb6" /><Relationship Type="http://schemas.openxmlformats.org/officeDocument/2006/relationships/glossaryDocument" Target="/word/glossary/document.xml" Id="R07e45b3d0b3849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4432ec-17c1-4e03-a84f-cfe80f24317b}"/>
      </w:docPartPr>
      <w:docPartBody>
        <w:p w14:paraId="73A4AE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E5369E1ECDF148B9F6C93D337C9E35" ma:contentTypeVersion="4" ma:contentTypeDescription="Create a new document." ma:contentTypeScope="" ma:versionID="36b9d2fdee9617fc50ae8ce3a9da3135">
  <xsd:schema xmlns:xsd="http://www.w3.org/2001/XMLSchema" xmlns:xs="http://www.w3.org/2001/XMLSchema" xmlns:p="http://schemas.microsoft.com/office/2006/metadata/properties" xmlns:ns2="2a389cb6-d84d-444e-95d6-34689d609018" targetNamespace="http://schemas.microsoft.com/office/2006/metadata/properties" ma:root="true" ma:fieldsID="93a642151b11275b9f37aa05f580fb65" ns2:_="">
    <xsd:import namespace="2a389cb6-d84d-444e-95d6-34689d6090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89cb6-d84d-444e-95d6-34689d609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64C8C6-5E25-41DD-B24D-9862033DD814}">
  <ds:schemaRefs>
    <ds:schemaRef ds:uri="http://schemas.openxmlformats.org/officeDocument/2006/bibliography"/>
  </ds:schemaRefs>
</ds:datastoreItem>
</file>

<file path=customXml/itemProps2.xml><?xml version="1.0" encoding="utf-8"?>
<ds:datastoreItem xmlns:ds="http://schemas.openxmlformats.org/officeDocument/2006/customXml" ds:itemID="{8B87815F-D0DC-46CA-9B0C-666CB597AF80}"/>
</file>

<file path=customXml/itemProps3.xml><?xml version="1.0" encoding="utf-8"?>
<ds:datastoreItem xmlns:ds="http://schemas.openxmlformats.org/officeDocument/2006/customXml" ds:itemID="{A376CB85-C695-45D7-8EF4-03BEAC576207}"/>
</file>

<file path=customXml/itemProps4.xml><?xml version="1.0" encoding="utf-8"?>
<ds:datastoreItem xmlns:ds="http://schemas.openxmlformats.org/officeDocument/2006/customXml" ds:itemID="{AC9063E8-39DA-4842-916D-59AF2FE1E5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Michele Calderon</dc:creator>
  <keywords/>
  <dc:description/>
  <lastModifiedBy>Calderon, Michele Elizabeth</lastModifiedBy>
  <revision>34</revision>
  <dcterms:created xsi:type="dcterms:W3CDTF">2020-12-02T12:38:00.0000000Z</dcterms:created>
  <dcterms:modified xsi:type="dcterms:W3CDTF">2020-12-10T21:11:42.6390886Z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0x01010052E5369E1ECDF148B9F6C93D337C9E35</vt:lpwstr>
  </property>
</Properties>
</file>