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98febca4fd584f0fbf18d7c51c98f964e89da46"/>
      <w:r>
        <w:rPr/>
        <w:t>Comparaison MuSICA v3.2.0 vs v3.2.3 (yoyo) — résumé</w:t>
      </w:r>
    </w:p>
    <w:p>
      <w:pPr>
        <w:pStyle w:val="Heading2"/>
        <w:rPr/>
      </w:pPr>
      <w:bookmarkStart w:id="1" w:name="méthode-lessentiel"/>
      <w:r>
        <w:rPr/>
        <w:t>Méthode — l’essentiel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2 binaires</w:t>
      </w:r>
      <w:r>
        <w:rPr/>
        <w:t xml:space="preserve"> : v3.2.0 ; v3.2.3 (yoyo iter).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400 plots</w:t>
      </w:r>
      <w:r>
        <w:rPr/>
        <w:t xml:space="preserve"> : LiDAR → profils LAD → </w:t>
      </w:r>
      <w:r>
        <w:rPr>
          <w:b/>
          <w:bCs/>
        </w:rPr>
        <w:t>FPCA</w:t>
      </w:r>
      <w:r>
        <w:rPr/>
        <w:t xml:space="preserve"> (FPC1-3, ~87 % forme) → </w:t>
      </w:r>
      <w:r>
        <w:rPr>
          <w:b/>
          <w:bCs/>
        </w:rPr>
        <w:t>K-means</w:t>
      </w:r>
      <w:r>
        <w:rPr/>
        <w:t xml:space="preserve"> (4 archétypes P1→P4) → </w:t>
      </w:r>
      <w:r>
        <w:rPr>
          <w:b/>
          <w:bCs/>
        </w:rPr>
        <w:t>cLHS</w:t>
      </w:r>
      <w:r>
        <w:rPr/>
        <w:t xml:space="preserve"> (100/archétype).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Sensibilité</w:t>
      </w:r>
      <w:r>
        <w:rPr/>
        <w:t xml:space="preserve"> : par unité, </w:t>
      </w:r>
      <w:r>
        <w:rPr>
          <w:b/>
          <w:bCs/>
        </w:rPr>
        <w:t>sur la variété des données</w:t>
      </w:r>
      <w:r>
        <w:rPr/>
        <w:t xml:space="preserve"> (pas de baseline globale) ; </w:t>
      </w:r>
      <w:r>
        <w:rPr>
          <w:b/>
          <w:bCs/>
        </w:rPr>
        <w:t>LAD = contraste réel-vs-uniforme</w:t>
      </w:r>
      <w:r>
        <w:rPr/>
        <w:t xml:space="preserve"> ; importance = |pente médiane/unité| × dispersion intra-cluster.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Métriques</w:t>
      </w:r>
      <w:r>
        <w:rPr/>
        <w:t xml:space="preserve"> (à 1 m) : </w:t>
      </w:r>
      <w:r>
        <w:rPr>
          <w:b/>
          <w:bCs/>
        </w:rPr>
        <w:t>ΔTmax</w:t>
      </w:r>
      <w:r>
        <w:rPr/>
        <w:t xml:space="preserve"> (−2 h), </w:t>
      </w:r>
      <w:r>
        <w:rPr>
          <w:b/>
          <w:bCs/>
        </w:rPr>
        <w:t>slope</w:t>
      </w:r>
      <w:r>
        <w:rPr/>
        <w:t xml:space="preserve"> micro/macro (sans décalage), </w:t>
      </w:r>
      <w:r>
        <w:rPr>
          <w:b/>
          <w:bCs/>
        </w:rPr>
        <w:t>ΔVPDmax</w:t>
      </w:r>
      <w:r>
        <w:rPr/>
        <w:t xml:space="preserve"> — × </w:t>
      </w:r>
      <w:r>
        <w:rPr>
          <w:b/>
          <w:bCs/>
        </w:rPr>
        <w:t>tous jours / 10 % chauds</w:t>
      </w:r>
      <w:r>
        <w:rPr/>
        <w:t xml:space="preserve">. </w:t>
      </w:r>
      <w:r>
        <w:rPr>
          <w:b/>
          <w:bCs/>
        </w:rPr>
        <w:t>Validation</w:t>
      </w:r>
      <w:r>
        <w:rPr/>
        <w:t xml:space="preserve"> sur 53 HOBO.</w:t>
      </w:r>
      <w:bookmarkEnd w:id="1"/>
    </w:p>
    <w:p>
      <w:pPr>
        <w:pStyle w:val="Heading2"/>
        <w:rPr/>
      </w:pPr>
      <w:bookmarkStart w:id="2" w:name="contexte-typologie-fig-14"/>
      <w:r>
        <w:rPr/>
        <w:t>Contexte — typologie (Fig 1–4)</w:t>
      </w:r>
    </w:p>
    <w:p>
      <w:pPr>
        <w:pStyle w:val="FirstParagraph"/>
        <w:rPr/>
      </w:pPr>
      <w:r>
        <w:rPr>
          <w:b/>
          <w:bCs/>
        </w:rPr>
        <w:t>Fig 1 — Archétypes LAD P1→P4</w:t>
      </w:r>
      <w:r>
        <w:rPr/>
        <w:t xml:space="preserve"> - Profil LAD moyen par cluster (homothétie au H_max moyen). - Gradient ouvert→dense : P1 (LAI 1,2 ; H_max 20,7 ± 10,7 m) → P4 (5,4 ; 33,7 m) ; </w:t>
      </w:r>
      <w:r>
        <w:rPr>
          <w:b/>
          <w:bCs/>
        </w:rPr>
        <w:t>H_max non monotone</w:t>
      </w:r>
      <w:r>
        <w:rPr/>
        <w:t xml:space="preserve"> (P2 le plus court).</w:t>
      </w:r>
    </w:p>
    <w:p>
      <w:pPr>
        <w:pStyle w:val="BodyText"/>
        <w:rPr/>
      </w:pPr>
      <w:r>
        <w:rPr/>
        <w:drawing>
          <wp:inline distT="0" distB="0" distL="0" distR="0">
            <wp:extent cx="5334000" cy="207454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2 — Modes fonctionnels (FPC)</w:t>
      </w:r>
      <w:r>
        <w:rPr/>
        <w:t xml:space="preserve"> - FPCA sur profils LAD double-normalisés → harmoniques FPC1-3. - 3 modes = </w:t>
      </w:r>
      <w:r>
        <w:rPr>
          <w:b/>
          <w:bCs/>
        </w:rPr>
        <w:t>~87 % de la variance de forme</w:t>
      </w:r>
      <w:r>
        <w:rPr/>
        <w:t xml:space="preserve">, </w:t>
      </w:r>
      <w:r>
        <w:rPr>
          <w:b/>
          <w:bCs/>
        </w:rPr>
        <w:t>orthogonaux</w:t>
      </w:r>
      <w:r>
        <w:rPr/>
        <w:t xml:space="preserve"> aux scalaires → entrées propres du clustering.</w:t>
      </w:r>
    </w:p>
    <w:p>
      <w:pPr>
        <w:pStyle w:val="BodyText"/>
        <w:rPr/>
      </w:pPr>
      <w:r>
        <w:rPr/>
        <w:drawing>
          <wp:inline distT="0" distB="0" distL="0" distR="0">
            <wp:extent cx="5334000" cy="26670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3 — ACP valide le clustering</w:t>
      </w:r>
      <w:r>
        <w:rPr/>
        <w:t xml:space="preserve"> - ACP sur {LAI, fCover, H_max, VCI}, coloriée par archétype. - Les </w:t>
      </w:r>
      <w:r>
        <w:rPr>
          <w:b/>
          <w:bCs/>
        </w:rPr>
        <w:t>4 clusters se séparent</w:t>
      </w:r>
      <w:r>
        <w:rPr/>
        <w:t xml:space="preserve"> (PC1 ≈ 75 % = densité ; PC2 = H_max) ; </w:t>
      </w:r>
      <w:r>
        <w:rPr>
          <w:b/>
          <w:bCs/>
        </w:rPr>
        <w:t>VCI colinéaire</w:t>
      </w:r>
      <w:r>
        <w:rPr/>
        <w:t xml:space="preserve"> à la densité, P3/P4 se chevauchent → un scalaire ne suffit pas, d’où le </w:t>
      </w:r>
      <w:r>
        <w:rPr>
          <w:b/>
          <w:bCs/>
        </w:rPr>
        <w:t>profil complet</w:t>
      </w:r>
      <w:r>
        <w:rPr/>
        <w:t>.</w:t>
      </w:r>
    </w:p>
    <w:p>
      <w:pPr>
        <w:pStyle w:val="BodyText"/>
        <w:rPr/>
      </w:pPr>
      <w:r>
        <w:rPr/>
        <w:drawing>
          <wp:inline distT="0" distB="0" distL="0" distR="0">
            <wp:extent cx="5334000" cy="27152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4 — VCI par cluster</w:t>
      </w:r>
      <w:r>
        <w:rPr/>
        <w:t xml:space="preserve"> - Boxplot du VCI par archétype. - </w:t>
      </w:r>
      <w:r>
        <w:rPr>
          <w:b/>
          <w:bCs/>
        </w:rPr>
        <w:t>Gradient monotone</w:t>
      </w:r>
      <w:r>
        <w:rPr/>
        <w:t xml:space="preserve"> médiane 0,33 (P1) → 0,60 (P4) ; dispersion qui se resserre → axe d’inhomogénéité verticale bien capté.</w:t>
      </w:r>
    </w:p>
    <w:p>
      <w:pPr>
        <w:pStyle w:val="BodyText"/>
        <w:rPr/>
      </w:pPr>
      <w:bookmarkStart w:id="3" w:name="contexte-typologie-fig-14"/>
      <w:r>
        <w:rPr/>
        <w:drawing>
          <wp:inline distT="0" distB="0" distL="0" distR="0">
            <wp:extent cx="5334000" cy="430149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>
      <w:pPr>
        <w:pStyle w:val="Heading2"/>
        <w:rPr/>
      </w:pPr>
      <w:bookmarkStart w:id="4" w:name="comparaison-fig-512"/>
      <w:r>
        <w:rPr/>
        <w:t>Comparaison (Fig 5–12)</w:t>
      </w:r>
    </w:p>
    <w:p>
      <w:pPr>
        <w:pStyle w:val="FirstParagraph"/>
        <w:rPr/>
      </w:pPr>
      <w:r>
        <w:rPr>
          <w:b/>
          <w:bCs/>
        </w:rPr>
        <w:t>Fig 5 — Validation HOBO (ΔTmax par plot)</w:t>
      </w:r>
      <w:r>
        <w:rPr/>
        <w:t xml:space="preserve"> - Sim (config réelle z05) vs obs, 53 loggers. - </w:t>
      </w:r>
      <w:r>
        <w:rPr>
          <w:b/>
          <w:bCs/>
        </w:rPr>
        <w:t>v3.2.0 : r 0,93</w:t>
      </w:r>
      <w:r>
        <w:rPr/>
        <w:t xml:space="preserve"> (biais +0,92 ; RMSE 1,47) — nuage serré au 1:1. </w:t>
      </w:r>
      <w:r>
        <w:rPr>
          <w:b/>
          <w:bCs/>
        </w:rPr>
        <w:t>v3.2.3 iter : r 0,63</w:t>
      </w:r>
      <w:r>
        <w:rPr/>
        <w:t xml:space="preserve"> (biais +0,61 ; RMSE 1,67) — quasi plat (sur-lissage).</w:t>
      </w:r>
    </w:p>
    <w:p>
      <w:pPr>
        <w:pStyle w:val="BodyText"/>
        <w:rPr/>
      </w:pPr>
      <w:r>
        <w:rPr/>
        <w:drawing>
          <wp:inline distT="0" distB="0" distL="0" distR="0">
            <wp:extent cx="5334000" cy="296291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6 — Importance des traits par archétype</w:t>
      </w:r>
      <w:r>
        <w:rPr/>
        <w:t xml:space="preserve"> - Importance per-unit × dispersion, par binaire. - </w:t>
      </w:r>
      <w:r>
        <w:rPr>
          <w:b/>
          <w:bCs/>
        </w:rPr>
        <w:t>v3.2.0</w:t>
      </w:r>
      <w:r>
        <w:rPr/>
        <w:t xml:space="preserve"> : LAI domine, s’érode P1→P4 (</w:t>
      </w:r>
      <w:r>
        <w:rPr>
          <w:b/>
          <w:bCs/>
        </w:rPr>
        <w:t>0,57 → 0,12</w:t>
      </w:r>
      <w:r>
        <w:rPr/>
        <w:t xml:space="preserve">) ; LAD monte (0,02 → 0,11), </w:t>
      </w:r>
      <w:r>
        <w:rPr>
          <w:b/>
          <w:bCs/>
        </w:rPr>
        <w:t>co-mène en P4</w:t>
      </w:r>
      <w:r>
        <w:rPr/>
        <w:t xml:space="preserve">. </w:t>
      </w:r>
      <w:r>
        <w:rPr>
          <w:b/>
          <w:bCs/>
        </w:rPr>
        <w:t>v3.2.3</w:t>
      </w:r>
      <w:r>
        <w:rPr/>
        <w:t xml:space="preserve"> : P1 s’effondre, </w:t>
      </w:r>
      <w:r>
        <w:rPr>
          <w:b/>
          <w:bCs/>
        </w:rPr>
        <w:t>LAD mène P3/P4</w:t>
      </w:r>
      <w:r>
        <w:rPr/>
        <w:t xml:space="preserve"> (P4 : LAD </w:t>
      </w:r>
      <w:r>
        <w:rPr>
          <w:b/>
          <w:bCs/>
        </w:rPr>
        <w:t>0,80</w:t>
      </w:r>
      <w:r>
        <w:rPr/>
        <w:t xml:space="preserve"> ≫ LAI 0,39).</w:t>
      </w:r>
    </w:p>
    <w:p>
      <w:pPr>
        <w:pStyle w:val="BodyText"/>
        <w:rPr/>
      </w:pPr>
      <w:r>
        <w:rPr/>
        <w:drawing>
          <wp:inline distT="0" distB="0" distL="0" distR="0">
            <wp:extent cx="5334000" cy="280733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7 — Trait dominant : 3 métriques × 2 périodes</w:t>
      </w:r>
      <w:r>
        <w:rPr/>
        <w:t xml:space="preserve"> - Heatmap (trait dominant + part LAD), par version. - </w:t>
      </w:r>
      <w:r>
        <w:rPr>
          <w:b/>
          <w:bCs/>
        </w:rPr>
        <w:t>v3.2.0</w:t>
      </w:r>
      <w:r>
        <w:rPr/>
        <w:t xml:space="preserve"> LAI dominant ~partout (LAD en tête qu’en P4 chaud) ; </w:t>
      </w:r>
      <w:r>
        <w:rPr>
          <w:b/>
          <w:bCs/>
        </w:rPr>
        <w:t>v3.2.3</w:t>
      </w:r>
      <w:r>
        <w:rPr/>
        <w:t xml:space="preserve"> LAD mène P3/P4 sur les 6 combos (42–66 %). → contraste </w:t>
      </w:r>
      <w:r>
        <w:rPr>
          <w:b/>
          <w:bCs/>
        </w:rPr>
        <w:t>robuste aux métriques</w:t>
      </w:r>
      <w:r>
        <w:rPr/>
        <w:t>, pas un artefact.</w:t>
      </w:r>
    </w:p>
    <w:p>
      <w:pPr>
        <w:pStyle w:val="BodyText"/>
        <w:rPr/>
      </w:pPr>
      <w:r>
        <w:rPr/>
        <w:drawing>
          <wp:inline distT="0" distB="0" distL="0" distR="0">
            <wp:extent cx="5334000" cy="32004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8 — Toutes les T horaires (1 m)</w:t>
      </w:r>
      <w:r>
        <w:rPr/>
        <w:t xml:space="preserve"> - 155 016 points (heures × loggers), sim vs obs. - </w:t>
      </w:r>
      <w:r>
        <w:rPr>
          <w:b/>
          <w:bCs/>
        </w:rPr>
        <w:t>R² ≈ 0,78 pour les DEUX</w:t>
      </w:r>
      <w:r>
        <w:rPr/>
        <w:t xml:space="preserve"> (RMSE ≈ 2,4 ; biais +1,1) → la </w:t>
      </w:r>
      <w:r>
        <w:rPr>
          <w:b/>
          <w:bCs/>
        </w:rPr>
        <w:t>T brute est équivalente</w:t>
      </w:r>
      <w:r>
        <w:rPr/>
        <w:t xml:space="preserve"> ; la différence n’est pas sur le suivi grossier mais sur la structure fine entre-plots.</w:t>
      </w:r>
    </w:p>
    <w:p>
      <w:pPr>
        <w:pStyle w:val="BodyText"/>
        <w:rPr/>
      </w:pPr>
      <w:r>
        <w:rPr/>
        <w:drawing>
          <wp:inline distT="0" distB="0" distL="0" distR="0">
            <wp:extent cx="5334000" cy="291973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9 — ΔTmax &amp; slope par plot (tous / 10 % chauds)</w:t>
      </w:r>
      <w:r>
        <w:rPr/>
        <w:t xml:space="preserve"> - Sim vs obs, panneaux carrés (1:1 vraie diagonale), R²/RMSE. - </w:t>
      </w:r>
      <w:r>
        <w:rPr>
          <w:b/>
          <w:bCs/>
        </w:rPr>
        <w:t>v3.2.0 meilleur sur les 4</w:t>
      </w:r>
      <w:r>
        <w:rPr/>
        <w:t xml:space="preserve"> : ΔTmax R² 0,87/0,75 vs 0,40/0,32 ; slope R² 0,92/0,87 vs 0,61/0,50.</w:t>
      </w:r>
    </w:p>
    <w:p>
      <w:pPr>
        <w:pStyle w:val="BodyText"/>
        <w:rPr/>
      </w:pPr>
      <w:r>
        <w:rPr/>
        <w:drawing>
          <wp:inline distT="0" distB="0" distL="0" distR="0">
            <wp:extent cx="5334000" cy="990600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10 — Sensibilité « P1-P4 only » (profils moyens)</w:t>
      </w:r>
      <w:r>
        <w:rPr/>
        <w:t xml:space="preserve"> - Effet par unité aux 4 profils moyens (= « 2/ moy » de la réunion). - v3.2.0 modéré </w:t>
      </w:r>
      <w:r>
        <w:rPr>
          <w:b/>
          <w:bCs/>
        </w:rPr>
        <w:t>sauf P1 LAD = 1,12 = artefact de Jensen</w:t>
      </w:r>
      <w:r>
        <w:rPr/>
        <w:t xml:space="preserve"> (profil moyen non représentatif ; par plot LAD P1 ≈ 0,02) → </w:t>
      </w:r>
      <w:r>
        <w:rPr>
          <w:b/>
          <w:bCs/>
        </w:rPr>
        <w:t>le readout cLHS (400 plots) reste le principal</w:t>
      </w:r>
      <w:r>
        <w:rPr/>
        <w:t>.</w:t>
      </w:r>
    </w:p>
    <w:p>
      <w:pPr>
        <w:pStyle w:val="BodyText"/>
        <w:rPr/>
      </w:pPr>
      <w:r>
        <w:rPr/>
        <w:drawing>
          <wp:inline distT="0" distB="0" distL="0" distR="0">
            <wp:extent cx="5334000" cy="280733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11 — Skill r ± IC bootstrap 95 %</w:t>
      </w:r>
      <w:r>
        <w:rPr/>
        <w:t xml:space="preserve"> - r entre-plots, IC bootstrap (3000 rééch., 53 plots). - </w:t>
      </w:r>
      <w:r>
        <w:rPr>
          <w:b/>
          <w:bCs/>
        </w:rPr>
        <w:t>IC disjoints sur les 4 métriques</w:t>
      </w:r>
      <w:r>
        <w:rPr/>
        <w:t xml:space="preserve"> → v3.2.0 significativement meilleur ; </w:t>
      </w:r>
      <w:r>
        <w:rPr>
          <w:b/>
          <w:bCs/>
        </w:rPr>
        <w:t>Δr = +0,18 à +0,30, p ≤ 0,005</w:t>
      </w:r>
      <w:r>
        <w:rPr/>
        <w:t>.</w:t>
      </w:r>
    </w:p>
    <w:p>
      <w:pPr>
        <w:pStyle w:val="BodyText"/>
        <w:rPr/>
      </w:pPr>
      <w:r>
        <w:rPr/>
        <w:drawing>
          <wp:inline distT="0" distB="0" distL="0" distR="0">
            <wp:extent cx="5334000" cy="282384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Fig 12 — Erreur absolue appariée (Wilcoxon)</w:t>
      </w:r>
      <w:r>
        <w:rPr/>
        <w:t xml:space="preserve"> - |sim − obs| par plot, test apparié v3.2.0 vs v3.2.3. - </w:t>
      </w:r>
      <w:r>
        <w:rPr>
          <w:b/>
          <w:bCs/>
        </w:rPr>
        <w:t>v3.2.3 a l’erreur la plus faible</w:t>
      </w:r>
      <w:r>
        <w:rPr/>
        <w:t xml:space="preserve"> (biais chaud moindre) : sig. pour slope (p≈0,003/0,004) &amp; ΔTmax-chauds (p=0,009). C’est le </w:t>
      </w:r>
      <w:r>
        <w:rPr>
          <w:b/>
          <w:bCs/>
        </w:rPr>
        <w:t>niveau</w:t>
      </w:r>
      <w:r>
        <w:rPr/>
        <w:t>, pas la structure.</w:t>
      </w:r>
    </w:p>
    <w:p>
      <w:pPr>
        <w:pStyle w:val="BodyText"/>
        <w:rPr/>
      </w:pPr>
      <w:bookmarkStart w:id="5" w:name="comparaison-fig-512"/>
      <w:r>
        <w:rPr/>
        <w:drawing>
          <wp:inline distT="0" distB="0" distL="0" distR="0">
            <wp:extent cx="5334000" cy="256032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>
      <w:pPr>
        <w:pStyle w:val="Heading2"/>
        <w:rPr/>
      </w:pPr>
      <w:bookmarkStart w:id="6" w:name="conclusion"/>
      <w:r>
        <w:rPr/>
        <w:t>Conclusion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Les binaires se départagent sur </w:t>
      </w:r>
      <w:r>
        <w:rPr>
          <w:b/>
          <w:bCs/>
        </w:rPr>
        <w:t>2 axes</w:t>
      </w:r>
      <w:r>
        <w:rPr/>
        <w:t xml:space="preserve"> : </w:t>
      </w:r>
      <w:r>
        <w:rPr>
          <w:b/>
          <w:bCs/>
        </w:rPr>
        <w:t>v3.2.0 = meilleure structure spatiale</w:t>
      </w:r>
      <w:r>
        <w:rPr/>
        <w:t xml:space="preserve"> (r, sig. sur les 4) ; </w:t>
      </w:r>
      <w:r>
        <w:rPr>
          <w:b/>
          <w:bCs/>
        </w:rPr>
        <w:t>v3.2.3 = meilleur niveau</w:t>
      </w:r>
      <w:r>
        <w:rPr/>
        <w:t xml:space="preserve"> (biais, dominé par le forçage). </w:t>
      </w:r>
      <w:r>
        <w:rPr>
          <w:b/>
          <w:bCs/>
        </w:rPr>
        <w:t>T horaire brute = égale</w:t>
      </w:r>
      <w:r>
        <w:rPr/>
        <w:t xml:space="preserve"> (p=0,61).</w:t>
      </w:r>
    </w:p>
    <w:p>
      <w:pPr>
        <w:pStyle w:val="Compact"/>
        <w:numPr>
          <w:ilvl w:val="0"/>
          <w:numId w:val="5"/>
        </w:numPr>
        <w:spacing w:before="36" w:after="36"/>
        <w:rPr/>
      </w:pPr>
      <w:r>
        <w:rPr/>
        <w:t>S</w:t>
      </w:r>
      <w:r>
        <w:rPr/>
        <w:t xml:space="preserve">ur le </w:t>
      </w:r>
      <w:r>
        <w:rPr>
          <w:b/>
          <w:bCs/>
        </w:rPr>
        <w:t>classement entre-plots</w:t>
      </w:r>
      <w:r>
        <w:rPr/>
        <w:t xml:space="preserve"> → </w:t>
      </w:r>
      <w:r>
        <w:rPr>
          <w:b/>
          <w:bCs/>
        </w:rPr>
        <w:t>v3.2.0</w:t>
      </w:r>
      <w:bookmarkEnd w:id="0"/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8</Pages>
  <Words>674</Words>
  <Characters>2963</Characters>
  <CharactersWithSpaces>3618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2026-06-22T16:50:55Z</dcterms:created>
  <dc:creator/>
  <dc:description/>
  <dc:language>en-US</dc:language>
  <cp:lastModifiedBy/>
  <dcterms:modified xsi:type="dcterms:W3CDTF">2026-06-22T18:53:45Z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