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66.png" ContentType="image/png"/>
  <Override PartName="/word/media/rId75.png" ContentType="image/png"/>
  <Override PartName="/word/media/rId78.png" ContentType="image/png"/>
  <Override PartName="/word/media/rId63.png" ContentType="image/png"/>
  <Override PartName="/word/media/rId72.png" ContentType="image/png"/>
  <Override PartName="/word/media/rId25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image6.png" ContentType="image/png"/>
  <Override PartName="/word/media/image10.png" ContentType="image/png"/>
  <Override PartName="/word/media/image11.png" ContentType="image/png"/>
  <Override PartName="/word/media/image9.png" ContentType="image/png"/>
  <Override PartName="/word/media/image12.png" ContentType="image/png"/>
  <Override PartName="/word/media/image8.png" ContentType="image/png"/>
  <Override PartName="/word/media/image7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Xf5739e8f9a31ce064884c02323f1f7ffbf080a0"/>
    <w:p>
      <w:pPr>
        <w:pStyle w:val="Heading1"/>
      </w:pPr>
      <w:r>
        <w:t xml:space="preserve">Comparaison des versions v3.2.0 et v3.2.3 du modèle MuSICA pour la cartographie du microclimat forestier</w:t>
      </w:r>
    </w:p>
    <w:p>
      <w:pPr>
        <w:pStyle w:val="FirstParagraph"/>
      </w:pPr>
      <w:r>
        <w:rPr>
          <w:i/>
          <w:iCs/>
        </w:rPr>
        <w:t xml:space="preserve">Document autosuffisant. Chaque analyse précise ce qui a été fait, dans quel but,</w:t>
      </w:r>
      <w:r>
        <w:rPr>
          <w:i/>
          <w:iCs/>
        </w:rPr>
        <w:t xml:space="preserve"> </w:t>
      </w:r>
      <w:r>
        <w:rPr>
          <w:i/>
          <w:iCs/>
        </w:rPr>
        <w:t xml:space="preserve">et ce qu’il convient d’en retenir ; le vocabulaire technique est défini au §2.</w:t>
      </w:r>
    </w:p>
    <w:bookmarkStart w:id="22" w:name="contexte-et-objectif"/>
    <w:p>
      <w:pPr>
        <w:pStyle w:val="Heading2"/>
      </w:pPr>
      <w:r>
        <w:t xml:space="preserve">1. Contexte et objectif</w:t>
      </w:r>
    </w:p>
    <w:p>
      <w:pPr>
        <w:pStyle w:val="FirstParagraph"/>
      </w:pPr>
      <w:r>
        <w:t xml:space="preserve">L’objectif général est de cartographier le microclimat de sous-bois, c’est-à-dire</w:t>
      </w:r>
      <w:r>
        <w:t xml:space="preserve"> </w:t>
      </w:r>
      <w:r>
        <w:t xml:space="preserve">la température réellement présente à environ un mètre du sol, à partir de la</w:t>
      </w:r>
      <w:r>
        <w:t xml:space="preserve"> </w:t>
      </w:r>
      <w:r>
        <w:t xml:space="preserve">structure tridimensionnelle de la canopée mesurée par LiDAR aéroporté. À cette</w:t>
      </w:r>
      <w:r>
        <w:t xml:space="preserve"> </w:t>
      </w:r>
      <w:r>
        <w:t xml:space="preserve">fin, le modèle physique de microclimat MuSICA est alimenté par la structure de</w:t>
      </w:r>
      <w:r>
        <w:t xml:space="preserve"> </w:t>
      </w:r>
      <w:r>
        <w:t xml:space="preserve">chaque placette, puis confronté à un réseau de 53 capteurs de température HOBO</w:t>
      </w:r>
      <w:r>
        <w:t xml:space="preserve"> </w:t>
      </w:r>
      <w:r>
        <w:t xml:space="preserve">installés dans une chênaie à Blois durant l’été 2021.</w:t>
      </w:r>
    </w:p>
    <w:p>
      <w:pPr>
        <w:pStyle w:val="BodyText"/>
      </w:pPr>
      <w:r>
        <w:t xml:space="preserve">Le modèle est disponible en deux versions, ou binaires, dont le choix conditionne</w:t>
      </w:r>
      <w:r>
        <w:t xml:space="preserve"> </w:t>
      </w:r>
      <w:r>
        <w:t xml:space="preserve">les résultats. La version v3.2.0, dite historique, a déjà été validée dans nos</w:t>
      </w:r>
      <w:r>
        <w:t xml:space="preserve"> </w:t>
      </w:r>
      <w:r>
        <w:t xml:space="preserve">travaux. La version v3.2.3 introduit un couplage à la couche limite atmosphérique</w:t>
      </w:r>
      <w:r>
        <w:t xml:space="preserve"> </w:t>
      </w:r>
      <w:r>
        <w:t xml:space="preserve">(option</w:t>
      </w:r>
      <w:r>
        <w:t xml:space="preserve"> </w:t>
      </w:r>
      <w:r>
        <w:rPr>
          <w:rStyle w:val="VerbatimChar"/>
        </w:rPr>
        <w:t xml:space="preserve">ABL_flag='iter'</w:t>
      </w:r>
      <w:r>
        <w:t xml:space="preserve">, dénommée « yoyo ») : le modèle ne subit plus seulement</w:t>
      </w:r>
      <w:r>
        <w:t xml:space="preserve"> </w:t>
      </w:r>
      <w:r>
        <w:t xml:space="preserve">le forçage météorologique imposé, mais simule également la rétroaction de la basse</w:t>
      </w:r>
      <w:r>
        <w:t xml:space="preserve"> </w:t>
      </w:r>
      <w:r>
        <w:t xml:space="preserve">atmosphère sur l’air de surface. Ce raffinement physique modifie les sorties.</w:t>
      </w:r>
    </w:p>
    <w:p>
      <w:pPr>
        <w:pStyle w:val="BodyText"/>
      </w:pPr>
      <w:r>
        <w:t xml:space="preserve">La question posée est de déterminer laquelle des deux versions reproduit le mieux</w:t>
      </w:r>
      <w:r>
        <w:t xml:space="preserve"> </w:t>
      </w:r>
      <w:r>
        <w:t xml:space="preserve">le microclimat observé, et selon quel critère. Un modèle peut en effet exceller de</w:t>
      </w:r>
      <w:r>
        <w:t xml:space="preserve"> </w:t>
      </w:r>
      <w:r>
        <w:t xml:space="preserve">deux manières distinctes : ordonner correctement les placettes les unes par</w:t>
      </w:r>
      <w:r>
        <w:t xml:space="preserve"> </w:t>
      </w:r>
      <w:r>
        <w:t xml:space="preserve">rapport aux autres (le classement), ou restituer la magnitude exacte des écarts</w:t>
      </w:r>
      <w:r>
        <w:t xml:space="preserve"> </w:t>
      </w:r>
      <w:r>
        <w:t xml:space="preserve">de température (l’amplitude). Ces deux qualités ne coïncident pas nécessairement.</w:t>
      </w:r>
      <w:r>
        <w:t xml:space="preserve"> </w:t>
      </w:r>
      <w:r>
        <w:t xml:space="preserve">Le présent document évalue les deux versions sous l’ensemble de ces facettes.</w:t>
      </w:r>
    </w:p>
    <w:p>
      <w:pPr>
        <w:pStyle w:val="BodyText"/>
      </w:pPr>
      <w:r>
        <w:t xml:space="preserve">Le résultat principal n’est pas qu’une version surpasse l’autre en bloc, mais</w:t>
      </w:r>
      <w:r>
        <w:t xml:space="preserve"> </w:t>
      </w:r>
      <w:r>
        <w:t xml:space="preserve">qu’il existe un arbitrage : la version v3.2.0 restitue mieux l’amplitude des</w:t>
      </w:r>
      <w:r>
        <w:t xml:space="preserve"> </w:t>
      </w:r>
      <w:r>
        <w:t xml:space="preserve">extrêmes chauds diurnes, tandis que la version v3.2.3 classe les placettes au</w:t>
      </w:r>
      <w:r>
        <w:t xml:space="preserve"> </w:t>
      </w:r>
      <w:r>
        <w:t xml:space="preserve">moins aussi bien, souvent mieux, et représente plus fidèlement le régime nocturne.</w:t>
      </w:r>
      <w:r>
        <w:t xml:space="preserve"> </w:t>
      </w:r>
      <w:r>
        <w:t xml:space="preserve">Le choix dépend donc de la question thermique mise en avant.</w:t>
      </w:r>
    </w:p>
    <w:bookmarkEnd w:id="22"/>
    <w:bookmarkStart w:id="23" w:name="définitions"/>
    <w:p>
      <w:pPr>
        <w:pStyle w:val="Heading2"/>
      </w:pPr>
      <w:r>
        <w:t xml:space="preserve">2. Définitions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Macroclimat</w:t>
      </w:r>
      <w:r>
        <w:t xml:space="preserve"> </w:t>
      </w:r>
      <w:r>
        <w:t xml:space="preserve">: température de l’air libre au-dessus de la canopée, soit la</w:t>
      </w:r>
      <w:r>
        <w:t xml:space="preserve"> </w:t>
      </w:r>
      <w:r>
        <w:t xml:space="preserve">météo régionale. Il constitue le forçage du modèle et la référence à laquelle</w:t>
      </w:r>
      <w:r>
        <w:t xml:space="preserve"> </w:t>
      </w:r>
      <w:r>
        <w:t xml:space="preserve">le sous-bois est comparé.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Microclimat</w:t>
      </w:r>
      <w:r>
        <w:t xml:space="preserve"> </w:t>
      </w:r>
      <w:r>
        <w:t xml:space="preserve">: température présente dans le sous-bois, à environ un mètre du</w:t>
      </w:r>
      <w:r>
        <w:t xml:space="preserve"> </w:t>
      </w:r>
      <w:r>
        <w:t xml:space="preserve">sol, mesurée par les capteurs HOBO.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Effet tampon</w:t>
      </w:r>
      <w:r>
        <w:t xml:space="preserve"> </w:t>
      </w:r>
      <w:r>
        <w:t xml:space="preserve">: amortissement, par la canopée, des variations du macroclimat.</w:t>
      </w:r>
      <w:r>
        <w:t xml:space="preserve"> </w:t>
      </w:r>
      <w:r>
        <w:t xml:space="preserve">Sous couvert, les maxima diurnes sont abaissés et les minima nocturnes relevés ;</w:t>
      </w:r>
      <w:r>
        <w:t xml:space="preserve"> </w:t>
      </w:r>
      <w:r>
        <w:t xml:space="preserve">l’amortissement croît avec la densité du peuplement.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ΔTmax</w:t>
      </w:r>
      <w:r>
        <w:t xml:space="preserve"> </w:t>
      </w:r>
      <w:r>
        <w:t xml:space="preserve">: écart entre le maximum journalier du sous-bois et celui du plein</w:t>
      </w:r>
      <w:r>
        <w:t xml:space="preserve"> </w:t>
      </w:r>
      <w:r>
        <w:t xml:space="preserve">champ. Une valeur négative traduit un sous-bois plus frais (effet tampon) ; une</w:t>
      </w:r>
      <w:r>
        <w:t xml:space="preserve"> </w:t>
      </w:r>
      <w:r>
        <w:t xml:space="preserve">valeur positive, une amplification, caractéristique des trouées ouvertes.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Pente micro/macro</w:t>
      </w:r>
      <w:r>
        <w:t xml:space="preserve"> </w:t>
      </w:r>
      <w:r>
        <w:t xml:space="preserve">(méthode de Gril et al.) : coefficient de la régression de</w:t>
      </w:r>
      <w:r>
        <w:t xml:space="preserve"> </w:t>
      </w:r>
      <w:r>
        <w:t xml:space="preserve">la température horaire du sous-bois sur celle du macroclimat. Une pente</w:t>
      </w:r>
      <w:r>
        <w:t xml:space="preserve"> </w:t>
      </w:r>
      <w:r>
        <w:t xml:space="preserve">inférieure à 1 indique un tampon (le sous-bois varie moins que le plein champ) ;</w:t>
      </w:r>
      <w:r>
        <w:t xml:space="preserve"> </w:t>
      </w:r>
      <w:r>
        <w:t xml:space="preserve">une pente supérieure à 1, une amplification.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Équilibre</w:t>
      </w:r>
      <w:r>
        <w:t xml:space="preserve"> </w:t>
      </w:r>
      <w:r>
        <w:t xml:space="preserve">(méthode de Gril et al.) : température à laquelle sous-bois et</w:t>
      </w:r>
      <w:r>
        <w:t xml:space="preserve"> </w:t>
      </w:r>
      <w:r>
        <w:t xml:space="preserve">plein champ s’égalent, soit le point d’intersection de la droite de régression</w:t>
      </w:r>
      <w:r>
        <w:t xml:space="preserve"> </w:t>
      </w:r>
      <w:r>
        <w:t xml:space="preserve">avec la diagonale. Cette quantité devient instable lorsque la pente avoisine 1,</w:t>
      </w:r>
      <w:r>
        <w:t xml:space="preserve"> </w:t>
      </w:r>
      <w:r>
        <w:t xml:space="preserve">ce qui sera signalé le cas échéant.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Archétypes P1 à P4</w:t>
      </w:r>
      <w:r>
        <w:t xml:space="preserve"> </w:t>
      </w:r>
      <w:r>
        <w:t xml:space="preserve">: quatre types de canopée définis à partir du LiDAR, du</w:t>
      </w:r>
      <w:r>
        <w:t xml:space="preserve"> </w:t>
      </w:r>
      <w:r>
        <w:t xml:space="preserve">plus ouvert (P1) au plus dense (P4). Ils servent de gradient de référence.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Classement et amplitude</w:t>
      </w:r>
      <w:r>
        <w:t xml:space="preserve"> </w:t>
      </w:r>
      <w:r>
        <w:t xml:space="preserve">: le classement désigne la capacité du modèle à</w:t>
      </w:r>
      <w:r>
        <w:t xml:space="preserve"> </w:t>
      </w:r>
      <w:r>
        <w:t xml:space="preserve">ordonner correctement les placettes selon leur degré de tampon ; l’amplitude,</w:t>
      </w:r>
      <w:r>
        <w:t xml:space="preserve"> </w:t>
      </w:r>
      <w:r>
        <w:t xml:space="preserve">sa capacité à en restituer la magnitude. Un modèle peut bien classer sans bien</w:t>
      </w:r>
      <w:r>
        <w:t xml:space="preserve"> </w:t>
      </w:r>
      <w:r>
        <w:t xml:space="preserve">amplifier, et réciproquement.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Corrélations de Pearson et de Spearman</w:t>
      </w:r>
      <w:r>
        <w:t xml:space="preserve"> </w:t>
      </w:r>
      <w:r>
        <w:t xml:space="preserve">: le coefficient de Pearson mesure</w:t>
      </w:r>
      <w:r>
        <w:t xml:space="preserve"> </w:t>
      </w:r>
      <w:r>
        <w:t xml:space="preserve">l’accord linéaire entre simulation et observation, sensible à l’amplitude comme</w:t>
      </w:r>
      <w:r>
        <w:t xml:space="preserve"> </w:t>
      </w:r>
      <w:r>
        <w:t xml:space="preserve">aux points extrêmes ; le coefficient de Spearman ne mesure que l’accord de rang,</w:t>
      </w:r>
      <w:r>
        <w:t xml:space="preserve"> </w:t>
      </w:r>
      <w:r>
        <w:t xml:space="preserve">insensible aux valeurs extrêmes. Un écart entre les deux est informatif.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de Williams</w:t>
      </w:r>
      <w:r>
        <w:t xml:space="preserve"> </w:t>
      </w:r>
      <w:r>
        <w:t xml:space="preserve">: test de comparaison de deux corrélations dépendantes,</w:t>
      </w:r>
      <w:r>
        <w:t xml:space="preserve"> </w:t>
      </w:r>
      <w:r>
        <w:t xml:space="preserve">établissant si l’accord d’un modèle avec l’observation est significativement</w:t>
      </w:r>
      <w:r>
        <w:t xml:space="preserve"> </w:t>
      </w:r>
      <w:r>
        <w:t xml:space="preserve">supérieur à celui d’un autre modèle.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 croisée par omission (LOO)</w:t>
      </w:r>
      <w:r>
        <w:t xml:space="preserve"> </w:t>
      </w:r>
      <w:r>
        <w:t xml:space="preserve">: procédure dans laquelle un modèle</w:t>
      </w:r>
      <w:r>
        <w:t xml:space="preserve"> </w:t>
      </w:r>
      <w:r>
        <w:t xml:space="preserve">statistique est entraîné sur 52 placettes et évalué sur la 53ᵉ, à tour de rôle ;</w:t>
      </w:r>
      <w:r>
        <w:t xml:space="preserve"> </w:t>
      </w:r>
      <w:r>
        <w:t xml:space="preserve">elle fournit une estimation non biaisée puisque le modèle ne voit jamais la</w:t>
      </w:r>
      <w:r>
        <w:t xml:space="preserve"> </w:t>
      </w:r>
      <w:r>
        <w:t xml:space="preserve">placette qu’il prédit.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Périodes JJAS et « 10 % chauds »</w:t>
      </w:r>
      <w:r>
        <w:t xml:space="preserve"> </w:t>
      </w:r>
      <w:r>
        <w:t xml:space="preserve">: JJAS désigne l’été complet (juin à</w:t>
      </w:r>
      <w:r>
        <w:t xml:space="preserve"> </w:t>
      </w:r>
      <w:r>
        <w:t xml:space="preserve">septembre) ; les « 10 % chauds » correspondent aux treize journées les plus</w:t>
      </w:r>
      <w:r>
        <w:t xml:space="preserve"> </w:t>
      </w:r>
      <w:r>
        <w:t xml:space="preserve">chaudes, durant lesquelles la fonction de refuge du sous-bois est la plus</w:t>
      </w:r>
      <w:r>
        <w:t xml:space="preserve"> </w:t>
      </w:r>
      <w:r>
        <w:t xml:space="preserve">sollicitée.</w:t>
      </w:r>
    </w:p>
    <w:bookmarkEnd w:id="23"/>
    <w:bookmarkStart w:id="24" w:name="données-et-méthode"/>
    <w:p>
      <w:pPr>
        <w:pStyle w:val="Heading2"/>
      </w:pPr>
      <w:r>
        <w:t xml:space="preserve">3. Données et méthode</w:t>
      </w:r>
    </w:p>
    <w:p>
      <w:pPr>
        <w:pStyle w:val="FirstParagraph"/>
      </w:pPr>
      <w:r>
        <w:t xml:space="preserve">Une simulation MuSICA est conduite pour chacune des 53 placettes équipées de</w:t>
      </w:r>
      <w:r>
        <w:t xml:space="preserve"> </w:t>
      </w:r>
      <w:r>
        <w:t xml:space="preserve">capteurs HOBO, alimentée par le profil de feuillage réel mesuré au LiDAR</w:t>
      </w:r>
      <w:r>
        <w:t xml:space="preserve"> </w:t>
      </w:r>
      <w:r>
        <w:t xml:space="preserve">(configuration STATIC_ALS). Les deux binaires sont exécutés sur les mêmes</w:t>
      </w:r>
      <w:r>
        <w:t xml:space="preserve"> </w:t>
      </w:r>
      <w:r>
        <w:t xml:space="preserve">placettes et le même forçage météorologique pour l’été 2021, puis chaque</w:t>
      </w:r>
      <w:r>
        <w:t xml:space="preserve"> </w:t>
      </w:r>
      <w:r>
        <w:t xml:space="preserve">simulation est confrontée aux mesures de terrain.</w:t>
      </w:r>
    </w:p>
    <w:p>
      <w:pPr>
        <w:pStyle w:val="BodyText"/>
      </w:pPr>
      <w:r>
        <w:t xml:space="preserve">Plusieurs métriques d’effet tampon sont employées, toutes à un mètre de hauteur,</w:t>
      </w:r>
      <w:r>
        <w:t xml:space="preserve"> </w:t>
      </w:r>
      <w:r>
        <w:t xml:space="preserve">chacune répondant à un objectif distinct. Le ΔTmax constitue l’indicateur le plus</w:t>
      </w:r>
      <w:r>
        <w:t xml:space="preserve"> </w:t>
      </w:r>
      <w:r>
        <w:t xml:space="preserve">parlant pour évaluer un refuge en période de canicule. La pente micro/macro,</w:t>
      </w:r>
      <w:r>
        <w:t xml:space="preserve"> </w:t>
      </w:r>
      <w:r>
        <w:t xml:space="preserve">standard de la littérature microclimatique, résume le tampon sur l’ensemble des</w:t>
      </w:r>
      <w:r>
        <w:t xml:space="preserve"> </w:t>
      </w:r>
      <w:r>
        <w:t xml:space="preserve">heures et non au seul pic de chaleur. L’équilibre, le ΔTmin (minima nocturnes) et</w:t>
      </w:r>
      <w:r>
        <w:t xml:space="preserve"> </w:t>
      </w:r>
      <w:r>
        <w:t xml:space="preserve">l’amplitude thermique quotidienne (DTR) complètent l’analyse en couvrant le</w:t>
      </w:r>
      <w:r>
        <w:t xml:space="preserve"> </w:t>
      </w:r>
      <w:r>
        <w:t xml:space="preserve">régime nocturne et l’écart jour-nuit.</w:t>
      </w:r>
    </w:p>
    <w:p>
      <w:pPr>
        <w:pStyle w:val="BodyText"/>
      </w:pPr>
      <w:r>
        <w:t xml:space="preserve">Pour chaque métrique, le classement (corrélations de Pearson et de Spearman,</w:t>
      </w:r>
      <w:r>
        <w:t xml:space="preserve"> </w:t>
      </w:r>
      <w:r>
        <w:t xml:space="preserve">intervalles de confiance par rééchantillonnage bootstrap, test de Williams) et</w:t>
      </w:r>
      <w:r>
        <w:t xml:space="preserve"> </w:t>
      </w:r>
      <w:r>
        <w:t xml:space="preserve">l’amplitude (rapport des dispersions simulée et observée) sont évalués séparément,</w:t>
      </w:r>
      <w:r>
        <w:t xml:space="preserve"> </w:t>
      </w:r>
      <w:r>
        <w:t xml:space="preserve">de même que le biais et l’erreur. L’analyse est enfin déclinée par moment de la</w:t>
      </w:r>
      <w:r>
        <w:t xml:space="preserve"> </w:t>
      </w:r>
      <w:r>
        <w:t xml:space="preserve">journée (jour, nuit, ensemble des heures) et par période (été complet, 10 %</w:t>
      </w:r>
      <w:r>
        <w:t xml:space="preserve"> </w:t>
      </w:r>
      <w:r>
        <w:t xml:space="preserve">chauds), la canopée agissant différemment de jour, par convection, et de nuit, par</w:t>
      </w:r>
      <w:r>
        <w:t xml:space="preserve"> </w:t>
      </w:r>
      <w:r>
        <w:t xml:space="preserve">inversion thermique.</w:t>
      </w:r>
    </w:p>
    <w:bookmarkEnd w:id="24"/>
    <w:bookmarkStart w:id="37" w:name="typologie-des-canopées-fig-1-à-4"/>
    <w:p>
      <w:pPr>
        <w:pStyle w:val="Heading2"/>
      </w:pPr>
      <w:r>
        <w:t xml:space="preserve">4. Typologie des canopées (Fig 1 à 4)</w:t>
      </w:r>
    </w:p>
    <w:p>
      <w:pPr>
        <w:pStyle w:val="FirstParagraph"/>
      </w:pPr>
      <w:r>
        <w:t xml:space="preserve">Préalablement à la comparaison des versions, on rappelle la classification des</w:t>
      </w:r>
      <w:r>
        <w:t xml:space="preserve"> </w:t>
      </w:r>
      <w:r>
        <w:t xml:space="preserve">placettes en quatre types de structure, établie en amont.</w:t>
      </w:r>
    </w:p>
    <w:p>
      <w:pPr>
        <w:pStyle w:val="BodyText"/>
      </w:pPr>
      <w:r>
        <w:rPr>
          <w:b/>
          <w:bCs/>
        </w:rPr>
        <w:t xml:space="preserve">Fig 1 — Profils de feuillage des quatre archétypes.</w:t>
      </w:r>
      <w:r>
        <w:t xml:space="preserve"> </w:t>
      </w:r>
      <w:r>
        <w:t xml:space="preserve">À partir du LiDAR de 400</w:t>
      </w:r>
      <w:r>
        <w:t xml:space="preserve"> </w:t>
      </w:r>
      <w:r>
        <w:t xml:space="preserve">placettes, le profil vertical de densité foliaire est calculé puis regroupé en</w:t>
      </w:r>
      <w:r>
        <w:t xml:space="preserve"> </w:t>
      </w:r>
      <w:r>
        <w:t xml:space="preserve">quatre types, afin de disposer d’un gradient lisible de l’ouvert vers le dense.</w:t>
      </w:r>
      <w:r>
        <w:t xml:space="preserve"> </w:t>
      </w:r>
      <w:r>
        <w:t xml:space="preserve">Le gradient s’étend de P1 (ouvert : LAI de 1,2 ; hauteur de 20,7 m) à P4 (dense :</w:t>
      </w:r>
      <w:r>
        <w:t xml:space="preserve"> </w:t>
      </w:r>
      <w:r>
        <w:t xml:space="preserve">LAI de 5,4 ; hauteur de 33,7 m), la hauteur n’évoluant pas de façon monotone, P2</w:t>
      </w:r>
      <w:r>
        <w:t xml:space="preserve"> </w:t>
      </w:r>
      <w:r>
        <w:t xml:space="preserve">étant le plus court. Le gradient P1–P4 traduit ainsi une quantité de feuillage</w:t>
      </w:r>
      <w:r>
        <w:t xml:space="preserve"> </w:t>
      </w:r>
      <w:r>
        <w:t xml:space="preserve">croissante plutôt qu’une hauteur croissante.</w:t>
      </w:r>
    </w:p>
    <w:p>
      <w:pPr>
        <w:pStyle w:val="BodyText"/>
      </w:pPr>
      <w:r>
        <w:drawing>
          <wp:inline>
            <wp:extent cx="5303520" cy="206247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ures/doc_media/image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062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2 — Modes fonctionnels du profil (analyse en composantes principales</w:t>
      </w:r>
      <w:r>
        <w:rPr>
          <w:b/>
          <w:bCs/>
        </w:rPr>
        <w:t xml:space="preserve"> </w:t>
      </w:r>
      <w:r>
        <w:rPr>
          <w:b/>
          <w:bCs/>
        </w:rPr>
        <w:t xml:space="preserve">fonctionnelle).</w:t>
      </w:r>
      <w:r>
        <w:t xml:space="preserve"> </w:t>
      </w:r>
      <w:r>
        <w:t xml:space="preserve">Une analyse en composantes principales fonctionnelle des profils</w:t>
      </w:r>
      <w:r>
        <w:t xml:space="preserve"> </w:t>
      </w:r>
      <w:r>
        <w:t xml:space="preserve">résume leur forme verticale en trois modes, qui captent environ 87 % de la</w:t>
      </w:r>
      <w:r>
        <w:t xml:space="preserve"> </w:t>
      </w:r>
      <w:r>
        <w:t xml:space="preserve">variance de forme. La forme verticale du feuillage se laisse donc décrire par un</w:t>
      </w:r>
      <w:r>
        <w:t xml:space="preserve"> </w:t>
      </w:r>
      <w:r>
        <w:t xml:space="preserve">petit nombre de descripteurs, indépendants des variables scalaires.</w:t>
      </w:r>
    </w:p>
    <w:p>
      <w:pPr>
        <w:pStyle w:val="BodyText"/>
      </w:pPr>
      <w:r>
        <w:drawing>
          <wp:inline>
            <wp:extent cx="5303520" cy="265176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doc_media/image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3 — Validation du regroupement par analyse en composantes principales.</w:t>
      </w:r>
      <w:r>
        <w:t xml:space="preserve"> </w:t>
      </w:r>
      <w:r>
        <w:t xml:space="preserve">Une</w:t>
      </w:r>
      <w:r>
        <w:t xml:space="preserve"> </w:t>
      </w:r>
      <w:r>
        <w:t xml:space="preserve">analyse en composantes principales sur les variables {LAI, fCover, hauteur, VCI}</w:t>
      </w:r>
      <w:r>
        <w:t xml:space="preserve"> </w:t>
      </w:r>
      <w:r>
        <w:t xml:space="preserve">sépare nettement les quatre clusters, le premier axe (environ 75 % de la variance)</w:t>
      </w:r>
      <w:r>
        <w:t xml:space="preserve"> </w:t>
      </w:r>
      <w:r>
        <w:t xml:space="preserve">correspondant à la densité. Le chevauchement partiel de P3 et P4 montre qu’un seul</w:t>
      </w:r>
      <w:r>
        <w:t xml:space="preserve"> </w:t>
      </w:r>
      <w:r>
        <w:t xml:space="preserve">scalaire ne suffit pas à les distinguer, ce qui justifie le recours au profil</w:t>
      </w:r>
      <w:r>
        <w:t xml:space="preserve"> </w:t>
      </w:r>
      <w:r>
        <w:t xml:space="preserve">complet.</w:t>
      </w:r>
    </w:p>
    <w:p>
      <w:pPr>
        <w:pStyle w:val="BodyText"/>
      </w:pPr>
      <w:r>
        <w:drawing>
          <wp:inline>
            <wp:extent cx="5303520" cy="269997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ures/doc_media/image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69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4 — Inhomogénéité verticale (VCI) par type.</w:t>
      </w:r>
      <w:r>
        <w:t xml:space="preserve"> </w:t>
      </w:r>
      <w:r>
        <w:t xml:space="preserve">L’indice VCI, qui mesure</w:t>
      </w:r>
      <w:r>
        <w:t xml:space="preserve"> </w:t>
      </w:r>
      <w:r>
        <w:t xml:space="preserve">l’uniformité verticale du feuillage, croît de façon monotone, sa médiane passant</w:t>
      </w:r>
      <w:r>
        <w:t xml:space="preserve"> </w:t>
      </w:r>
      <w:r>
        <w:t xml:space="preserve">de 0,33 (P1) à 0,60 (P4). L’axe d’inhomogénéité verticale est donc bien capturé</w:t>
      </w:r>
      <w:r>
        <w:t xml:space="preserve"> </w:t>
      </w:r>
      <w:r>
        <w:t xml:space="preserve">et augmente avec la densité.</w:t>
      </w:r>
    </w:p>
    <w:p>
      <w:pPr>
        <w:pStyle w:val="BodyText"/>
      </w:pPr>
      <w:r>
        <w:drawing>
          <wp:inline>
            <wp:extent cx="5303520" cy="427703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ures/doc_media/image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277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62" w:name="comparaison-des-deux-versions-fig-5-à-12"/>
    <w:p>
      <w:pPr>
        <w:pStyle w:val="Heading2"/>
      </w:pPr>
      <w:r>
        <w:t xml:space="preserve">5. Comparaison des deux versions (Fig 5 à 12)</w:t>
      </w:r>
    </w:p>
    <w:p>
      <w:pPr>
        <w:pStyle w:val="FirstParagraph"/>
      </w:pPr>
      <w:r>
        <w:rPr>
          <w:b/>
          <w:bCs/>
        </w:rPr>
        <w:t xml:space="preserve">Fig 5 — Validation de terrain du ΔTmax par placette.</w:t>
      </w:r>
      <w:r>
        <w:t xml:space="preserve"> </w:t>
      </w:r>
      <w:r>
        <w:t xml:space="preserve">Le ΔTmax simulé par</w:t>
      </w:r>
      <w:r>
        <w:t xml:space="preserve"> </w:t>
      </w:r>
      <w:r>
        <w:t xml:space="preserve">chaque binaire est confronté aux 53 capteurs, ce qui constitue le test de réalité</w:t>
      </w:r>
      <w:r>
        <w:t xml:space="preserve"> </w:t>
      </w:r>
      <w:r>
        <w:t xml:space="preserve">direct. La version v3.2.0 atteint une corrélation de 0,93, avec un nuage resserré</w:t>
      </w:r>
      <w:r>
        <w:t xml:space="preserve"> </w:t>
      </w:r>
      <w:r>
        <w:t xml:space="preserve">autour de la diagonale, tandis que la version v3.2.3 ne dépasse pas 0,63, son</w:t>
      </w:r>
      <w:r>
        <w:t xml:space="preserve"> </w:t>
      </w:r>
      <w:r>
        <w:t xml:space="preserve">nuage étant quasi plat. Sur ce critère d’accord linéaire au pic de chaleur, la</w:t>
      </w:r>
      <w:r>
        <w:t xml:space="preserve"> </w:t>
      </w:r>
      <w:r>
        <w:t xml:space="preserve">version v3.2.0 reproduit donc mieux les observations, la version v3.2.3 ayant</w:t>
      </w:r>
      <w:r>
        <w:t xml:space="preserve"> </w:t>
      </w:r>
      <w:r>
        <w:t xml:space="preserve">tendance à écraser les écarts entre placettes. Il convient de noter que cette</w:t>
      </w:r>
      <w:r>
        <w:t xml:space="preserve"> </w:t>
      </w:r>
      <w:r>
        <w:t xml:space="preserve">corrélation est un coefficient de Pearson, sensible à quelques placettes extrêmes,</w:t>
      </w:r>
      <w:r>
        <w:t xml:space="preserve"> </w:t>
      </w:r>
      <w:r>
        <w:t xml:space="preserve">point que l’extension du §6 nuancera.</w:t>
      </w:r>
    </w:p>
    <w:p>
      <w:pPr>
        <w:pStyle w:val="BodyText"/>
      </w:pPr>
      <w:r>
        <w:drawing>
          <wp:inline>
            <wp:extent cx="5303520" cy="2946399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ures/doc_media/image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46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6 — Importance des traits de structure par archétype.</w:t>
      </w:r>
      <w:r>
        <w:t xml:space="preserve"> </w:t>
      </w:r>
      <w:r>
        <w:t xml:space="preserve">On détermine quel</w:t>
      </w:r>
      <w:r>
        <w:t xml:space="preserve"> </w:t>
      </w:r>
      <w:r>
        <w:t xml:space="preserve">trait, de la quantité de feuillage (LAI) ou de la forme verticale du profil (LAD),</w:t>
      </w:r>
      <w:r>
        <w:t xml:space="preserve"> </w:t>
      </w:r>
      <w:r>
        <w:t xml:space="preserve">pilote le plus le microclimat, et ce afin de comprendre l’origine de la différence</w:t>
      </w:r>
      <w:r>
        <w:t xml:space="preserve"> </w:t>
      </w:r>
      <w:r>
        <w:t xml:space="preserve">entre versions. En v3.2.0, le LAI domine partout en s’érodant de P1 vers P4 ; en</w:t>
      </w:r>
      <w:r>
        <w:t xml:space="preserve"> </w:t>
      </w:r>
      <w:r>
        <w:t xml:space="preserve">v3.2.3, la forme verticale prend le dessus dans les peuplements denses. La version</w:t>
      </w:r>
      <w:r>
        <w:t xml:space="preserve"> </w:t>
      </w:r>
      <w:r>
        <w:t xml:space="preserve">v3.2.3 surpondère ainsi la forme verticale du feuillage.</w:t>
      </w:r>
    </w:p>
    <w:p>
      <w:pPr>
        <w:pStyle w:val="BodyText"/>
      </w:pPr>
      <w:r>
        <w:drawing>
          <wp:inline>
            <wp:extent cx="5303520" cy="279132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ures/doc_media/image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791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7 — Robustesse du contraste sur trois métriques et deux périodes.</w:t>
      </w:r>
      <w:r>
        <w:t xml:space="preserve"> </w:t>
      </w:r>
      <w:r>
        <w:t xml:space="preserve">L’analyse d’importance est répétée pour trois métriques et deux périodes, afin de</w:t>
      </w:r>
      <w:r>
        <w:t xml:space="preserve"> </w:t>
      </w:r>
      <w:r>
        <w:t xml:space="preserve">vérifier que le contraste entre versions ne tient pas à une métrique particulière.</w:t>
      </w:r>
      <w:r>
        <w:t xml:space="preserve"> </w:t>
      </w:r>
      <w:r>
        <w:t xml:space="preserve">L’opposition entre la v3.2.0, dominée par le LAI, et la v3.2.3, dominée par la</w:t>
      </w:r>
      <w:r>
        <w:t xml:space="preserve"> </w:t>
      </w:r>
      <w:r>
        <w:t xml:space="preserve">forme verticale dans le dense, se maintient sur l’ensemble des combinaisons,</w:t>
      </w:r>
      <w:r>
        <w:t xml:space="preserve"> </w:t>
      </w:r>
      <w:r>
        <w:t xml:space="preserve">établissant une différence structurelle entre les binaires.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ures/doc_media/image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8 — Température horaire brute.</w:t>
      </w:r>
      <w:r>
        <w:t xml:space="preserve"> </w:t>
      </w:r>
      <w:r>
        <w:t xml:space="preserve">La comparaison des 155 016 températures</w:t>
      </w:r>
      <w:r>
        <w:t xml:space="preserve"> </w:t>
      </w:r>
      <w:r>
        <w:t xml:space="preserve">horaires simulées et observées vise à déterminer si la différence entre versions</w:t>
      </w:r>
      <w:r>
        <w:t xml:space="preserve"> </w:t>
      </w:r>
      <w:r>
        <w:t xml:space="preserve">se situe dans le suivi grossier ou dans la structure fine. Le coefficient de</w:t>
      </w:r>
      <w:r>
        <w:t xml:space="preserve"> </w:t>
      </w:r>
      <w:r>
        <w:t xml:space="preserve">détermination atteint environ 0,78 pour les deux versions (erreur d’environ 2,4 °C,</w:t>
      </w:r>
      <w:r>
        <w:t xml:space="preserve"> </w:t>
      </w:r>
      <w:r>
        <w:t xml:space="preserve">biais de +1,1 °C). La température brute est donc équivalente, la différence se</w:t>
      </w:r>
      <w:r>
        <w:t xml:space="preserve"> </w:t>
      </w:r>
      <w:r>
        <w:t xml:space="preserve">logeant non dans le suivi horaire global mais dans la structure fine entre</w:t>
      </w:r>
      <w:r>
        <w:t xml:space="preserve"> </w:t>
      </w:r>
      <w:r>
        <w:t xml:space="preserve">placettes.</w:t>
      </w:r>
    </w:p>
    <w:p>
      <w:pPr>
        <w:pStyle w:val="BodyText"/>
      </w:pPr>
      <w:r>
        <w:drawing>
          <wp:inline>
            <wp:extent cx="5303520" cy="2902979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es/doc_media/image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02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9 — ΔTmax et pente par placette (été et 10 % chauds).</w:t>
      </w:r>
      <w:r>
        <w:t xml:space="preserve"> </w:t>
      </w:r>
      <w:r>
        <w:t xml:space="preserve">Les diagrammes</w:t>
      </w:r>
      <w:r>
        <w:t xml:space="preserve"> </w:t>
      </w:r>
      <w:r>
        <w:t xml:space="preserve">simulé-observé, à panneaux carrés et diagonale réelle, évaluent la fidélité</w:t>
      </w:r>
      <w:r>
        <w:t xml:space="preserve"> </w:t>
      </w:r>
      <w:r>
        <w:t xml:space="preserve">placette à placette des deux indicateurs de tampon. La version v3.2.0 l’emporte</w:t>
      </w:r>
      <w:r>
        <w:t xml:space="preserve"> </w:t>
      </w:r>
      <w:r>
        <w:t xml:space="preserve">sur les quatre cas : le coefficient de détermination du ΔTmax y est de 0,87 et 0,75</w:t>
      </w:r>
      <w:r>
        <w:t xml:space="preserve"> </w:t>
      </w:r>
      <w:r>
        <w:t xml:space="preserve">contre 0,40 et 0,32, et celui de la pente de 0,92 et 0,87 contre 0,61 et 0,50.</w:t>
      </w:r>
    </w:p>
    <w:p>
      <w:pPr>
        <w:pStyle w:val="BodyText"/>
      </w:pPr>
      <w:r>
        <w:drawing>
          <wp:inline>
            <wp:extent cx="4572000" cy="8490857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ures/doc_media/image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490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10 — Sensibilité sur les profils moyens.</w:t>
      </w:r>
      <w:r>
        <w:t xml:space="preserve"> </w:t>
      </w:r>
      <w:r>
        <w:t xml:space="preserve">La perturbation des traits sur</w:t>
      </w:r>
      <w:r>
        <w:t xml:space="preserve"> </w:t>
      </w:r>
      <w:r>
        <w:t xml:space="preserve">les quatre profils moyens, conduite à titre de vérification, donne un effet modéré</w:t>
      </w:r>
      <w:r>
        <w:t xml:space="preserve"> </w:t>
      </w:r>
      <w:r>
        <w:t xml:space="preserve">en v3.2.0, exception faite d’un artefact en P1 imputable au caractère non</w:t>
      </w:r>
      <w:r>
        <w:t xml:space="preserve"> </w:t>
      </w:r>
      <w:r>
        <w:t xml:space="preserve">représentatif du profil moyen. Le calcul sur les 400 placettes réelles demeure de</w:t>
      </w:r>
      <w:r>
        <w:t xml:space="preserve"> </w:t>
      </w:r>
      <w:r>
        <w:t xml:space="preserve">ce fait la référence.</w:t>
      </w:r>
    </w:p>
    <w:p>
      <w:pPr>
        <w:pStyle w:val="BodyText"/>
      </w:pPr>
      <w:r>
        <w:drawing>
          <wp:inline>
            <wp:extent cx="5303520" cy="2791326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es/doc_media/image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791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11 — Skill de classement et incertitude.</w:t>
      </w:r>
      <w:r>
        <w:t xml:space="preserve"> </w:t>
      </w:r>
      <w:r>
        <w:t xml:space="preserve">La corrélation entre placettes</w:t>
      </w:r>
      <w:r>
        <w:t xml:space="preserve"> </w:t>
      </w:r>
      <w:r>
        <w:t xml:space="preserve">est assortie d’intervalles de confiance obtenus par 3000 rééchantillonnages, afin</w:t>
      </w:r>
      <w:r>
        <w:t xml:space="preserve"> </w:t>
      </w:r>
      <w:r>
        <w:t xml:space="preserve">d’établir si l’avantage de la v3.2.0 est significatif. Les intervalles sont</w:t>
      </w:r>
      <w:r>
        <w:t xml:space="preserve"> </w:t>
      </w:r>
      <w:r>
        <w:t xml:space="preserve">disjoints sur les quatre métriques (Δr de +0,18 à +0,30, p ≤ 0,005). Sur le</w:t>
      </w:r>
      <w:r>
        <w:t xml:space="preserve"> </w:t>
      </w:r>
      <w:r>
        <w:t xml:space="preserve">coefficient de Pearson, la version v3.2.0 est donc significativement meilleure ;</w:t>
      </w:r>
      <w:r>
        <w:t xml:space="preserve"> </w:t>
      </w:r>
      <w:r>
        <w:t xml:space="preserve">l’extension du §6 montrera toutefois que cet écart se referme, voire s’inverse,</w:t>
      </w:r>
      <w:r>
        <w:t xml:space="preserve"> </w:t>
      </w:r>
      <w:r>
        <w:t xml:space="preserve">sur le rang de Spearman.</w:t>
      </w:r>
    </w:p>
    <w:p>
      <w:pPr>
        <w:pStyle w:val="BodyText"/>
      </w:pPr>
      <w:r>
        <w:drawing>
          <wp:inline>
            <wp:extent cx="5303520" cy="280774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igures/doc_media/image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07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12 — Erreur absolue appariée.</w:t>
      </w:r>
      <w:r>
        <w:t xml:space="preserve"> </w:t>
      </w:r>
      <w:r>
        <w:t xml:space="preserve">La comparaison de l’erreur absolue placette</w:t>
      </w:r>
      <w:r>
        <w:t xml:space="preserve"> </w:t>
      </w:r>
      <w:r>
        <w:t xml:space="preserve">par placette, par test de Wilcoxon apparié, sépare l’erreur de niveau (biais) de</w:t>
      </w:r>
      <w:r>
        <w:t xml:space="preserve"> </w:t>
      </w:r>
      <w:r>
        <w:t xml:space="preserve">l’erreur de structure. La version v3.2.3 présente l’erreur la plus faible, en</w:t>
      </w:r>
      <w:r>
        <w:t xml:space="preserve"> </w:t>
      </w:r>
      <w:r>
        <w:t xml:space="preserve">raison d’un moindre biais chaud, significativement pour la pente et le ΔTmax des</w:t>
      </w:r>
      <w:r>
        <w:t xml:space="preserve"> </w:t>
      </w:r>
      <w:r>
        <w:t xml:space="preserve">journées chaudes. La version v3.2.3 l’emporte ainsi sur le niveau, non sur la</w:t>
      </w:r>
      <w:r>
        <w:t xml:space="preserve"> </w:t>
      </w:r>
      <w:r>
        <w:t xml:space="preserve">structure spatiale.</w:t>
      </w:r>
    </w:p>
    <w:p>
      <w:pPr>
        <w:pStyle w:val="BodyText"/>
      </w:pPr>
      <w:r>
        <w:drawing>
          <wp:inline>
            <wp:extent cx="5303520" cy="254568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figures/doc_media/image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545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81" w:name="analyse-fine-du-microclimat-fig-13-à-18"/>
    <w:p>
      <w:pPr>
        <w:pStyle w:val="Heading2"/>
      </w:pPr>
      <w:r>
        <w:t xml:space="preserve">6. Analyse fine du microclimat (Fig 13 à 18)</w:t>
      </w:r>
    </w:p>
    <w:p>
      <w:pPr>
        <w:pStyle w:val="FirstParagraph"/>
      </w:pPr>
      <w:r>
        <w:t xml:space="preserve">La comparaison précédente juge essentiellement l’accord linéaire au pic de chaleur.</w:t>
      </w:r>
      <w:r>
        <w:t xml:space="preserve"> </w:t>
      </w:r>
      <w:r>
        <w:t xml:space="preserve">On la prolonge ici en distinguant nettement classement et amplitude, en décomposant</w:t>
      </w:r>
      <w:r>
        <w:t xml:space="preserve"> </w:t>
      </w:r>
      <w:r>
        <w:t xml:space="preserve">le jour et la nuit ainsi que l’été et les canicules, et en examinant la structure</w:t>
      </w:r>
      <w:r>
        <w:t xml:space="preserve"> </w:t>
      </w:r>
      <w:r>
        <w:t xml:space="preserve">verticale de la canopée. L’objectif est double : déterminer si le verdict en</w:t>
      </w:r>
      <w:r>
        <w:t xml:space="preserve"> </w:t>
      </w:r>
      <w:r>
        <w:t xml:space="preserve">faveur de la v3.2.0 résiste à un changement de critère, et comprendre l’origine</w:t>
      </w:r>
      <w:r>
        <w:t xml:space="preserve"> </w:t>
      </w:r>
      <w:r>
        <w:t xml:space="preserve">physique des différences.</w:t>
      </w:r>
    </w:p>
    <w:p>
      <w:pPr>
        <w:pStyle w:val="BodyText"/>
      </w:pPr>
      <w:r>
        <w:rPr>
          <w:b/>
          <w:bCs/>
        </w:rPr>
        <w:t xml:space="preserve">Fig 13 — Amplitude et classement.</w:t>
      </w:r>
      <w:r>
        <w:t xml:space="preserve"> </w:t>
      </w:r>
      <w:r>
        <w:t xml:space="preserve">Pour la pente et le ΔTmax, l’amplitude</w:t>
      </w:r>
      <w:r>
        <w:t xml:space="preserve"> </w:t>
      </w:r>
      <w:r>
        <w:t xml:space="preserve">restituée par le modèle (rapport de la dispersion simulée à la dispersion</w:t>
      </w:r>
      <w:r>
        <w:t xml:space="preserve"> </w:t>
      </w:r>
      <w:r>
        <w:t xml:space="preserve">observée) est séparée du classement des placettes (corrélation de rang de</w:t>
      </w:r>
      <w:r>
        <w:t xml:space="preserve"> </w:t>
      </w:r>
      <w:r>
        <w:t xml:space="preserve">Spearman). Cette distinction est nécessaire, le coefficient de Pearson employé</w:t>
      </w:r>
      <w:r>
        <w:t xml:space="preserve"> </w:t>
      </w:r>
      <w:r>
        <w:t xml:space="preserve">jusqu’ici confondant les deux et se trouvant sensible à quelques placettes</w:t>
      </w:r>
      <w:r>
        <w:t xml:space="preserve"> </w:t>
      </w:r>
      <w:r>
        <w:t xml:space="preserve">extrêmes. Sur la pente, les deux versions compriment l’amplitude de façon</w:t>
      </w:r>
      <w:r>
        <w:t xml:space="preserve"> </w:t>
      </w:r>
      <w:r>
        <w:t xml:space="preserve">identique (31 %), mais la v3.2.3 ordonne mieux les placettes (ρ de 0,92 contre</w:t>
      </w:r>
      <w:r>
        <w:t xml:space="preserve"> </w:t>
      </w:r>
      <w:r>
        <w:t xml:space="preserve">0,90) ; sur le ΔTmax, la v3.2.0 restitue davantage d’amplitude (44 % contre 20 %)</w:t>
      </w:r>
      <w:r>
        <w:t xml:space="preserve"> </w:t>
      </w:r>
      <w:r>
        <w:t xml:space="preserve">tout en classant légèrement moins bien (ρ de 0,90 contre 0,86). La dégradation du</w:t>
      </w:r>
      <w:r>
        <w:t xml:space="preserve"> </w:t>
      </w:r>
      <w:r>
        <w:t xml:space="preserve">Pearson de la v3.2.3 observée en Fig 5 provient ainsi de deux ou trois placettes</w:t>
      </w:r>
      <w:r>
        <w:t xml:space="preserve"> </w:t>
      </w:r>
      <w:r>
        <w:t xml:space="preserve">ouvertes atypiques qui déforment la régression, l’ordre des placettes demeurant</w:t>
      </w:r>
      <w:r>
        <w:t xml:space="preserve"> </w:t>
      </w:r>
      <w:r>
        <w:t xml:space="preserve">préservé, voire amélioré.</w:t>
      </w:r>
    </w:p>
    <w:p>
      <w:pPr>
        <w:pStyle w:val="BodyText"/>
      </w:pPr>
      <w:r>
        <w:drawing>
          <wp:inline>
            <wp:extent cx="5486400" cy="4189614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figures/Fig_v323_amplitude_vs_ranking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89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14 — Grille complète : classement et amplitude, par moment et par période.</w:t>
      </w:r>
      <w:r>
        <w:t xml:space="preserve"> </w:t>
      </w:r>
      <w:r>
        <w:t xml:space="preserve">Deux cartes de chaleur, l’une pour le classement de Spearman, l’autre pour</w:t>
      </w:r>
      <w:r>
        <w:t xml:space="preserve"> </w:t>
      </w:r>
      <w:r>
        <w:t xml:space="preserve">l’amplitude, couvrent la pente et l’offset thermique selon le moment (jour, nuit,</w:t>
      </w:r>
      <w:r>
        <w:t xml:space="preserve"> </w:t>
      </w:r>
      <w:r>
        <w:t xml:space="preserve">ensemble) et la période (été, 10 % chauds), de manière à embrasser l’ensemble des</w:t>
      </w:r>
      <w:r>
        <w:t xml:space="preserve"> </w:t>
      </w:r>
      <w:r>
        <w:t xml:space="preserve">cas sans sélection arbitraire. Pour le classement, la version v3.2.3 égale ou</w:t>
      </w:r>
      <w:r>
        <w:t xml:space="preserve"> </w:t>
      </w:r>
      <w:r>
        <w:t xml:space="preserve">surpasse la v3.2.0 dans la quasi-totalité des cellules, la v3.2.0 allant jusqu’à</w:t>
      </w:r>
      <w:r>
        <w:t xml:space="preserve"> </w:t>
      </w:r>
      <w:r>
        <w:t xml:space="preserve">inverser l’ordre sur l’équilibre et sur la pente diurne des journées chaudes. Pour</w:t>
      </w:r>
      <w:r>
        <w:t xml:space="preserve"> </w:t>
      </w:r>
      <w:r>
        <w:t xml:space="preserve">l’amplitude, le partage s’opère selon le moment : la v3.2.0 détient l’amplitude</w:t>
      </w:r>
      <w:r>
        <w:t xml:space="preserve"> </w:t>
      </w:r>
      <w:r>
        <w:t xml:space="preserve">diurne, la v3.2.3 l’amplitude nocturne. Pour ordonner les placettes, finalité</w:t>
      </w:r>
      <w:r>
        <w:t xml:space="preserve"> </w:t>
      </w:r>
      <w:r>
        <w:t xml:space="preserve">d’une cartographie de refuges, la v3.2.3 constitue donc le choix le plus sûr ;</w:t>
      </w:r>
      <w:r>
        <w:t xml:space="preserve"> </w:t>
      </w:r>
      <w:r>
        <w:t xml:space="preserve">pour la magnitude diurne, la v3.2.0.</w:t>
      </w:r>
    </w:p>
    <w:p>
      <w:pPr>
        <w:pStyle w:val="BodyText"/>
      </w:pPr>
      <w:r>
        <w:drawing>
          <wp:inline>
            <wp:extent cx="5943600" cy="2759528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figures/Fig_compare_full_grid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9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15 — Axes complémentaires : jour et nuit, amplitude quotidienne, minima</w:t>
      </w:r>
      <w:r>
        <w:rPr>
          <w:b/>
          <w:bCs/>
        </w:rPr>
        <w:t xml:space="preserve"> </w:t>
      </w:r>
      <w:r>
        <w:rPr>
          <w:b/>
          <w:bCs/>
        </w:rPr>
        <w:t xml:space="preserve">nocturnes, suivi temporel.</w:t>
      </w:r>
      <w:r>
        <w:t xml:space="preserve"> </w:t>
      </w:r>
      <w:r>
        <w:t xml:space="preserve">La pente est calculée séparément de jour et de nuit,</w:t>
      </w:r>
      <w:r>
        <w:t xml:space="preserve"> </w:t>
      </w:r>
      <w:r>
        <w:t xml:space="preserve">de même que l’amplitude thermique quotidienne, le tampon des minima nocturnes et</w:t>
      </w:r>
      <w:r>
        <w:t xml:space="preserve"> </w:t>
      </w:r>
      <w:r>
        <w:t xml:space="preserve">la corrélation temporelle propre à chaque placette ; le couplage atmosphérique de</w:t>
      </w:r>
      <w:r>
        <w:t xml:space="preserve"> </w:t>
      </w:r>
      <w:r>
        <w:t xml:space="preserve">la v3.2.3 agissant surtout la nuit, on cherche à le mettre en évidence. La nuit,</w:t>
      </w:r>
      <w:r>
        <w:t xml:space="preserve"> </w:t>
      </w:r>
      <w:r>
        <w:t xml:space="preserve">la v3.2.3 l’emporte nettement : pour la pente nocturne, le classement passe de</w:t>
      </w:r>
      <w:r>
        <w:t xml:space="preserve"> </w:t>
      </w:r>
      <w:r>
        <w:t xml:space="preserve">0,68 à 0,75 et l’amplitude restituée de 53 % à 113 % ; pour les nuits froides, la</w:t>
      </w:r>
      <w:r>
        <w:t xml:space="preserve"> </w:t>
      </w:r>
      <w:r>
        <w:t xml:space="preserve">corrélation passe de 0,47 à 0,82, la v3.2.0 demeurant quasi plate. Le suivi</w:t>
      </w:r>
      <w:r>
        <w:t xml:space="preserve"> </w:t>
      </w:r>
      <w:r>
        <w:t xml:space="preserve">temporel est en revanche équivalent (corrélation d’environ 0,89), et la v3.2.3</w:t>
      </w:r>
      <w:r>
        <w:t xml:space="preserve"> </w:t>
      </w:r>
      <w:r>
        <w:t xml:space="preserve">sous-estime légèrement l’amplitude jour-nuit (biais de −0,70 °C). Le point faible</w:t>
      </w:r>
      <w:r>
        <w:t xml:space="preserve"> </w:t>
      </w:r>
      <w:r>
        <w:t xml:space="preserve">de la v3.2.3 est donc diurne ; de nuit et sur les minima, elle est nettement</w:t>
      </w:r>
      <w:r>
        <w:t xml:space="preserve"> </w:t>
      </w:r>
      <w:r>
        <w:t xml:space="preserve">supérieure.</w:t>
      </w:r>
    </w:p>
    <w:p>
      <w:pPr>
        <w:pStyle w:val="BodyText"/>
      </w:pPr>
      <w:r>
        <w:drawing>
          <wp:inline>
            <wp:extent cx="5486400" cy="4189614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figures/Fig_compare_binaries_extra_axe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89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16 — Profils verticaux de température, de vent, d’humidité et de VPD.</w:t>
      </w:r>
      <w:r>
        <w:t xml:space="preserve"> </w:t>
      </w:r>
      <w:r>
        <w:t xml:space="preserve">Du</w:t>
      </w:r>
      <w:r>
        <w:t xml:space="preserve"> </w:t>
      </w:r>
      <w:r>
        <w:t xml:space="preserve">sol au sommet de la canopée, les profils moyens de quatre variables sont tracés</w:t>
      </w:r>
      <w:r>
        <w:t xml:space="preserve"> </w:t>
      </w:r>
      <w:r>
        <w:t xml:space="preserve">pour les archétypes P1 à P4 et pour les deux binaires, de jour comme de nuit, afin</w:t>
      </w:r>
      <w:r>
        <w:t xml:space="preserve"> </w:t>
      </w:r>
      <w:r>
        <w:t xml:space="preserve">de comprendre mécaniquement où et comment les versions diffèrent, un modèle</w:t>
      </w:r>
      <w:r>
        <w:t xml:space="preserve"> </w:t>
      </w:r>
      <w:r>
        <w:t xml:space="preserve">unidimensionnel redistribuant la chaleur verticalement. De jour, en canopée</w:t>
      </w:r>
      <w:r>
        <w:t xml:space="preserve"> </w:t>
      </w:r>
      <w:r>
        <w:t xml:space="preserve">ouverte (P1), le sous-bois se réchauffe fortement en v3.2.0 (+2,95 °C, VPD de</w:t>
      </w:r>
      <w:r>
        <w:t xml:space="preserve"> </w:t>
      </w:r>
      <w:r>
        <w:t xml:space="preserve">+0,35 kPa, jusqu’à +3,5 °C et +0,64 kPa en canicule), tandis que la v3.2.3 aplatit</w:t>
      </w:r>
      <w:r>
        <w:t xml:space="preserve"> </w:t>
      </w:r>
      <w:r>
        <w:t xml:space="preserve">ce réchauffement. De nuit, en peuplement dense, la v3.2.3 renforce l’inversion, le</w:t>
      </w:r>
      <w:r>
        <w:t xml:space="preserve"> </w:t>
      </w:r>
      <w:r>
        <w:t xml:space="preserve">sous-bois devenant plus chaud que le sommet de +0,3 à +0,8 °C. Le vent, enfin, est</w:t>
      </w:r>
      <w:r>
        <w:t xml:space="preserve"> </w:t>
      </w:r>
      <w:r>
        <w:t xml:space="preserve">davantage freiné près du sol par la v3.2.3, dont le cisaillement vertical est plus</w:t>
      </w:r>
      <w:r>
        <w:t xml:space="preserve"> </w:t>
      </w:r>
      <w:r>
        <w:t xml:space="preserve">prononcé en toutes conditions. Le couplage atmosphérique de la v3.2.3 supprime</w:t>
      </w:r>
      <w:r>
        <w:t xml:space="preserve"> </w:t>
      </w:r>
      <w:r>
        <w:t xml:space="preserve">ainsi le réchauffement convectif du sous-bois ouvert de jour, ce qui explique sa</w:t>
      </w:r>
      <w:r>
        <w:t xml:space="preserve"> </w:t>
      </w:r>
      <w:r>
        <w:t xml:space="preserve">faiblesse sur les pics chauds, et renforce le découplage nocturne, ce qui</w:t>
      </w:r>
      <w:r>
        <w:t xml:space="preserve"> </w:t>
      </w:r>
      <w:r>
        <w:t xml:space="preserve">constitue sa force ; on reconnaît là sa signature physique.</w:t>
      </w:r>
    </w:p>
    <w:p>
      <w:pPr>
        <w:pStyle w:val="BodyText"/>
      </w:pPr>
      <w:r>
        <w:drawing>
          <wp:inline>
            <wp:extent cx="5029200" cy="50292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figures/Fig_vertical_profiles_full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17 — Modèle physique et modèle statistique de la pente.</w:t>
      </w:r>
      <w:r>
        <w:t xml:space="preserve"> </w:t>
      </w:r>
      <w:r>
        <w:t xml:space="preserve">La pente prédite</w:t>
      </w:r>
      <w:r>
        <w:t xml:space="preserve"> </w:t>
      </w:r>
      <w:r>
        <w:t xml:space="preserve">par MuSICA, pour les deux binaires et en aveugle (les capteurs ne sont jamais vus</w:t>
      </w:r>
      <w:r>
        <w:t xml:space="preserve"> </w:t>
      </w:r>
      <w:r>
        <w:t xml:space="preserve">par le modèle), est comparée à celle d’une régression statistique (méthode de</w:t>
      </w:r>
      <w:r>
        <w:t xml:space="preserve"> </w:t>
      </w:r>
      <w:r>
        <w:t xml:space="preserve">Gril, calibrée par validation croisée par omission sur la structure de canopée),</w:t>
      </w:r>
      <w:r>
        <w:t xml:space="preserve"> </w:t>
      </w:r>
      <w:r>
        <w:t xml:space="preserve">afin de situer le modèle physique par rapport à une référence empirique et de</w:t>
      </w:r>
      <w:r>
        <w:t xml:space="preserve"> </w:t>
      </w:r>
      <w:r>
        <w:t xml:space="preserve">tester la métrique de Gril. La version v3.2.0 classe très bien (corrélation de</w:t>
      </w:r>
      <w:r>
        <w:t xml:space="preserve"> </w:t>
      </w:r>
      <w:r>
        <w:t xml:space="preserve">0,96) mais comprime l’amplitude (coefficient de détermination de 0,36) ; la v3.2.3</w:t>
      </w:r>
      <w:r>
        <w:t xml:space="preserve"> </w:t>
      </w:r>
      <w:r>
        <w:t xml:space="preserve">atteint 0,79 ; la régression recale l’amplitude (coefficient de détermination de</w:t>
      </w:r>
      <w:r>
        <w:t xml:space="preserve"> </w:t>
      </w:r>
      <w:r>
        <w:t xml:space="preserve">0,87). Sur l’équilibre, la v3.2.0 inverse l’ordre, par un artefact mathématique</w:t>
      </w:r>
      <w:r>
        <w:t xml:space="preserve"> </w:t>
      </w:r>
      <w:r>
        <w:t xml:space="preserve">survenant lorsque la pente avoisine 1. Surtout, MuSICA classe aussi bien que la</w:t>
      </w:r>
      <w:r>
        <w:t xml:space="preserve"> </w:t>
      </w:r>
      <w:r>
        <w:t xml:space="preserve">régression, la différence n’étant pas significative au test de Williams. Le modèle</w:t>
      </w:r>
      <w:r>
        <w:t xml:space="preserve"> </w:t>
      </w:r>
      <w:r>
        <w:t xml:space="preserve">physique sait donc quelles placettes tamponnent, mais non de combien ; un modèle</w:t>
      </w:r>
      <w:r>
        <w:t xml:space="preserve"> </w:t>
      </w:r>
      <w:r>
        <w:t xml:space="preserve">statistique ne le surpasse que sur la calibration d’amplitude, non sur l’ordre.</w:t>
      </w:r>
    </w:p>
    <w:p>
      <w:pPr>
        <w:pStyle w:val="BodyText"/>
      </w:pPr>
      <w:r>
        <w:drawing>
          <wp:inline>
            <wp:extent cx="5486400" cy="18288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figures/Fig_gril_mechanistic_vs_statistical_slop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 18 — Synthèse statistique : incertitudes, significativité et attribution.</w:t>
      </w:r>
      <w:r>
        <w:t xml:space="preserve"> </w:t>
      </w:r>
      <w:r>
        <w:t xml:space="preserve">Les corrélations sont assorties d’intervalles de confiance bootstrap par modèle et</w:t>
      </w:r>
      <w:r>
        <w:t xml:space="preserve"> </w:t>
      </w:r>
      <w:r>
        <w:t xml:space="preserve">par métrique, complétés du test de Williams et d’une attribution du tampon observé.</w:t>
      </w:r>
      <w:r>
        <w:t xml:space="preserve"> </w:t>
      </w:r>
      <w:r>
        <w:t xml:space="preserve">La version v3.2.0 surpasse la v3.2.3 sur le Pearson (p &lt; 0,0001), mais le modèle</w:t>
      </w:r>
      <w:r>
        <w:t xml:space="preserve"> </w:t>
      </w:r>
      <w:r>
        <w:t xml:space="preserve">physique égale la régression sur le rang. Le tampon observé s’explique à 84 % par</w:t>
      </w:r>
      <w:r>
        <w:t xml:space="preserve"> </w:t>
      </w:r>
      <w:r>
        <w:t xml:space="preserve">la canopée (quantité de feuillage et couverture), la topographie n’y ajoutant</w:t>
      </w:r>
      <w:r>
        <w:t xml:space="preserve"> </w:t>
      </w:r>
      <w:r>
        <w:t xml:space="preserve">presque rien, l’exposition (northness) ne jouant qu’à la marge et sur le seul</w:t>
      </w:r>
      <w:r>
        <w:t xml:space="preserve"> </w:t>
      </w:r>
      <w:r>
        <w:t xml:space="preserve">ΔTmax. L’enrichissement de la prédiction du feuillage par la topographie la dégrade</w:t>
      </w:r>
      <w:r>
        <w:t xml:space="preserve"> </w:t>
      </w:r>
      <w:r>
        <w:t xml:space="preserve">même légèrement, le terrain n’informant pas la densité de canopée. Le moteur du</w:t>
      </w:r>
      <w:r>
        <w:t xml:space="preserve"> </w:t>
      </w:r>
      <w:r>
        <w:t xml:space="preserve">microclimat est donc la canopée, le relief n’étant qu’une retouche secondaire.</w:t>
      </w:r>
    </w:p>
    <w:p>
      <w:pPr>
        <w:pStyle w:val="BodyText"/>
      </w:pPr>
      <w:r>
        <w:drawing>
          <wp:inline>
            <wp:extent cx="5943600" cy="32004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figures/Fig_recap_JJAS_advanced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2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La comparaison de base (Fig 5 à 12) établit que, sur l’accord linéaire au pic de</w:t>
      </w:r>
      <w:r>
        <w:t xml:space="preserve"> </w:t>
      </w:r>
      <w:r>
        <w:t xml:space="preserve">chaleur, la version v3.2.0 reproduit mieux la structure spatiale, ses corrélations</w:t>
      </w:r>
      <w:r>
        <w:t xml:space="preserve"> </w:t>
      </w:r>
      <w:r>
        <w:t xml:space="preserve">étant significativement plus élevées, tandis que la version v3.2.3 présente un</w:t>
      </w:r>
      <w:r>
        <w:t xml:space="preserve"> </w:t>
      </w:r>
      <w:r>
        <w:t xml:space="preserve">meilleur niveau, avec un biais moindre. La température horaire brute est</w:t>
      </w:r>
      <w:r>
        <w:t xml:space="preserve"> </w:t>
      </w:r>
      <w:r>
        <w:t xml:space="preserve">équivalente.</w:t>
      </w:r>
    </w:p>
    <w:p>
      <w:pPr>
        <w:pStyle w:val="BodyText"/>
      </w:pPr>
      <w:r>
        <w:t xml:space="preserve">L’analyse fine (Fig 13 à 18) précise ce constat sur quatre points. Premièrement,</w:t>
      </w:r>
      <w:r>
        <w:t xml:space="preserve"> </w:t>
      </w:r>
      <w:r>
        <w:t xml:space="preserve">sur le rang de Spearman, la version v3.2.3 égale ou surpasse la v3.2.0 ; son</w:t>
      </w:r>
      <w:r>
        <w:t xml:space="preserve"> </w:t>
      </w:r>
      <w:r>
        <w:t xml:space="preserve">déficit de Pearson provient de quelques placettes ouvertes extrêmes et non de</w:t>
      </w:r>
      <w:r>
        <w:t xml:space="preserve"> </w:t>
      </w:r>
      <w:r>
        <w:t xml:space="preserve">l’ordre des placettes. Deuxièmement, l’amplitude se partage selon le moment de la</w:t>
      </w:r>
      <w:r>
        <w:t xml:space="preserve"> </w:t>
      </w:r>
      <w:r>
        <w:t xml:space="preserve">journée : la v3.2.0 détient l’amplitude des extrêmes chauds diurnes, la v3.2.3</w:t>
      </w:r>
      <w:r>
        <w:t xml:space="preserve"> </w:t>
      </w:r>
      <w:r>
        <w:t xml:space="preserve">celle du régime nocturne, dont les nuits froides. Troisièmement, la structure</w:t>
      </w:r>
      <w:r>
        <w:t xml:space="preserve"> </w:t>
      </w:r>
      <w:r>
        <w:t xml:space="preserve">verticale révèle que la v3.2.3 amortit le réchauffement diurne du sous-bois ouvert</w:t>
      </w:r>
      <w:r>
        <w:t xml:space="preserve"> </w:t>
      </w:r>
      <w:r>
        <w:t xml:space="preserve">et renforce le découplage nocturne ainsi que le freinage du vent, signature</w:t>
      </w:r>
      <w:r>
        <w:t xml:space="preserve"> </w:t>
      </w:r>
      <w:r>
        <w:t xml:space="preserve">attendue de son couplage atmosphérique. Quatrièmement, l’effet tampon procède de</w:t>
      </w:r>
      <w:r>
        <w:t xml:space="preserve"> </w:t>
      </w:r>
      <w:r>
        <w:t xml:space="preserve">la canopée (84 % de la variance expliquée), la topographie ne jouant qu’à la</w:t>
      </w:r>
      <w:r>
        <w:t xml:space="preserve"> </w:t>
      </w:r>
      <w:r>
        <w:t xml:space="preserve">marge, et le modèle physique classe aussi bien qu’une régression empirique.</w:t>
      </w:r>
    </w:p>
    <w:p>
      <w:pPr>
        <w:pStyle w:val="BodyText"/>
      </w:pPr>
      <w:r>
        <w:t xml:space="preserve">Il ne s’agit donc pas de rejeter en bloc la version v3.2.3. Lorsque la cible est</w:t>
      </w:r>
      <w:r>
        <w:t xml:space="preserve"> </w:t>
      </w:r>
      <w:r>
        <w:t xml:space="preserve">l’amplitude des extrêmes chauds diurnes, telle la fonction de refuge en canicule</w:t>
      </w:r>
      <w:r>
        <w:t xml:space="preserve"> </w:t>
      </w:r>
      <w:r>
        <w:t xml:space="preserve">évaluée par la validation du ΔTmax, la version v3.2.0 est préférable. Lorsque la</w:t>
      </w:r>
      <w:r>
        <w:t xml:space="preserve"> </w:t>
      </w:r>
      <w:r>
        <w:t xml:space="preserve">cible est une cartographie ordonnée des refuges, transférable à d’autres sites, ou</w:t>
      </w:r>
      <w:r>
        <w:t xml:space="preserve"> </w:t>
      </w:r>
      <w:r>
        <w:t xml:space="preserve">le régime nocturne, la version v3.2.3 est au moins aussi bonne, voire meilleure.</w:t>
      </w:r>
      <w:r>
        <w:t xml:space="preserve"> </w:t>
      </w:r>
      <w:r>
        <w:t xml:space="preserve">En somme, la version v3.2.0 privilégie la fidélité d’amplitude diurne et la version</w:t>
      </w:r>
      <w:r>
        <w:t xml:space="preserve"> </w:t>
      </w:r>
      <w:r>
        <w:t xml:space="preserve">v3.2.3 la robustesse du classement et la physique nocturne ; le choix se détermine</w:t>
      </w:r>
      <w:r>
        <w:t xml:space="preserve"> </w:t>
      </w:r>
      <w:r>
        <w:t xml:space="preserve">selon la question thermique mise en avant dans le chapitre.</w:t>
      </w:r>
    </w:p>
    <w:p>
      <w:pPr>
        <w:pStyle w:val="BodyText"/>
      </w:pPr>
      <w:r>
        <w:rPr>
          <w:i/>
          <w:iCs/>
        </w:rPr>
        <w:t xml:space="preserve">Reproductibilité : les figures et les tables sont régénérées par les scripts du</w:t>
      </w:r>
      <w:r>
        <w:rPr>
          <w:i/>
          <w:iCs/>
        </w:rPr>
        <w:t xml:space="preserve"> </w:t>
      </w:r>
      <w:r>
        <w:rPr>
          <w:i/>
          <w:iCs/>
        </w:rPr>
        <w:t xml:space="preserve">répertoire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comparaison_versions/scripts/</w:t>
      </w:r>
      <w:r>
        <w:rPr>
          <w:i/>
          <w:iCs/>
        </w:rPr>
        <w:t xml:space="preserve">, exécutés depuis la racine du projet.</w:t>
      </w:r>
      <w:r>
        <w:rPr>
          <w:i/>
          <w:iCs/>
        </w:rPr>
        <w:t xml:space="preserve"> </w:t>
      </w:r>
      <w:r>
        <w:rPr>
          <w:i/>
          <w:iCs/>
        </w:rPr>
        <w:t xml:space="preserve">Le détail analyse par analyse figure dans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README_extension_microclimat.md</w:t>
      </w:r>
      <w:r>
        <w:rPr>
          <w:i/>
          <w:iCs/>
        </w:rPr>
        <w:t xml:space="preserve">.</w:t>
      </w:r>
    </w:p>
    <w:bookmarkEnd w:id="82"/>
    <w:bookmarkEnd w:id="83"/>
    <w:sectPr>
      <w:type w:val="nextPage"/>
      <w:pgSz w:h="15840" w:w="12240"/>
      <w:pgMar w:bottom="1440" w:footer="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pos="0" w:val="num"/>
        </w:tabs>
        <w:ind w:hanging="360" w:left="720"/>
      </w:pPr>
      <w:rPr>
        <w:rFonts w:ascii="Symbol" w:cs="Symbol" w:hAnsi="Symbol" w:hint="default"/>
      </w:rPr>
    </w:lvl>
    <w:lvl w:ilvl="1">
      <w:start w:val="0"/>
      <w:numFmt w:val="bullet"/>
      <w:lvlText w:val="o"/>
      <w:lvlJc w:val="left"/>
      <w:pPr>
        <w:tabs>
          <w:tab w:pos="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0"/>
      <w:numFmt w:val="bullet"/>
      <w:lvlText w:val=""/>
      <w:lvlJc w:val="left"/>
      <w:pPr>
        <w:tabs>
          <w:tab w:pos="0" w:val="num"/>
        </w:tabs>
        <w:ind w:hanging="360" w:left="2160"/>
      </w:pPr>
      <w:rPr>
        <w:rFonts w:ascii="Wingdings" w:cs="Wingdings" w:hAnsi="Wingdings" w:hint="default"/>
      </w:rPr>
    </w:lvl>
    <w:lvl w:ilvl="3">
      <w:start w:val="0"/>
      <w:numFmt w:val="bullet"/>
      <w:lvlText w:val=""/>
      <w:lvlJc w:val="left"/>
      <w:pPr>
        <w:tabs>
          <w:tab w:pos="0" w:val="num"/>
        </w:tabs>
        <w:ind w:hanging="360" w:left="2880"/>
      </w:pPr>
      <w:rPr>
        <w:rFonts w:ascii="Symbol" w:cs="Symbol" w:hAnsi="Symbol" w:hint="default"/>
      </w:rPr>
    </w:lvl>
    <w:lvl w:ilvl="4">
      <w:start w:val="0"/>
      <w:numFmt w:val="bullet"/>
      <w:lvlText w:val="o"/>
      <w:lvlJc w:val="left"/>
      <w:pPr>
        <w:tabs>
          <w:tab w:pos="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0"/>
      <w:numFmt w:val="bullet"/>
      <w:lvlText w:val=""/>
      <w:lvlJc w:val="left"/>
      <w:pPr>
        <w:tabs>
          <w:tab w:pos="0" w:val="num"/>
        </w:tabs>
        <w:ind w:hanging="360" w:left="4320"/>
      </w:pPr>
      <w:rPr>
        <w:rFonts w:ascii="Wingdings" w:cs="Wingdings" w:hAnsi="Wingdings" w:hint="default"/>
      </w:rPr>
    </w:lvl>
    <w:lvl w:ilvl="6">
      <w:start w:val="0"/>
      <w:numFmt w:val="bullet"/>
      <w:lvlText w:val=""/>
      <w:lvlJc w:val="left"/>
      <w:pPr>
        <w:tabs>
          <w:tab w:pos="0" w:val="num"/>
        </w:tabs>
        <w:ind w:hanging="360" w:left="5040"/>
      </w:pPr>
      <w:rPr>
        <w:rFonts w:ascii="Symbol" w:cs="Symbol" w:hAnsi="Symbol" w:hint="default"/>
      </w:rPr>
    </w:lvl>
    <w:lvl w:ilvl="7">
      <w:start w:val="0"/>
      <w:numFmt w:val="bullet"/>
      <w:lvlText w:val="o"/>
      <w:lvlJc w:val="left"/>
      <w:pPr>
        <w:tabs>
          <w:tab w:pos="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0"/>
      <w:numFmt w:val="bullet"/>
      <w:lvlText w:val=""/>
      <w:lvlJc w:val="left"/>
      <w:pPr>
        <w:tabs>
          <w:tab w:pos="0" w:val="num"/>
        </w:tabs>
        <w:ind w:hanging="360" w:left="6480"/>
      </w:pPr>
      <w:rPr>
        <w:rFonts w:ascii="Wingdings" w:cs="Wingdings" w:hAnsi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pos="0" w:val="num"/>
        </w:tabs>
        <w:ind w:hanging="360" w:left="720"/>
      </w:pPr>
      <w:rPr>
        <w:rFonts w:ascii="Symbol" w:cs="Symbol" w:hAnsi="Symbol" w:hint="default"/>
      </w:rPr>
    </w:lvl>
    <w:lvl w:ilvl="1">
      <w:start w:val="0"/>
      <w:numFmt w:val="bullet"/>
      <w:lvlText w:val="o"/>
      <w:lvlJc w:val="left"/>
      <w:pPr>
        <w:tabs>
          <w:tab w:pos="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0"/>
      <w:numFmt w:val="bullet"/>
      <w:lvlText w:val=""/>
      <w:lvlJc w:val="left"/>
      <w:pPr>
        <w:tabs>
          <w:tab w:pos="0" w:val="num"/>
        </w:tabs>
        <w:ind w:hanging="360" w:left="2160"/>
      </w:pPr>
      <w:rPr>
        <w:rFonts w:ascii="Wingdings" w:cs="Wingdings" w:hAnsi="Wingdings" w:hint="default"/>
      </w:rPr>
    </w:lvl>
    <w:lvl w:ilvl="3">
      <w:start w:val="0"/>
      <w:numFmt w:val="bullet"/>
      <w:lvlText w:val=""/>
      <w:lvlJc w:val="left"/>
      <w:pPr>
        <w:tabs>
          <w:tab w:pos="0" w:val="num"/>
        </w:tabs>
        <w:ind w:hanging="360" w:left="2880"/>
      </w:pPr>
      <w:rPr>
        <w:rFonts w:ascii="Symbol" w:cs="Symbol" w:hAnsi="Symbol" w:hint="default"/>
      </w:rPr>
    </w:lvl>
    <w:lvl w:ilvl="4">
      <w:start w:val="0"/>
      <w:numFmt w:val="bullet"/>
      <w:lvlText w:val="o"/>
      <w:lvlJc w:val="left"/>
      <w:pPr>
        <w:tabs>
          <w:tab w:pos="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0"/>
      <w:numFmt w:val="bullet"/>
      <w:lvlText w:val=""/>
      <w:lvlJc w:val="left"/>
      <w:pPr>
        <w:tabs>
          <w:tab w:pos="0" w:val="num"/>
        </w:tabs>
        <w:ind w:hanging="360" w:left="4320"/>
      </w:pPr>
      <w:rPr>
        <w:rFonts w:ascii="Wingdings" w:cs="Wingdings" w:hAnsi="Wingdings" w:hint="default"/>
      </w:rPr>
    </w:lvl>
    <w:lvl w:ilvl="6">
      <w:start w:val="0"/>
      <w:numFmt w:val="bullet"/>
      <w:lvlText w:val=""/>
      <w:lvlJc w:val="left"/>
      <w:pPr>
        <w:tabs>
          <w:tab w:pos="0" w:val="num"/>
        </w:tabs>
        <w:ind w:hanging="360" w:left="5040"/>
      </w:pPr>
      <w:rPr>
        <w:rFonts w:ascii="Symbol" w:cs="Symbol" w:hAnsi="Symbol" w:hint="default"/>
      </w:rPr>
    </w:lvl>
    <w:lvl w:ilvl="7">
      <w:start w:val="0"/>
      <w:numFmt w:val="bullet"/>
      <w:lvlText w:val="o"/>
      <w:lvlJc w:val="left"/>
      <w:pPr>
        <w:tabs>
          <w:tab w:pos="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0"/>
      <w:numFmt w:val="bullet"/>
      <w:lvlText w:val=""/>
      <w:lvlJc w:val="left"/>
      <w:pPr>
        <w:tabs>
          <w:tab w:pos="0" w:val="num"/>
        </w:tabs>
        <w:ind w:hanging="360" w:left="6480"/>
      </w:pPr>
      <w:rPr>
        <w:rFonts w:ascii="Wingdings" w:cs="Wingdings" w:hAnsi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1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2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3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4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5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6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7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8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asciiTheme="minorHAnsi" w:cs="" w:cstheme="minorBidi" w:eastAsia="" w:eastAsiaTheme="minorEastAsia" w:hAnsi="Aptos" w:hAnsiTheme="minorHAnsi"/>
        <w:sz w:val="24"/>
        <w:szCs w:val="24"/>
        <w:lang w:bidi="ar-SA" w:eastAsia="zh-CN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Aptos" w:asciiTheme="minorHAnsi" w:cs="" w:cstheme="minorBidi" w:eastAsia="" w:eastAsiaTheme="minorEastAsia" w:hAnsi="Aptos" w:hAnsiTheme="minorHAnsi"/>
      <w:color w:val="auto"/>
      <w:kern w:val="0"/>
      <w:sz w:val="24"/>
      <w:szCs w:val="24"/>
      <w:lang w:bidi="ar-SA" w:eastAsia="zh-CN" w:val="en-US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after="80" w:before="360"/>
      <w:outlineLvl w:val="0"/>
    </w:pPr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after="80" w:before="160"/>
      <w:outlineLvl w:val="1"/>
    </w:pPr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after="80" w:before="160"/>
      <w:outlineLvl w:val="2"/>
    </w:pPr>
    <w:rPr>
      <w:rFonts w:cs="" w:cstheme="majorBidi" w:eastAsia="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after="40" w:before="80"/>
      <w:outlineLvl w:val="3"/>
    </w:pPr>
    <w:rPr>
      <w:rFonts w:cs="" w:cstheme="majorBidi" w:eastAsia="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after="40" w:before="80"/>
      <w:outlineLvl w:val="4"/>
    </w:pPr>
    <w:rPr>
      <w:rFonts w:cs="" w:cstheme="majorBidi" w:eastAsia="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after="0" w:before="40"/>
      <w:outlineLvl w:val="5"/>
    </w:pPr>
    <w:rPr>
      <w:rFonts w:cs="" w:cstheme="majorBidi" w:eastAsia="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after="0" w:before="40"/>
      <w:outlineLvl w:val="6"/>
    </w:pPr>
    <w:rPr>
      <w:rFonts w:cs="" w:cstheme="majorBidi" w:eastAsia="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after="0" w:before="0"/>
      <w:outlineLvl w:val="7"/>
    </w:pPr>
    <w:rPr>
      <w:rFonts w:cs="" w:cstheme="majorBidi" w:eastAsia="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after="0" w:before="0"/>
      <w:outlineLvl w:val="8"/>
    </w:pPr>
    <w:rPr>
      <w:rFonts w:cs="" w:cstheme="majorBidi" w:eastAsia="" w:eastAsiaTheme="majorEastAsia"/>
      <w:color w:themeColor="text1" w:themeTint="d8" w:val="272727"/>
    </w:rPr>
  </w:style>
  <w:style w:customStyle="1" w:styleId="TitleChar" w:type="character">
    <w:name w:val="Title Char"/>
    <w:basedOn w:val="DefaultParagraphFont"/>
    <w:link w:val="Title"/>
    <w:uiPriority w:val="10"/>
    <w:qFormat/>
    <w:rsid w:val="00a10fd9"/>
    <w:rPr>
      <w:rFonts w:ascii="Aptos Display" w:asciiTheme="majorHAnsi" w:cs="" w:cstheme="majorBidi" w:eastAsia="" w:eastAsiaTheme="majorEastAsia" w:hAnsi="Aptos Display" w:hAnsiTheme="majorHAnsi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a10fd9"/>
    <w:rPr>
      <w:rFonts w:cs="" w:cstheme="majorBidi" w:eastAsia="" w:eastAsiaTheme="majorEastAsia"/>
      <w:color w:themeColor="text1" w:themeTint="a6" w:val="595959"/>
      <w:spacing w:val="15"/>
      <w:sz w:val="28"/>
      <w:szCs w:val="28"/>
    </w:rPr>
  </w:style>
  <w:style w:customStyle="1" w:styleId="Heading1Char" w:type="character">
    <w:name w:val="Heading 1 Char"/>
    <w:basedOn w:val="DefaultParagraphFont"/>
    <w:link w:val="Heading1"/>
    <w:uiPriority w:val="9"/>
    <w:qFormat/>
    <w:rsid w:val="00a10fd9"/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qFormat/>
    <w:rsid w:val="00a10fd9"/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qFormat/>
    <w:rsid w:val="00a10fd9"/>
    <w:rPr>
      <w:rFonts w:cs="" w:cstheme="majorBidi" w:eastAsia="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a10fd9"/>
    <w:rPr>
      <w:rFonts w:cs="" w:cstheme="majorBidi" w:eastAsia="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a10fd9"/>
    <w:rPr>
      <w:rFonts w:cs="" w:cstheme="majorBidi" w:eastAsia="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a10fd9"/>
    <w:rPr>
      <w:rFonts w:cs="" w:cstheme="majorBidi" w:eastAsia="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a10fd9"/>
    <w:rPr>
      <w:rFonts w:cs="" w:cstheme="majorBidi" w:eastAsia="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a10fd9"/>
    <w:rPr>
      <w:rFonts w:cs="" w:cstheme="majorBidi" w:eastAsia="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a10fd9"/>
    <w:rPr>
      <w:rFonts w:cs="" w:cstheme="majorBidi" w:eastAsia="" w:eastAsiaTheme="majorEastAsia"/>
      <w:color w:themeColor="text1" w:themeTint="d8" w:val="272727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FootnoteCharacters" w:type="character">
    <w:name w:val="Footnote Characters"/>
    <w:basedOn w:val="BodyTextChar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customStyle="1" w:styleId="KeywordTok" w:type="character">
    <w:name w:val="KeywordTok"/>
    <w:basedOn w:val="VerbatimChar"/>
    <w:qFormat/>
    <w:rPr>
      <w:b/>
      <w:color w:val="007020"/>
    </w:rPr>
  </w:style>
  <w:style w:customStyle="1" w:styleId="DataTypeTok" w:type="character">
    <w:name w:val="DataTypeTok"/>
    <w:basedOn w:val="VerbatimChar"/>
    <w:qFormat/>
    <w:rPr>
      <w:color w:val="902000"/>
    </w:rPr>
  </w:style>
  <w:style w:customStyle="1" w:styleId="DecValTok" w:type="character">
    <w:name w:val="DecValTok"/>
    <w:basedOn w:val="VerbatimChar"/>
    <w:qFormat/>
    <w:rPr>
      <w:color w:val="40A070"/>
    </w:rPr>
  </w:style>
  <w:style w:customStyle="1" w:styleId="BaseNTok" w:type="character">
    <w:name w:val="BaseNTok"/>
    <w:basedOn w:val="VerbatimChar"/>
    <w:qFormat/>
    <w:rPr>
      <w:color w:val="40A070"/>
    </w:rPr>
  </w:style>
  <w:style w:customStyle="1" w:styleId="FloatTok" w:type="character">
    <w:name w:val="FloatTok"/>
    <w:basedOn w:val="VerbatimChar"/>
    <w:qFormat/>
    <w:rPr>
      <w:color w:val="40A070"/>
    </w:rPr>
  </w:style>
  <w:style w:customStyle="1" w:styleId="ConstantTok" w:type="character">
    <w:name w:val="ConstantTok"/>
    <w:basedOn w:val="VerbatimChar"/>
    <w:qFormat/>
    <w:rPr>
      <w:color w:val="880000"/>
    </w:rPr>
  </w:style>
  <w:style w:customStyle="1" w:styleId="CharTok" w:type="character">
    <w:name w:val="CharTok"/>
    <w:basedOn w:val="VerbatimChar"/>
    <w:qFormat/>
    <w:rPr>
      <w:color w:val="4070A0"/>
    </w:rPr>
  </w:style>
  <w:style w:customStyle="1" w:styleId="SpecialCharTok" w:type="character">
    <w:name w:val="SpecialCharTok"/>
    <w:basedOn w:val="VerbatimChar"/>
    <w:qFormat/>
    <w:rPr>
      <w:color w:val="4070A0"/>
    </w:rPr>
  </w:style>
  <w:style w:customStyle="1" w:styleId="StringTok" w:type="character">
    <w:name w:val="StringTok"/>
    <w:basedOn w:val="VerbatimChar"/>
    <w:qFormat/>
    <w:rPr>
      <w:color w:val="4070A0"/>
    </w:rPr>
  </w:style>
  <w:style w:customStyle="1" w:styleId="VerbatimStringTok" w:type="character">
    <w:name w:val="VerbatimStringTok"/>
    <w:basedOn w:val="VerbatimChar"/>
    <w:qFormat/>
    <w:rPr>
      <w:color w:val="4070A0"/>
    </w:rPr>
  </w:style>
  <w:style w:customStyle="1" w:styleId="SpecialStringTok" w:type="character">
    <w:name w:val="SpecialStringTok"/>
    <w:basedOn w:val="VerbatimChar"/>
    <w:qFormat/>
    <w:rPr>
      <w:color w:val="BB6688"/>
    </w:rPr>
  </w:style>
  <w:style w:customStyle="1" w:styleId="ImportTok" w:type="character">
    <w:name w:val="ImportTok"/>
    <w:basedOn w:val="VerbatimChar"/>
    <w:qFormat/>
    <w:rPr>
      <w:b/>
      <w:color w:val="008000"/>
    </w:rPr>
  </w:style>
  <w:style w:customStyle="1" w:styleId="CommentTok" w:type="character">
    <w:name w:val="CommentTok"/>
    <w:basedOn w:val="VerbatimChar"/>
    <w:qFormat/>
    <w:rPr>
      <w:i/>
      <w:color w:val="60A0B0"/>
    </w:rPr>
  </w:style>
  <w:style w:customStyle="1" w:styleId="DocumentationTok" w:type="character">
    <w:name w:val="DocumentationTok"/>
    <w:basedOn w:val="VerbatimChar"/>
    <w:qFormat/>
    <w:rPr>
      <w:i/>
      <w:color w:val="BA2121"/>
    </w:rPr>
  </w:style>
  <w:style w:customStyle="1" w:styleId="AnnotationTok" w:type="character">
    <w:name w:val="AnnotationTok"/>
    <w:basedOn w:val="VerbatimChar"/>
    <w:qFormat/>
    <w:rPr>
      <w:b/>
      <w:i/>
      <w:color w:val="60A0B0"/>
    </w:rPr>
  </w:style>
  <w:style w:customStyle="1" w:styleId="CommentVarTok" w:type="character">
    <w:name w:val="CommentVarTok"/>
    <w:basedOn w:val="VerbatimChar"/>
    <w:qFormat/>
    <w:rPr>
      <w:b/>
      <w:i/>
      <w:color w:val="60A0B0"/>
    </w:rPr>
  </w:style>
  <w:style w:customStyle="1" w:styleId="OtherTok" w:type="character">
    <w:name w:val="OtherTok"/>
    <w:basedOn w:val="VerbatimChar"/>
    <w:qFormat/>
    <w:rPr>
      <w:color w:val="007020"/>
    </w:rPr>
  </w:style>
  <w:style w:customStyle="1" w:styleId="FunctionTok" w:type="character">
    <w:name w:val="FunctionTok"/>
    <w:basedOn w:val="VerbatimChar"/>
    <w:qFormat/>
    <w:rPr>
      <w:color w:val="06287E"/>
    </w:rPr>
  </w:style>
  <w:style w:customStyle="1" w:styleId="VariableTok" w:type="character">
    <w:name w:val="VariableTok"/>
    <w:basedOn w:val="VerbatimChar"/>
    <w:qFormat/>
    <w:rPr>
      <w:color w:val="19177C"/>
    </w:rPr>
  </w:style>
  <w:style w:customStyle="1" w:styleId="ControlFlowTok" w:type="character">
    <w:name w:val="ControlFlowTok"/>
    <w:basedOn w:val="VerbatimChar"/>
    <w:qFormat/>
    <w:rPr>
      <w:b/>
      <w:color w:val="007020"/>
    </w:rPr>
  </w:style>
  <w:style w:customStyle="1" w:styleId="OperatorTok" w:type="character">
    <w:name w:val="OperatorTok"/>
    <w:basedOn w:val="VerbatimChar"/>
    <w:qFormat/>
    <w:rPr>
      <w:color w:val="666666"/>
    </w:rPr>
  </w:style>
  <w:style w:customStyle="1" w:styleId="BuiltInTok" w:type="character">
    <w:name w:val="BuiltInTok"/>
    <w:basedOn w:val="VerbatimChar"/>
    <w:qFormat/>
    <w:rPr>
      <w:color w:val="008000"/>
    </w:rPr>
  </w:style>
  <w:style w:customStyle="1" w:styleId="ExtensionTok" w:type="character">
    <w:name w:val="ExtensionTok"/>
    <w:basedOn w:val="VerbatimChar"/>
    <w:qFormat/>
    <w:rPr/>
  </w:style>
  <w:style w:customStyle="1" w:styleId="PreprocessorTok" w:type="character">
    <w:name w:val="PreprocessorTok"/>
    <w:basedOn w:val="VerbatimChar"/>
    <w:qFormat/>
    <w:rPr>
      <w:color w:val="BC7A00"/>
    </w:rPr>
  </w:style>
  <w:style w:customStyle="1" w:styleId="AttributeTok" w:type="character">
    <w:name w:val="AttributeTok"/>
    <w:basedOn w:val="VerbatimChar"/>
    <w:qFormat/>
    <w:rPr>
      <w:color w:val="7D9029"/>
    </w:rPr>
  </w:style>
  <w:style w:customStyle="1" w:styleId="RegionMarkerTok" w:type="character">
    <w:name w:val="RegionMarkerTok"/>
    <w:basedOn w:val="VerbatimChar"/>
    <w:qFormat/>
    <w:rPr/>
  </w:style>
  <w:style w:customStyle="1" w:styleId="InformationTok" w:type="character">
    <w:name w:val="InformationTok"/>
    <w:basedOn w:val="VerbatimChar"/>
    <w:qFormat/>
    <w:rPr>
      <w:b/>
      <w:i/>
      <w:color w:val="60A0B0"/>
    </w:rPr>
  </w:style>
  <w:style w:customStyle="1" w:styleId="WarningTok" w:type="character">
    <w:name w:val="WarningTok"/>
    <w:basedOn w:val="VerbatimChar"/>
    <w:qFormat/>
    <w:rPr>
      <w:b/>
      <w:i/>
      <w:color w:val="60A0B0"/>
    </w:rPr>
  </w:style>
  <w:style w:customStyle="1" w:styleId="AlertTok" w:type="character">
    <w:name w:val="AlertTok"/>
    <w:basedOn w:val="VerbatimChar"/>
    <w:qFormat/>
    <w:rPr>
      <w:b/>
      <w:color w:val="FF0000"/>
    </w:rPr>
  </w:style>
  <w:style w:customStyle="1" w:styleId="ErrorTok" w:type="character">
    <w:name w:val="ErrorTok"/>
    <w:basedOn w:val="VerbatimChar"/>
    <w:qFormat/>
    <w:rPr>
      <w:b/>
      <w:color w:val="FF0000"/>
    </w:rPr>
  </w:style>
  <w:style w:customStyle="1" w:styleId="NormalTok" w:type="character">
    <w:name w:val="NormalTok"/>
    <w:basedOn w:val="VerbatimChar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0" w:line="240" w:lineRule="auto"/>
      <w:contextualSpacing/>
      <w:jc w:val="center"/>
    </w:pPr>
    <w:rPr>
      <w:rFonts w:ascii="Aptos Display" w:asciiTheme="majorHAnsi" w:cs="" w:cstheme="majorBidi" w:eastAsia="" w:eastAsiaTheme="majorEastAsia" w:hAnsi="Aptos Display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/>
    <w:rPr>
      <w:rFonts w:cs="" w:cstheme="majorBidi" w:eastAsia="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hanging="0" w:left="480" w:right="480"/>
    </w:pPr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80" w:before="240" w:line="259" w:lineRule="auto"/>
      <w:outlineLvl w:val="9"/>
    </w:pPr>
    <w:rPr>
      <w:rFonts w:ascii="Aptos Display" w:asciiTheme="majorHAnsi" w:cs="" w:cstheme="majorBidi" w:eastAsia="" w:eastAsiaTheme="majorEastAsia" w:hAnsi="Aptos Display" w:hAnsiTheme="majorHAnsi"/>
      <w:b w:val="false"/>
      <w:bCs w:val="false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qFormat/>
    <w:pPr/>
    <w:rPr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2" Target="media/image1.png" Type="http://schemas.openxmlformats.org/officeDocument/2006/relationships/image" /><Relationship Id="rId3" Target="media/image2.png" Type="http://schemas.openxmlformats.org/officeDocument/2006/relationships/image" /><Relationship Id="rId4" Target="media/image3.png" Type="http://schemas.openxmlformats.org/officeDocument/2006/relationships/image" /><Relationship Id="rId5" Target="media/image4.png" Type="http://schemas.openxmlformats.org/officeDocument/2006/relationships/image" /><Relationship Id="rId6" Target="media/image5.png" Type="http://schemas.openxmlformats.org/officeDocument/2006/relationships/image" /><Relationship Id="rId7" Target="media/image6.png" Type="http://schemas.openxmlformats.org/officeDocument/2006/relationships/image" /><Relationship Id="rId8" Target="media/image7.png" Type="http://schemas.openxmlformats.org/officeDocument/2006/relationships/image" /><Relationship Id="rId9" Target="media/image8.png" Type="http://schemas.openxmlformats.org/officeDocument/2006/relationships/image" /><Relationship Id="rId10" Target="media/image9.png" Type="http://schemas.openxmlformats.org/officeDocument/2006/relationships/image" /><Relationship Id="rId11" Target="media/image10.png" Type="http://schemas.openxmlformats.org/officeDocument/2006/relationships/image" /><Relationship Id="rId12" Target="media/image11.png" Type="http://schemas.openxmlformats.org/officeDocument/2006/relationships/image" /><Relationship Id="rId13" Target="media/image12.png" Type="http://schemas.openxmlformats.org/officeDocument/2006/relationships/image" /><Relationship Type="http://schemas.openxmlformats.org/officeDocument/2006/relationships/image" Id="rId69" Target="media/rId69.png" /><Relationship Type="http://schemas.openxmlformats.org/officeDocument/2006/relationships/image" Id="rId66" Target="media/rId66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63" Target="media/rId63.png" /><Relationship Type="http://schemas.openxmlformats.org/officeDocument/2006/relationships/image" Id="rId72" Target="media/rId72.png" /><Relationship Type="http://schemas.openxmlformats.org/officeDocument/2006/relationships/image" Id="rId25" Target="media/rId25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8</Pages>
  <Words>674</Words>
  <Characters>2963</Characters>
  <CharactersWithSpaces>3618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2026-06-25T13:37:35Z</dcterms:created>
  <dcterms:modified xsi:type="dcterms:W3CDTF">2026-06-25T13:37:35Z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