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b9f59b08fa452aab592f6e19aee07c4a605756f"/>
    <w:p>
      <w:pPr>
        <w:pStyle w:val="Heading1"/>
      </w:pPr>
      <w:r>
        <w:t xml:space="preserve">Réunion 26/06/2026 — Structure → microclimat : référence station, sensibilité par archétype</w:t>
      </w:r>
    </w:p>
    <w:p>
      <w:pPr>
        <w:pStyle w:val="FirstParagraph"/>
      </w:pPr>
      <w:r>
        <w:rPr>
          <w:i/>
          <w:iCs/>
        </w:rPr>
        <w:t xml:space="preserve">Document autonome répondant aux notes de la réunion. Toutes les sorties sur le</w:t>
      </w:r>
      <w:r>
        <w:rPr>
          <w:i/>
          <w:iCs/>
        </w:rPr>
        <w:t xml:space="preserve"> </w:t>
      </w:r>
      <w:r>
        <w:rPr>
          <w:i/>
          <w:iCs/>
        </w:rPr>
        <w:t xml:space="preserve">binaire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validé v3.2.0</w:t>
      </w:r>
      <w:r>
        <w:rPr>
          <w:i/>
          <w:iCs/>
        </w:rPr>
        <w:t xml:space="preserve">, palette thermique d’archétype (P1 ouvert/chaud rouge →</w:t>
      </w:r>
      <w:r>
        <w:rPr>
          <w:i/>
          <w:iCs/>
        </w:rPr>
        <w:t xml:space="preserve"> </w:t>
      </w:r>
      <w:r>
        <w:rPr>
          <w:i/>
          <w:iCs/>
        </w:rPr>
        <w:t xml:space="preserve">P4 dense/froid vert). Chaque figure est accompagnée de sa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fiche 5-champs</w:t>
      </w:r>
      <w:r>
        <w:rPr>
          <w:i/>
          <w:iCs/>
        </w:rPr>
        <w:t xml:space="preserve"> </w:t>
      </w:r>
      <w:r>
        <w:rPr>
          <w:i/>
          <w:iCs/>
        </w:rPr>
        <w:t xml:space="preserve">(méthodes · pré-traitements · données/figure · description · interprétation).</w:t>
      </w:r>
    </w:p>
    <w:p>
      <w:pPr>
        <w:pStyle w:val="BodyText"/>
      </w:pPr>
      <w:r>
        <w:rPr>
          <w:b/>
          <w:bCs/>
        </w:rPr>
        <w:t xml:space="preserve">Données communes.</w:t>
      </w:r>
      <w:r>
        <w:t xml:space="preserve"> </w:t>
      </w:r>
      <w:r>
        <w:t xml:space="preserve">53 placettes HOBO (capteur air à 1 m, position « a »),</w:t>
      </w:r>
      <w:r>
        <w:t xml:space="preserve"> </w:t>
      </w:r>
      <w:r>
        <w:t xml:space="preserve">Blois, été 2021 ; structure LiDAR plein (LAI, Hmax, fCover, VCI, profil LAD) ;</w:t>
      </w:r>
      <w:r>
        <w:t xml:space="preserve"> </w:t>
      </w:r>
      <w:r>
        <w:t xml:space="preserve">typologie k-means gelée en 4 archétypes ; plan cLHS de 400</w:t>
      </w:r>
      <w:r>
        <w:t xml:space="preserve"> </w:t>
      </w:r>
      <w:r>
        <w:rPr>
          <w:i/>
          <w:iCs/>
        </w:rPr>
        <w:t xml:space="preserve">vrais pixels LiDAR</w:t>
      </w:r>
      <w:r>
        <w:t xml:space="preserve"> </w:t>
      </w:r>
      <w:r>
        <w:t xml:space="preserve">(100/archétype). Référence macroclimat =</w:t>
      </w:r>
      <w:r>
        <w:t xml:space="preserve"> </w:t>
      </w:r>
      <w:r>
        <w:rPr>
          <w:b/>
          <w:bCs/>
        </w:rPr>
        <w:t xml:space="preserve">station RENECOFOR CHS 41, prairie,</w:t>
      </w:r>
      <w:r>
        <w:rPr>
          <w:b/>
          <w:bCs/>
        </w:rPr>
        <w:t xml:space="preserve"> </w:t>
      </w:r>
      <w:r>
        <w:rPr>
          <w:b/>
          <w:bCs/>
        </w:rPr>
        <w:t xml:space="preserve">1,50 m</w:t>
      </w:r>
      <w:r>
        <w:t xml:space="preserve"> </w:t>
      </w:r>
      <w:r>
        <w:t xml:space="preserve">(</w:t>
      </w:r>
      <w:r>
        <w:rPr>
          <w:rStyle w:val="VerbatimChar"/>
        </w:rPr>
        <w:t xml:space="preserve">MetHor2021.txt</w:t>
      </w:r>
      <w:r>
        <w:t xml:space="preserve">), au lieu du forçage free-air ERA5.</w:t>
      </w:r>
    </w:p>
    <w:p>
      <w:r>
        <w:pict>
          <v:rect style="width:0;height:1.5pt" o:hralign="center" o:hrstd="t" o:hr="t"/>
        </w:pict>
      </w:r>
    </w:p>
    <w:bookmarkStart w:id="9" w:name="contexte-et-fil-conducteur"/>
    <w:p>
      <w:pPr>
        <w:pStyle w:val="Heading2"/>
      </w:pPr>
      <w:r>
        <w:t xml:space="preserve">Contexte et fil conducteur</w:t>
      </w:r>
    </w:p>
    <w:p>
      <w:pPr>
        <w:pStyle w:val="FirstParagraph"/>
      </w:pPr>
      <w:r>
        <w:t xml:space="preserve">La réunion a demandé trois déplacements : (1)</w:t>
      </w:r>
      <w:r>
        <w:t xml:space="preserve"> </w:t>
      </w:r>
      <w:r>
        <w:rPr>
          <w:b/>
          <w:bCs/>
        </w:rPr>
        <w:t xml:space="preserve">changer la référence</w:t>
      </w:r>
      <w:r>
        <w:t xml:space="preserve"> </w:t>
      </w:r>
      <w:r>
        <w:t xml:space="preserve">de ΔTmax du</w:t>
      </w:r>
      <w:r>
        <w:t xml:space="preserve"> </w:t>
      </w:r>
      <w:r>
        <w:t xml:space="preserve">forçage ERA5 vers la</w:t>
      </w:r>
      <w:r>
        <w:t xml:space="preserve"> </w:t>
      </w:r>
      <w:r>
        <w:rPr>
          <w:b/>
          <w:bCs/>
        </w:rPr>
        <w:t xml:space="preserve">station de terrain</w:t>
      </w:r>
      <w:r>
        <w:t xml:space="preserve"> </w:t>
      </w:r>
      <w:r>
        <w:t xml:space="preserve">(1,5 m), avec l’écart de hauteur</w:t>
      </w:r>
      <w:r>
        <w:t xml:space="preserve"> </w:t>
      </w:r>
      <w:r>
        <w:t xml:space="preserve">HOBO 1 m / station 1,5 m explicité et le biais forçage↔station remis en annexe ;</w:t>
      </w:r>
      <w:r>
        <w:t xml:space="preserve"> </w:t>
      </w:r>
      <w:r>
        <w:t xml:space="preserve">(2)</w:t>
      </w:r>
      <w:r>
        <w:t xml:space="preserve"> </w:t>
      </w:r>
      <w:r>
        <w:rPr>
          <w:b/>
          <w:bCs/>
        </w:rPr>
        <w:t xml:space="preserve">ouvrir la boîte de la sensibilité</w:t>
      </w:r>
      <w:r>
        <w:t xml:space="preserve"> </w:t>
      </w:r>
      <w:r>
        <w:t xml:space="preserve">par archétype — montrer</w:t>
      </w:r>
      <w:r>
        <w:t xml:space="preserve"> </w:t>
      </w:r>
      <w:r>
        <w:rPr>
          <w:i/>
          <w:iCs/>
        </w:rPr>
        <w:t xml:space="preserve">en quoi</w:t>
      </w:r>
      <w:r>
        <w:t xml:space="preserve"> </w:t>
      </w:r>
      <w:r>
        <w:t xml:space="preserve">MuSICA</w:t>
      </w:r>
      <w:r>
        <w:t xml:space="preserve"> </w:t>
      </w:r>
      <w:r>
        <w:t xml:space="preserve">est sensible à la structure {LAI, LAD, Hmax, fCover}, en faisant varier chaque</w:t>
      </w:r>
      <w:r>
        <w:t xml:space="preserve"> </w:t>
      </w:r>
      <w:r>
        <w:t xml:space="preserve">trait de</w:t>
      </w:r>
      <w:r>
        <w:t xml:space="preserve"> </w:t>
      </w:r>
      <w:r>
        <w:rPr>
          <w:b/>
          <w:bCs/>
        </w:rPr>
        <w:t xml:space="preserve">sa propre SD intra-cluster</w:t>
      </w:r>
      <w:r>
        <w:t xml:space="preserve"> </w:t>
      </w:r>
      <w:r>
        <w:t xml:space="preserve">; (3)</w:t>
      </w:r>
      <w:r>
        <w:t xml:space="preserve"> </w:t>
      </w:r>
      <w:r>
        <w:rPr>
          <w:b/>
          <w:bCs/>
        </w:rPr>
        <w:t xml:space="preserve">présentation</w:t>
      </w:r>
      <w:r>
        <w:t xml:space="preserve"> </w:t>
      </w:r>
      <w:r>
        <w:t xml:space="preserve">— éviter les</w:t>
      </w:r>
      <w:r>
        <w:t xml:space="preserve"> </w:t>
      </w:r>
      <w:r>
        <w:t xml:space="preserve">barplots, colorer par cluster, carte des archétypes, et une figure terrain pour</w:t>
      </w:r>
      <w:r>
        <w:t xml:space="preserve"> </w:t>
      </w:r>
      <w:r>
        <w:t xml:space="preserve">la conférence MEB.</w:t>
      </w:r>
    </w:p>
    <w:p>
      <w:pPr>
        <w:pStyle w:val="BodyText"/>
      </w:pPr>
      <w:r>
        <w:t xml:space="preserve">Le résultat d’ensemble se résume en une phrase :</w:t>
      </w:r>
      <w:r>
        <w:t xml:space="preserve"> </w:t>
      </w:r>
      <w:r>
        <w:rPr>
          <w:b/>
          <w:bCs/>
        </w:rPr>
        <w:t xml:space="preserve">la quantité de feuillage (LAI)</w:t>
      </w:r>
      <w:r>
        <w:rPr>
          <w:b/>
          <w:bCs/>
        </w:rPr>
        <w:t xml:space="preserve"> </w:t>
      </w:r>
      <w:r>
        <w:rPr>
          <w:b/>
          <w:bCs/>
        </w:rPr>
        <w:t xml:space="preserve">est le levier microclimatique de premier ordre dans MuSICA et sa sensibilité</w:t>
      </w:r>
      <w:r>
        <w:rPr>
          <w:b/>
          <w:bCs/>
        </w:rPr>
        <w:t xml:space="preserve"> </w:t>
      </w:r>
      <w:r>
        <w:rPr>
          <w:b/>
          <w:bCs/>
        </w:rPr>
        <w:t xml:space="preserve">s’érode du peuplement ouvert vers le dense (saturation) ; la hauteur (Hmax) est</w:t>
      </w:r>
      <w:r>
        <w:rPr>
          <w:b/>
          <w:bCs/>
        </w:rPr>
        <w:t xml:space="preserve"> </w:t>
      </w:r>
      <w:r>
        <w:rPr>
          <w:b/>
          <w:bCs/>
        </w:rPr>
        <w:t xml:space="preserve">quasi-inerte une fois LAI et couvert fixés ; et le classement des refuges comme</w:t>
      </w:r>
      <w:r>
        <w:rPr>
          <w:b/>
          <w:bCs/>
        </w:rPr>
        <w:t xml:space="preserve"> </w:t>
      </w:r>
      <w:r>
        <w:rPr>
          <w:b/>
          <w:bCs/>
        </w:rPr>
        <w:t xml:space="preserve">le gradient de tamponnement sont robustes au choix de la référence.</w:t>
      </w:r>
    </w:p>
    <w:p>
      <w:r>
        <w:pict>
          <v:rect style="width:0;height:1.5pt" o:hralign="center" o:hrstd="t" o:hr="t"/>
        </w:pict>
      </w:r>
    </w:p>
    <w:bookmarkEnd w:id="9"/>
    <w:bookmarkStart w:id="18" w:name="Xb2d85662ca8aec1c1ed308b06ef45dfe261a509"/>
    <w:p>
      <w:pPr>
        <w:pStyle w:val="Heading2"/>
      </w:pPr>
      <w:r>
        <w:t xml:space="preserve">§1 — Mise en place : typologie et variabilité structurale</w:t>
      </w:r>
    </w:p>
    <w:bookmarkStart w:id="13" w:name="X2d81957cbf98d2958b87b6f2a542fe126e92334"/>
    <w:p>
      <w:pPr>
        <w:pStyle w:val="Heading3"/>
      </w:pPr>
      <w:r>
        <w:t xml:space="preserve">Fig 1 — Carte des 53 placettes par archétype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Fig1" title="" id="11" name="Picture"/>
            <a:graphic>
              <a:graphicData uri="http://schemas.openxmlformats.org/drawingml/2006/picture">
                <pic:pic>
                  <pic:nvPicPr>
                    <pic:cNvPr descr="figures/Fig1_carte_archetyp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Coordonnées UTM 31N des placettes (geojson) coloriées par</w:t>
      </w:r>
      <w:r>
        <w:t xml:space="preserve"> </w:t>
      </w:r>
      <w:r>
        <w:t xml:space="preserve">l’archétype k-means (assignation gelée).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Pré-traitements.</w:t>
      </w:r>
      <w:r>
        <w:t xml:space="preserve"> </w:t>
      </w:r>
      <w:r>
        <w:t xml:space="preserve">53/60 placettes retenues (</w:t>
      </w:r>
      <w:r>
        <w:rPr>
          <w:rStyle w:val="VerbatimChar"/>
        </w:rPr>
        <w:t xml:space="preserve">ids_to_remove</w:t>
      </w:r>
      <w:r>
        <w:t xml:space="preserve"> </w:t>
      </w:r>
      <w:r>
        <w:t xml:space="preserve">exclus).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c1_archetype_map.R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Fig1_carte_archetypes.png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P1 ouvert (n=8), P2 (16), P3 (15), P4 dense (14), répartis sur</w:t>
      </w:r>
      <w:r>
        <w:t xml:space="preserve"> </w:t>
      </w:r>
      <w:r>
        <w:t xml:space="preserve">l’ensemble du massif sans ségrégation spatiale forte.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Interprétation.</w:t>
      </w:r>
      <w:r>
        <w:t xml:space="preserve"> </w:t>
      </w:r>
      <w:r>
        <w:t xml:space="preserve">Les archétypes ne sont pas un effet de localisation : ils</w:t>
      </w:r>
      <w:r>
        <w:t xml:space="preserve"> </w:t>
      </w:r>
      <w:r>
        <w:t xml:space="preserve">échantillonnent la structure à travers tout le site.</w:t>
      </w:r>
    </w:p>
    <w:bookmarkEnd w:id="13"/>
    <w:bookmarkStart w:id="17" w:name="X25ca85bceef4ce95f5344f654af035137681979"/>
    <w:p>
      <w:pPr>
        <w:pStyle w:val="Heading3"/>
      </w:pPr>
      <w:r>
        <w:t xml:space="preserve">Fig 2 — Variation des traits par cluster (+ VCI)</w:t>
      </w:r>
    </w:p>
    <w:p>
      <w:pPr>
        <w:pStyle w:val="CaptionedFigure"/>
      </w:pPr>
      <w:r>
        <w:drawing>
          <wp:inline>
            <wp:extent cx="5334000" cy="2042477"/>
            <wp:effectExtent b="0" l="0" r="0" t="0"/>
            <wp:docPr descr="Fig2" title="" id="15" name="Picture"/>
            <a:graphic>
              <a:graphicData uri="http://schemas.openxmlformats.org/drawingml/2006/picture">
                <pic:pic>
                  <pic:nvPicPr>
                    <pic:cNvPr descr="figures/Fig2_variation_traits_vci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Pour chaque trait, distribution intra-cluster en</w:t>
      </w:r>
      <w:r>
        <w:t xml:space="preserve"> </w:t>
      </w:r>
      <w:r>
        <w:rPr>
          <w:b/>
          <w:bCs/>
        </w:rPr>
        <w:t xml:space="preserve">z-score</w:t>
      </w:r>
      <w:r>
        <w:t xml:space="preserve"> </w:t>
      </w:r>
      <w:r>
        <w:t xml:space="preserve">(0 = moyenne globale) → lecture simultanée du</w:t>
      </w:r>
      <w:r>
        <w:t xml:space="preserve"> </w:t>
      </w:r>
      <w:r>
        <w:rPr>
          <w:b/>
          <w:bCs/>
        </w:rPr>
        <w:t xml:space="preserve">signe</w:t>
      </w:r>
      <w:r>
        <w:t xml:space="preserve"> </w:t>
      </w:r>
      <w:r>
        <w:t xml:space="preserve">(écart à la globale) et</w:t>
      </w:r>
      <w:r>
        <w:t xml:space="preserve"> </w:t>
      </w:r>
      <w:r>
        <w:t xml:space="preserve">de la</w:t>
      </w:r>
      <w:r>
        <w:t xml:space="preserve"> </w:t>
      </w:r>
      <w:r>
        <w:rPr>
          <w:b/>
          <w:bCs/>
        </w:rPr>
        <w:t xml:space="preserve">dispersion</w:t>
      </w:r>
      <w:r>
        <w:t xml:space="preserve">. Inclut le</w:t>
      </w:r>
      <w:r>
        <w:t xml:space="preserve"> </w:t>
      </w:r>
      <w:r>
        <w:rPr>
          <w:b/>
          <w:bCs/>
        </w:rPr>
        <w:t xml:space="preserve">VCI</w:t>
      </w:r>
      <w:r>
        <w:t xml:space="preserve"> </w:t>
      </w:r>
      <w:r>
        <w:t xml:space="preserve">(proxy de structure verticale, hors</w:t>
      </w:r>
      <w:r>
        <w:t xml:space="preserve"> </w:t>
      </w:r>
      <w:r>
        <w:t xml:space="preserve">entrée du modèle) et un scalaire LAD (hauteur du centre de masse relatif).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Pré-traitements.</w:t>
      </w:r>
      <w:r>
        <w:t xml:space="preserve"> </w:t>
      </w:r>
      <w:r>
        <w:t xml:space="preserve">400 pixels cLHS ; LAD moyenné par couche.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c1_trait_variation_cluster.R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tab_trait_variation_cluster.csv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LAI monotone (signe − en P1 → + en P4) ;</w:t>
      </w:r>
      <w:r>
        <w:t xml:space="preserve"> </w:t>
      </w:r>
      <w:r>
        <w:rPr>
          <w:b/>
          <w:bCs/>
        </w:rPr>
        <w:t xml:space="preserve">Hmax non-monotone</w:t>
      </w:r>
      <w:r>
        <w:t xml:space="preserve"> </w:t>
      </w:r>
      <w:r>
        <w:t xml:space="preserve">(P2 le plus court ; P1 à très forte dispersion, SD ≈ 10,7 m) ; fCover fortement</w:t>
      </w:r>
      <w:r>
        <w:t xml:space="preserve"> </w:t>
      </w:r>
      <w:r>
        <w:t xml:space="preserve">négatif et étalé seulement en P1 (saturé ≈ 1 ailleurs) ; VCI monotone ; LAD</w:t>
      </w:r>
      <w:r>
        <w:t xml:space="preserve"> </w:t>
      </w:r>
      <w:r>
        <w:t xml:space="preserve">top-heaviness quasi-plat.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Interprétation.</w:t>
      </w:r>
      <w:r>
        <w:t xml:space="preserve"> </w:t>
      </w:r>
      <w:r>
        <w:rPr>
          <w:b/>
          <w:bCs/>
        </w:rPr>
        <w:t xml:space="preserve">« La variation n’est pas la même par cluster, positive ou</w:t>
      </w:r>
      <w:r>
        <w:rPr>
          <w:b/>
          <w:bCs/>
        </w:rPr>
        <w:t xml:space="preserve"> </w:t>
      </w:r>
      <w:r>
        <w:rPr>
          <w:b/>
          <w:bCs/>
        </w:rPr>
        <w:t xml:space="preserve">négative »</w:t>
      </w:r>
      <w:r>
        <w:t xml:space="preserve"> </w:t>
      </w:r>
      <w:r>
        <w:t xml:space="preserve">: c’est ce qui justifie de perturber chaque trait de</w:t>
      </w:r>
      <w:r>
        <w:t xml:space="preserve"> </w:t>
      </w:r>
      <w:r>
        <w:rPr>
          <w:i/>
          <w:iCs/>
        </w:rPr>
        <w:t xml:space="preserve">sa propre SD</w:t>
      </w:r>
      <w:r>
        <w:t xml:space="preserve"> </w:t>
      </w:r>
      <w:r>
        <w:t xml:space="preserve">(Fig 6) plutôt qu’une SD commune. Le découplage hauteur–densité en P1 (Hmax très</w:t>
      </w:r>
      <w:r>
        <w:t xml:space="preserve"> </w:t>
      </w:r>
      <w:r>
        <w:t xml:space="preserve">variable à couvert faible) est la signature de l’ouvert.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référence-station-chs-41-15-m"/>
    <w:p>
      <w:pPr>
        <w:pStyle w:val="Heading2"/>
      </w:pPr>
      <w:r>
        <w:t xml:space="preserve">§2 — Référence station (CHS 41, 1,5 m)</w:t>
      </w:r>
    </w:p>
    <w:bookmarkStart w:id="22" w:name="X19f897de9609ace5ecd6b7a4519119675ced620"/>
    <w:p>
      <w:pPr>
        <w:pStyle w:val="Heading3"/>
      </w:pPr>
      <w:r>
        <w:t xml:space="preserve">Fig 3 — ΔTmax référencé à la station open-field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Fig3" title="" id="20" name="Picture"/>
            <a:graphic>
              <a:graphicData uri="http://schemas.openxmlformats.org/drawingml/2006/picture">
                <pic:pic>
                  <pic:nvPicPr>
                    <pic:cNvPr descr="figures/Fig3_deltatmax_statio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ΔTmax = max journalier (HOBO 1 m ou MuSICA 1 m) − max journalier</w:t>
      </w:r>
      <w:r>
        <w:t xml:space="preserve"> </w:t>
      </w:r>
      <w:r>
        <w:t xml:space="preserve">de la station CHS 41 (≥ 20 h/jour). Validation modèle–obs + comptage</w:t>
      </w:r>
      <w:r>
        <w:t xml:space="preserve"> </w:t>
      </w:r>
      <w:r>
        <w:t xml:space="preserve">amplificateurs (ΔTmax &gt; 0) par cluster.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Pré-traitements.</w:t>
      </w:r>
      <w:r>
        <w:t xml:space="preserve"> </w:t>
      </w:r>
      <w:r>
        <w:t xml:space="preserve">Re-référencement à partir des séries journalières</w:t>
      </w:r>
      <w:r>
        <w:t xml:space="preserve"> </w:t>
      </w:r>
      <w:r>
        <w:t xml:space="preserve">ERA5-référencées :</w:t>
      </w:r>
      <w:r>
        <w:t xml:space="preserve"> </w:t>
      </w:r>
      <w:r>
        <w:rPr>
          <w:rStyle w:val="VerbatimChar"/>
        </w:rPr>
        <w:t xml:space="preserve">ΔTmax_station = ΔTmax_ERA5 + (ERA5 − CHS41)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c1_deltatmax_station_ref.R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tab_deltatmax_station_ref.csv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Le changement de référence est un</w:t>
      </w:r>
      <w:r>
        <w:t xml:space="preserve"> </w:t>
      </w:r>
      <w:r>
        <w:rPr>
          <w:b/>
          <w:bCs/>
        </w:rPr>
        <w:t xml:space="preserve">offset uniforme exact de</w:t>
      </w:r>
      <w:r>
        <w:rPr>
          <w:b/>
          <w:bCs/>
        </w:rPr>
        <w:t xml:space="preserve"> </w:t>
      </w:r>
      <w:r>
        <w:rPr>
          <w:b/>
          <w:bCs/>
        </w:rPr>
        <w:t xml:space="preserve">+0,21 °C</w:t>
      </w:r>
      <w:r>
        <w:t xml:space="preserve"> </w:t>
      </w:r>
      <w:r>
        <w:t xml:space="preserve">(référence spatialement uniforme, agrégat par moyenne). Donc</w:t>
      </w:r>
      <w:r>
        <w:t xml:space="preserve"> </w:t>
      </w:r>
      <w:r>
        <w:t xml:space="preserve">r = 0,93, ρ = 0,86, biais modèle +0,92 °C, SD et</w:t>
      </w:r>
      <w:r>
        <w:t xml:space="preserve"> </w:t>
      </w:r>
      <w:r>
        <w:rPr>
          <w:b/>
          <w:bCs/>
        </w:rPr>
        <w:t xml:space="preserve">classement (ρ = 1,000)</w:t>
      </w:r>
      <w:r>
        <w:t xml:space="preserve"> </w:t>
      </w:r>
      <w:r>
        <w:t xml:space="preserve">sont</w:t>
      </w:r>
      <w:r>
        <w:t xml:space="preserve"> </w:t>
      </w:r>
      <w:r>
        <w:rPr>
          <w:i/>
          <w:iCs/>
        </w:rPr>
        <w:t xml:space="preserve">identiques</w:t>
      </w:r>
      <w:r>
        <w:t xml:space="preserve"> </w:t>
      </w:r>
      <w:r>
        <w:t xml:space="preserve">aux deux références ; seuls bougent le niveau absolu et le passage</w:t>
      </w:r>
      <w:r>
        <w:t xml:space="preserve"> </w:t>
      </w:r>
      <w:r>
        <w:t xml:space="preserve">à zéro. Amplificateurs observés 9 →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(P1=4, P2=5, P3=1, P4=1).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Interprétation.</w:t>
      </w:r>
      <w:r>
        <w:t xml:space="preserve"> </w:t>
      </w:r>
      <w:r>
        <w:rPr>
          <w:b/>
          <w:bCs/>
        </w:rPr>
        <w:t xml:space="preserve">L’amplification ne disparaît pas avec la vraie station —</w:t>
      </w:r>
      <w:r>
        <w:rPr>
          <w:b/>
          <w:bCs/>
        </w:rPr>
        <w:t xml:space="preserve"> </w:t>
      </w:r>
      <w:r>
        <w:rPr>
          <w:b/>
          <w:bCs/>
        </w:rPr>
        <w:t xml:space="preserve">elle grossit légèrement</w:t>
      </w:r>
      <w:r>
        <w:t xml:space="preserve"> </w:t>
      </w:r>
      <w:r>
        <w:t xml:space="preserve">(la station ouverte est plus froide qu’ERA5). La</w:t>
      </w:r>
      <w:r>
        <w:t xml:space="preserve"> </w:t>
      </w:r>
      <w:r>
        <w:t xml:space="preserve">« carte des refuges » est donc robuste au zéro de référence. Le doute résiduel</w:t>
      </w:r>
      <w:r>
        <w:t xml:space="preserve"> </w:t>
      </w:r>
      <w:r>
        <w:t xml:space="preserve">sur l’amplification de l’ouvert relève de la</w:t>
      </w:r>
      <w:r>
        <w:t xml:space="preserve"> </w:t>
      </w:r>
      <w:r>
        <w:rPr>
          <w:b/>
          <w:bCs/>
        </w:rPr>
        <w:t xml:space="preserve">hauteur</w:t>
      </w:r>
      <w:r>
        <w:t xml:space="preserve"> </w:t>
      </w:r>
      <w:r>
        <w:t xml:space="preserve">(HOBO 1 m vs station</w:t>
      </w:r>
      <w:r>
        <w:t xml:space="preserve"> </w:t>
      </w:r>
      <w:r>
        <w:t xml:space="preserve">1,5 m : profil super-adiabatique diurne → 1 m plus chaud par construction) et de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surchauffe des capteurs en trouée</w:t>
      </w:r>
      <w:r>
        <w:t xml:space="preserve"> </w:t>
      </w:r>
      <w:r>
        <w:t xml:space="preserve">(caveat Gril et al.), pas du choix de</w:t>
      </w:r>
      <w:r>
        <w:t xml:space="preserve"> </w:t>
      </w:r>
      <w:r>
        <w:t xml:space="preserve">référence — matière à Discussion.</w:t>
      </w:r>
    </w:p>
    <w:bookmarkEnd w:id="22"/>
    <w:bookmarkStart w:id="26" w:name="fig-4-annexe-biais-forçage-era5-station"/>
    <w:p>
      <w:pPr>
        <w:pStyle w:val="Heading3"/>
      </w:pPr>
      <w:r>
        <w:t xml:space="preserve">Fig 4 — Annexe : biais forçage ERA5 ↔ station</w:t>
      </w:r>
    </w:p>
    <w:p>
      <w:pPr>
        <w:pStyle w:val="CaptionedFigure"/>
      </w:pPr>
      <w:r>
        <w:drawing>
          <wp:inline>
            <wp:extent cx="5334000" cy="2228157"/>
            <wp:effectExtent b="0" l="0" r="0" t="0"/>
            <wp:docPr descr="Fig4" title="" id="24" name="Picture"/>
            <a:graphic>
              <a:graphicData uri="http://schemas.openxmlformats.org/drawingml/2006/picture">
                <pic:pic>
                  <pic:nvPicPr>
                    <pic:cNvPr descr="figures/Fig4_biais_forcage_st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ERA5 (forçage aloft) vs CHS 41 (1,5 m) au max journalier, été 2021.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c1_bias_origin_chs41.R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tab_bias_origin_chs41.csv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ERA5 − CHS 41 =</w:t>
      </w:r>
      <w:r>
        <w:t xml:space="preserve"> </w:t>
      </w:r>
      <w:r>
        <w:rPr>
          <w:b/>
          <w:bCs/>
        </w:rPr>
        <w:t xml:space="preserve">+0,21 °C</w:t>
      </w:r>
      <w:r>
        <w:t xml:space="preserve"> </w:t>
      </w:r>
      <w:r>
        <w:t xml:space="preserve">(SD 1,03 ; IC95 [−1,65 ; +2,40] ;</w:t>
      </w:r>
      <w:r>
        <w:t xml:space="preserve"> </w:t>
      </w:r>
      <w:r>
        <w:t xml:space="preserve">n = 122 j) ; pente faiblement conditionnelle (−0,08, p = 0,001).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Interprétation.</w:t>
      </w:r>
      <w:r>
        <w:t xml:space="preserve"> </w:t>
      </w:r>
      <w:r>
        <w:t xml:space="preserve">Le forçage tourne légèrement chaud vs la station ; c’est</w:t>
      </w:r>
      <w:r>
        <w:t xml:space="preserve"> </w:t>
      </w:r>
      <w:r>
        <w:t xml:space="preserve">exactement l’offset de la Fig 3. N’explique qu’≈ 24 % du biais modèle +0,9 °C →</w:t>
      </w:r>
      <w:r>
        <w:t xml:space="preserve"> </w:t>
      </w:r>
      <w:r>
        <w:t xml:space="preserve">le reste est interne à la canopée MuSICA.</w:t>
      </w:r>
    </w:p>
    <w:bookmarkEnd w:id="26"/>
    <w:bookmarkStart w:id="30" w:name="X329b61e518b9237ba352b8d33873aa5ceed7d88"/>
    <w:p>
      <w:pPr>
        <w:pStyle w:val="Heading3"/>
      </w:pPr>
      <w:r>
        <w:t xml:space="preserve">Fig 5 — Pentes de tamponnement mesurées par cluster</w:t>
      </w:r>
    </w:p>
    <w:p>
      <w:pPr>
        <w:pStyle w:val="CaptionedFigure"/>
      </w:pPr>
      <w:r>
        <w:drawing>
          <wp:inline>
            <wp:extent cx="5334000" cy="2521527"/>
            <wp:effectExtent b="0" l="0" r="0" t="0"/>
            <wp:docPr descr="Fig5" title="" id="28" name="Picture"/>
            <a:graphic>
              <a:graphicData uri="http://schemas.openxmlformats.org/drawingml/2006/picture">
                <pic:pic>
                  <pic:nvPicPr>
                    <pic:cNvPr descr="figures/Fig5_pentes_tamponneme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β = pente horaire</w:t>
      </w:r>
      <w:r>
        <w:t xml:space="preserve"> </w:t>
      </w:r>
      <w:r>
        <w:rPr>
          <w:rStyle w:val="VerbatimChar"/>
        </w:rPr>
        <w:t xml:space="preserve">lm(T_micro_HOBO ~ T_macro)</w:t>
      </w:r>
      <w:r>
        <w:t xml:space="preserve"> </w:t>
      </w:r>
      <w:r>
        <w:t xml:space="preserve">par placette</w:t>
      </w:r>
      <w:r>
        <w:t xml:space="preserve"> </w:t>
      </w:r>
      <w:r>
        <w:t xml:space="preserve">(convention canonique du chapitre), avec macro = CHS 41 ; boxplot par cluster.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Pré-traitements.</w:t>
      </w:r>
      <w:r>
        <w:t xml:space="preserve"> </w:t>
      </w:r>
      <w:r>
        <w:t xml:space="preserve">HOBO horaire (moyenne h), CHS 41 horaire (TU) ; reconstruction</w:t>
      </w:r>
      <w:r>
        <w:t xml:space="preserve"> </w:t>
      </w:r>
      <w:r>
        <w:t xml:space="preserve">validée (β vs ERA5 retombe exactement sur</w:t>
      </w:r>
      <w:r>
        <w:t xml:space="preserve"> </w:t>
      </w:r>
      <w:r>
        <w:rPr>
          <w:rStyle w:val="VerbatimChar"/>
        </w:rPr>
        <w:t xml:space="preserve">obs_slope</w:t>
      </w:r>
      <w:r>
        <w:t xml:space="preserve">, r = 1,000).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c1_slope_station_ref.R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tab_slope_station_ref.csv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β médian P1</w:t>
      </w:r>
      <w:r>
        <w:t xml:space="preserve"> </w:t>
      </w:r>
      <w:r>
        <w:rPr>
          <w:b/>
          <w:bCs/>
        </w:rPr>
        <w:t xml:space="preserve">1,01</w:t>
      </w:r>
      <w:r>
        <w:t xml:space="preserve"> </w:t>
      </w:r>
      <w:r>
        <w:t xml:space="preserve">→ P2 0,92 → P3 0,81 → P4</w:t>
      </w:r>
      <w:r>
        <w:t xml:space="preserve"> </w:t>
      </w:r>
      <w:r>
        <w:rPr>
          <w:b/>
          <w:bCs/>
        </w:rPr>
        <w:t xml:space="preserve">0,75</w:t>
      </w:r>
      <w:r>
        <w:t xml:space="preserve"> </w:t>
      </w:r>
      <w:r>
        <w:t xml:space="preserve">(β &lt; 1 = tamponnement). Le passage forçage → station ne change quasi rien</w:t>
      </w:r>
      <w:r>
        <w:t xml:space="preserve"> </w:t>
      </w:r>
      <w:r>
        <w:t xml:space="preserve">(Δβ médian −0,003) : ERA5 et CHS 41 sont très corrélés à l’heure.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Interprétation.</w:t>
      </w:r>
      <w:r>
        <w:t xml:space="preserve"> </w:t>
      </w:r>
      <w:r>
        <w:t xml:space="preserve">Gradient de tamponnement net et</w:t>
      </w:r>
      <w:r>
        <w:t xml:space="preserve"> </w:t>
      </w:r>
      <w:r>
        <w:rPr>
          <w:b/>
          <w:bCs/>
        </w:rPr>
        <w:t xml:space="preserve">robuste à la référence</w:t>
      </w:r>
      <w:r>
        <w:t xml:space="preserve"> </w:t>
      </w:r>
      <w:r>
        <w:t xml:space="preserve">:</w:t>
      </w:r>
      <w:r>
        <w:t xml:space="preserve"> </w:t>
      </w:r>
      <w:r>
        <w:t xml:space="preserve">l’ouvert suit l’open-field, le dense écrête. Deuxième métrique (après ΔTmax)</w:t>
      </w:r>
      <w:r>
        <w:t xml:space="preserve"> </w:t>
      </w:r>
      <w:r>
        <w:t xml:space="preserve">insensible au choix de référence → robustesse forte à présenter.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4" w:name="X2119c555a08ead8ec6358a75229b949603daa51"/>
    <w:p>
      <w:pPr>
        <w:pStyle w:val="Heading2"/>
      </w:pPr>
      <w:r>
        <w:t xml:space="preserve">§3 — Sensibilité du modèle à la structure (cœur de #13)</w:t>
      </w:r>
    </w:p>
    <w:p>
      <w:pPr>
        <w:pStyle w:val="FirstParagraph"/>
      </w:pPr>
      <w:r>
        <w:rPr>
          <w:i/>
          <w:iCs/>
        </w:rPr>
        <w:t xml:space="preserve">Scénario nouveau : par archétype, on part du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centroïde</w:t>
      </w:r>
      <w:r>
        <w:rPr>
          <w:i/>
          <w:iCs/>
        </w:rPr>
        <w:t xml:space="preserve"> </w:t>
      </w:r>
      <w:r>
        <w:rPr>
          <w:i/>
          <w:iCs/>
        </w:rPr>
        <w:t xml:space="preserve">cLHS (moyennes LAI,</w:t>
      </w:r>
      <w:r>
        <w:rPr>
          <w:i/>
          <w:iCs/>
        </w:rPr>
        <w:t xml:space="preserve"> </w:t>
      </w:r>
      <w:r>
        <w:rPr>
          <w:i/>
          <w:iCs/>
        </w:rPr>
        <w:t xml:space="preserve">Hmax, fCover ; profil LAD moyen du cluster) et on fait varier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 trait à la fois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 ± sa SD intra-cluster</w:t>
      </w:r>
      <w:r>
        <w:rPr>
          <w:i/>
          <w:iCs/>
        </w:rPr>
        <w:t xml:space="preserve">, les autres figés (28 sims, v3.2.0). Le centroïde a été</w:t>
      </w:r>
      <w:r>
        <w:rPr>
          <w:i/>
          <w:iCs/>
        </w:rPr>
        <w:t xml:space="preserve"> </w:t>
      </w:r>
      <w:r>
        <w:rPr>
          <w:i/>
          <w:iCs/>
        </w:rPr>
        <w:t xml:space="preserve">validé : sa base ΔTmax colle à la moyenne par-plot (P2/P3/P4 ; P1 +0,24 °C, normal</w:t>
      </w:r>
      <w:r>
        <w:rPr>
          <w:i/>
          <w:iCs/>
        </w:rPr>
        <w:t xml:space="preserve"> </w:t>
      </w:r>
      <w:r>
        <w:rPr>
          <w:i/>
          <w:iCs/>
        </w:rPr>
        <w:t xml:space="preserve">pour l’archétype ouvert).</w:t>
      </w:r>
    </w:p>
    <w:bookmarkStart w:id="35" w:name="Xe9e0cc5cb381ea1cc3d8601d570d4eef17d4faf"/>
    <w:p>
      <w:pPr>
        <w:pStyle w:val="Heading3"/>
      </w:pPr>
      <w:r>
        <w:t xml:space="preserve">Fig 6 — Sensibilité de ΔTmax à ±1 SD intra-cluster</w:t>
      </w:r>
    </w:p>
    <w:p>
      <w:pPr>
        <w:pStyle w:val="CaptionedFigure"/>
      </w:pPr>
      <w:r>
        <w:drawing>
          <wp:inline>
            <wp:extent cx="5334000" cy="2051538"/>
            <wp:effectExtent b="0" l="0" r="0" t="0"/>
            <wp:docPr descr="Fig6" title="" id="33" name="Picture"/>
            <a:graphic>
              <a:graphicData uri="http://schemas.openxmlformats.org/drawingml/2006/picture">
                <pic:pic>
                  <pic:nvPicPr>
                    <pic:cNvPr descr="figures/Fig6_sensibilite_oat_s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Fig6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ΔTmax (1 m, vs station) du centroïde, et son excursion quand un</w:t>
      </w:r>
      <w:r>
        <w:t xml:space="preserve"> </w:t>
      </w:r>
      <w:r>
        <w:t xml:space="preserve">trait bouge de ± sa SD. Panel (b) : amplitude de réponse (span) le long du gradient.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c1_oat_sd_cluster.R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c1_oat_sensitivity_figure.R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tab_oat_sd_cluster.csv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tab_oat_sensitivity.csv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Base ΔTmax : P1</w:t>
      </w:r>
      <w:r>
        <w:t xml:space="preserve"> </w:t>
      </w:r>
      <w:r>
        <w:rPr>
          <w:b/>
          <w:bCs/>
        </w:rPr>
        <w:t xml:space="preserve">+2,03</w:t>
      </w:r>
      <w:r>
        <w:t xml:space="preserve"> </w:t>
      </w:r>
      <w:r>
        <w:t xml:space="preserve">(amplifie) → P4</w:t>
      </w:r>
      <w:r>
        <w:t xml:space="preserve"> </w:t>
      </w:r>
      <w:r>
        <w:rPr>
          <w:b/>
          <w:bCs/>
        </w:rPr>
        <w:t xml:space="preserve">−0,85</w:t>
      </w:r>
      <w:r>
        <w:t xml:space="preserve"> </w:t>
      </w:r>
      <w:r>
        <w:t xml:space="preserve">(tamponne).</w:t>
      </w:r>
      <w:r>
        <w:t xml:space="preserve"> </w:t>
      </w:r>
      <w:r>
        <w:t xml:space="preserve">Span LAI</w:t>
      </w:r>
      <w:r>
        <w:t xml:space="preserve"> </w:t>
      </w:r>
      <w:r>
        <w:rPr>
          <w:b/>
          <w:bCs/>
        </w:rPr>
        <w:t xml:space="preserve">1,06</w:t>
      </w:r>
      <w:r>
        <w:t xml:space="preserve"> </w:t>
      </w:r>
      <w:r>
        <w:t xml:space="preserve">(P1) → 0,54 → 0,37 →</w:t>
      </w:r>
      <w:r>
        <w:t xml:space="preserve"> </w:t>
      </w:r>
      <w:r>
        <w:rPr>
          <w:b/>
          <w:bCs/>
        </w:rPr>
        <w:t xml:space="preserve">0,24</w:t>
      </w:r>
      <w:r>
        <w:t xml:space="preserve"> </w:t>
      </w:r>
      <w:r>
        <w:t xml:space="preserve">(P4) ; span Hmax 0,02–0,14</w:t>
      </w:r>
      <w:r>
        <w:t xml:space="preserve"> </w:t>
      </w:r>
      <w:r>
        <w:t xml:space="preserve">(quasi-nul) ; span fCover 0,46 (P1) → 0,01 (P4).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Interprétation.</w:t>
      </w:r>
      <w:r>
        <w:t xml:space="preserve"> </w:t>
      </w:r>
      <w:r>
        <w:rPr>
          <w:b/>
          <w:bCs/>
        </w:rPr>
        <w:t xml:space="preserve">LAI domine partout et sature vers le dense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Hmax est</w:t>
      </w:r>
      <w:r>
        <w:rPr>
          <w:b/>
          <w:bCs/>
        </w:rPr>
        <w:t xml:space="preserve"> </w:t>
      </w:r>
      <w:r>
        <w:rPr>
          <w:b/>
          <w:bCs/>
        </w:rPr>
        <w:t xml:space="preserve">quasi-inerte même là où il varie le plus</w:t>
      </w:r>
      <w:r>
        <w:t xml:space="preserve"> </w:t>
      </w:r>
      <w:r>
        <w:t xml:space="preserve">(SD 10,7 m en P1 → 0,07 °C) ;</w:t>
      </w:r>
      <w:r>
        <w:t xml:space="preserve"> </w:t>
      </w:r>
      <w:r>
        <w:rPr>
          <w:b/>
          <w:bCs/>
        </w:rPr>
        <w:t xml:space="preserve">fCover</w:t>
      </w:r>
      <w:r>
        <w:rPr>
          <w:b/>
          <w:bCs/>
        </w:rPr>
        <w:t xml:space="preserve"> </w:t>
      </w:r>
      <w:r>
        <w:rPr>
          <w:b/>
          <w:bCs/>
        </w:rPr>
        <w:t xml:space="preserve">ne compte qu’à l’ouvert</w:t>
      </w:r>
      <w:r>
        <w:t xml:space="preserve">. L’inertie de Hmax est</w:t>
      </w:r>
      <w:r>
        <w:t xml:space="preserve"> </w:t>
      </w:r>
      <w:r>
        <w:rPr>
          <w:i/>
          <w:iCs/>
        </w:rPr>
        <w:t xml:space="preserve">conditionnelle</w:t>
      </w:r>
      <w:r>
        <w:t xml:space="preserve"> </w:t>
      </w:r>
      <w:r>
        <w:t xml:space="preserve">(effet marginal</w:t>
      </w:r>
      <w:r>
        <w:t xml:space="preserve"> </w:t>
      </w:r>
      <w:r>
        <w:t xml:space="preserve">à LAI et couvert fixés) : étirer la même surface foliaire sur une canopée plus</w:t>
      </w:r>
      <w:r>
        <w:t xml:space="preserve"> </w:t>
      </w:r>
      <w:r>
        <w:t xml:space="preserve">haute ne change pas le climat à 1 m. Cohérent avec φ_LAD ≈ 0.</w:t>
      </w:r>
    </w:p>
    <w:bookmarkEnd w:id="35"/>
    <w:bookmarkStart w:id="39" w:name="X8ec117e8839ab02d427d58b68f94ba3b1864ece"/>
    <w:p>
      <w:pPr>
        <w:pStyle w:val="Heading3"/>
      </w:pPr>
      <w:r>
        <w:t xml:space="preserve">Fig 7 — Delta/delta : ΔTmax par unité de trait (global ET clusters)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7" title="" id="37" name="Picture"/>
            <a:graphic>
              <a:graphicData uri="http://schemas.openxmlformats.org/drawingml/2006/picture">
                <pic:pic>
                  <pic:nvPicPr>
                    <pic:cNvPr descr="figures/Fig7_deltadelt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Pente locale</w:t>
      </w:r>
      <w:r>
        <w:t xml:space="preserve"> </w:t>
      </w:r>
      <w:r>
        <w:rPr>
          <w:rStyle w:val="VerbatimChar"/>
        </w:rPr>
        <w:t xml:space="preserve">ΔTmax/Δtrait = (ΔTmax(+SD) − ΔTmax(−SD))/(2·SD)</w:t>
      </w:r>
      <w:r>
        <w:t xml:space="preserve"> </w:t>
      </w:r>
      <w:r>
        <w:t xml:space="preserve">en</w:t>
      </w:r>
      <w:r>
        <w:t xml:space="preserve"> </w:t>
      </w:r>
      <w:r>
        <w:t xml:space="preserve">unité native,</w:t>
      </w:r>
      <w:r>
        <w:t xml:space="preserve"> </w:t>
      </w:r>
      <w:r>
        <w:rPr>
          <w:b/>
          <w:bCs/>
        </w:rPr>
        <w:t xml:space="preserve">sans GLM</w:t>
      </w:r>
      <w:r>
        <w:t xml:space="preserve"> </w:t>
      </w:r>
      <w:r>
        <w:t xml:space="preserve">; point global (centroïde des 400, LAD moyen) +</w:t>
      </w:r>
      <w:r>
        <w:t xml:space="preserve"> </w:t>
      </w:r>
      <w:r>
        <w:t xml:space="preserve">4 clusters. Lollipop (pas de barplot).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c1_deltadelta_global.R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tab_deltadelta.csv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Global : LAI</w:t>
      </w:r>
      <w:r>
        <w:t xml:space="preserve"> </w:t>
      </w:r>
      <w:r>
        <w:rPr>
          <w:b/>
          <w:bCs/>
        </w:rPr>
        <w:t xml:space="preserve">−0,18 °C/LAI</w:t>
      </w:r>
      <w:r>
        <w:t xml:space="preserve">, Hmax ≈ 0, fCover −1,64/unité</w:t>
      </w:r>
      <w:r>
        <w:t xml:space="preserve"> </w:t>
      </w:r>
      <w:r>
        <w:t xml:space="preserve">(−0,16 par +0,1). Par cluster, LAI : −0,38 (P1) → −0,09 (P4).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Interprétation.</w:t>
      </w:r>
      <w:r>
        <w:t xml:space="preserve"> </w:t>
      </w:r>
      <w:r>
        <w:t xml:space="preserve">La sensibilité par unité, à l’échelle globale comme par</w:t>
      </w:r>
      <w:r>
        <w:t xml:space="preserve"> </w:t>
      </w:r>
      <w:r>
        <w:t xml:space="preserve">archétype, confirme la hiérarchie LAI ≫ fCover ≫ Hmax et l’érosion vers le dense.</w:t>
      </w:r>
    </w:p>
    <w:bookmarkEnd w:id="39"/>
    <w:bookmarkStart w:id="43" w:name="Xbf509d66dbe3409eb02ec6b0eb5cb891242e337"/>
    <w:p>
      <w:pPr>
        <w:pStyle w:val="Heading3"/>
      </w:pPr>
      <w:r>
        <w:t xml:space="preserve">Fig 8 — Distribution de sensibilité par-plot (violons)</w:t>
      </w:r>
    </w:p>
    <w:p>
      <w:pPr>
        <w:pStyle w:val="CaptionedFigure"/>
      </w:pPr>
      <w:r>
        <w:drawing>
          <wp:inline>
            <wp:extent cx="5334000" cy="2042477"/>
            <wp:effectExtent b="0" l="0" r="0" t="0"/>
            <wp:docPr descr="Fig8" title="" id="41" name="Picture"/>
            <a:graphic>
              <a:graphicData uri="http://schemas.openxmlformats.org/drawingml/2006/picture">
                <pic:pic>
                  <pic:nvPicPr>
                    <pic:cNvPr descr="figures/Fig8_violons_sensibilit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Fig8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Distribution sur les 400 pixels de la réponse ΔTmax par +incrément</w:t>
      </w:r>
      <w:r>
        <w:t xml:space="preserve"> </w:t>
      </w:r>
      <w:r>
        <w:t xml:space="preserve">(LAD réel par plot), par trait et cluster ;</w:t>
      </w:r>
      <w:r>
        <w:t xml:space="preserve"> </w:t>
      </w:r>
      <w:r>
        <w:rPr>
          <w:b/>
          <w:bCs/>
        </w:rPr>
        <w:t xml:space="preserve">violons remplaçant les barplots</w:t>
      </w:r>
      <w:r>
        <w:t xml:space="preserve"> </w:t>
      </w:r>
      <w:r>
        <w:t xml:space="preserve">d’importance. Même unité que Fig 6/7 (LAI par +1).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c1_sensitivity_violins.R</w:t>
      </w:r>
      <w:r>
        <w:t xml:space="preserve"> </w:t>
      </w:r>
      <w:r>
        <w:t xml:space="preserve">(←</w:t>
      </w:r>
      <w:r>
        <w:t xml:space="preserve"> </w:t>
      </w:r>
      <w:r>
        <w:rPr>
          <w:rStyle w:val="VerbatimChar"/>
        </w:rPr>
        <w:t xml:space="preserve">sensitivity_perplot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Médiane = ce que résumaient les barres ; le violon ajoute la</w:t>
      </w:r>
      <w:r>
        <w:t xml:space="preserve"> </w:t>
      </w:r>
      <w:r>
        <w:t xml:space="preserve">dispersion et le signe. P1 large (ouvert, variable) → P4 resserré.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Interprétation.</w:t>
      </w:r>
      <w:r>
        <w:t xml:space="preserve"> </w:t>
      </w:r>
      <w:r>
        <w:t xml:space="preserve">Vue</w:t>
      </w:r>
      <w:r>
        <w:t xml:space="preserve"> </w:t>
      </w:r>
      <w:r>
        <w:rPr>
          <w:b/>
          <w:bCs/>
        </w:rPr>
        <w:t xml:space="preserve">complémentaire</w:t>
      </w:r>
      <w:r>
        <w:t xml:space="preserve"> </w:t>
      </w:r>
      <w:r>
        <w:t xml:space="preserve">de Fig 6 (pente ±SD centroïde) : même</w:t>
      </w:r>
      <w:r>
        <w:t xml:space="preserve"> </w:t>
      </w:r>
      <w:r>
        <w:t xml:space="preserve">unité, estimateur différent (par-plot, unilatéral, LAD réel). L’écart en P1</w:t>
      </w:r>
      <w:r>
        <w:t xml:space="preserve"> </w:t>
      </w:r>
      <w:r>
        <w:t xml:space="preserve">(−0,23 vs −0,38) est de la</w:t>
      </w:r>
      <w:r>
        <w:t xml:space="preserve"> </w:t>
      </w:r>
      <w:r>
        <w:rPr>
          <w:b/>
          <w:bCs/>
        </w:rPr>
        <w:t xml:space="preserve">non-linéarité</w:t>
      </w:r>
      <w:r>
        <w:t xml:space="preserve">, pas une incohérence.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mesure-terrain-conférence-meb"/>
    <w:p>
      <w:pPr>
        <w:pStyle w:val="Heading2"/>
      </w:pPr>
      <w:r>
        <w:t xml:space="preserve">§4 — Mesure terrain (conférence MEB)</w:t>
      </w:r>
    </w:p>
    <w:bookmarkStart w:id="48" w:name="fig-9-dispositif-tamponnement-mesuré"/>
    <w:p>
      <w:pPr>
        <w:pStyle w:val="Heading3"/>
      </w:pPr>
      <w:r>
        <w:t xml:space="preserve">Fig 9 — Dispositif + tamponnement mesuré</w:t>
      </w:r>
    </w:p>
    <w:p>
      <w:pPr>
        <w:pStyle w:val="CaptionedFigure"/>
      </w:pPr>
      <w:r>
        <w:drawing>
          <wp:inline>
            <wp:extent cx="5334000" cy="2222499"/>
            <wp:effectExtent b="0" l="0" r="0" t="0"/>
            <wp:docPr descr="Fig9" title="" id="46" name="Picture"/>
            <a:graphic>
              <a:graphicData uri="http://schemas.openxmlformats.org/drawingml/2006/picture">
                <pic:pic>
                  <pic:nvPicPr>
                    <pic:cNvPr descr="figures/Fig9_meb_terra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Méthodes.</w:t>
      </w:r>
      <w:r>
        <w:t xml:space="preserve"> </w:t>
      </w:r>
      <w:r>
        <w:t xml:space="preserve">(a) Schéma du dispositif (HOBO 1 m sous capuchon blanc anti-radiation</w:t>
      </w:r>
      <w:r>
        <w:t xml:space="preserve"> </w:t>
      </w:r>
      <w:r>
        <w:t xml:space="preserve">en sous-bois vs station 1,5 m en prairie). (b) Série temporelle micro vs macro</w:t>
      </w:r>
      <w:r>
        <w:t xml:space="preserve"> </w:t>
      </w:r>
      <w:r>
        <w:t xml:space="preserve">sur une vague de chaleur (12–16/08/2021),</w:t>
      </w:r>
      <w:r>
        <w:t xml:space="preserve"> </w:t>
      </w:r>
      <w:r>
        <w:rPr>
          <w:b/>
          <w:bCs/>
        </w:rPr>
        <w:t xml:space="preserve">exemples contrastés</w:t>
      </w:r>
      <w:r>
        <w:t xml:space="preserve"> </w:t>
      </w:r>
      <w:r>
        <w:t xml:space="preserve">(placette la</w:t>
      </w:r>
      <w:r>
        <w:t xml:space="preserve"> </w:t>
      </w:r>
      <w:r>
        <w:t xml:space="preserve">plus ouverte vs la plus dense).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Données/figure.</w:t>
      </w:r>
      <w:r>
        <w:t xml:space="preserve"> </w:t>
      </w:r>
      <w:r>
        <w:rPr>
          <w:rStyle w:val="VerbatimChar"/>
        </w:rPr>
        <w:t xml:space="preserve">c1_meb_figure.R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Fig9_meb_terrain.png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Description.</w:t>
      </w:r>
      <w:r>
        <w:t xml:space="preserve"> </w:t>
      </w:r>
      <w:r>
        <w:t xml:space="preserve">Le sous-bois dense écrête les pics diurnes que l’ouvert et la</w:t>
      </w:r>
      <w:r>
        <w:t xml:space="preserve"> </w:t>
      </w:r>
      <w:r>
        <w:t xml:space="preserve">station ne tamponnent pas.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Interprétation.</w:t>
      </w:r>
      <w:r>
        <w:t xml:space="preserve"> </w:t>
      </w:r>
      <w:r>
        <w:t xml:space="preserve">Figure d’instrumentation + signal pour l’article MEB ; pose</w:t>
      </w:r>
      <w:r>
        <w:t xml:space="preserve"> </w:t>
      </w:r>
      <w:r>
        <w:t xml:space="preserve">l’écart de hauteur (1 m / 1,5 m) et le tamponnement mesuré.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ynthèse-3-punchlines"/>
    <w:p>
      <w:pPr>
        <w:pStyle w:val="Heading2"/>
      </w:pPr>
      <w:r>
        <w:t xml:space="preserve">Synthèse — 3 punchlines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« Le classement des refuges ne dépend pas du zéro arbitraire du forçage. »</w:t>
      </w:r>
      <w:r>
        <w:t xml:space="preserve"> </w:t>
      </w:r>
      <w:r>
        <w:t xml:space="preserve">Passer à la vraie station (1,5 m) ne change ni le rang inter-plots (ρ = 1,000),</w:t>
      </w:r>
      <w:r>
        <w:t xml:space="preserve"> </w:t>
      </w:r>
      <w:r>
        <w:t xml:space="preserve">ni les pentes de tamponnement (Δβ = −0,003) : seul le niveau absolu glisse de</w:t>
      </w:r>
      <w:r>
        <w:t xml:space="preserve"> </w:t>
      </w:r>
      <w:r>
        <w:t xml:space="preserve">+0,21 °C. Robustesse, pas résultat nul.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« MuSICA voit la structure par la quantité de feuillage, et de moins en moins</w:t>
      </w:r>
      <w:r>
        <w:rPr>
          <w:b/>
          <w:bCs/>
        </w:rPr>
        <w:t xml:space="preserve"> </w:t>
      </w:r>
      <w:r>
        <w:rPr>
          <w:b/>
          <w:bCs/>
        </w:rPr>
        <w:t xml:space="preserve">quand on densifie. »</w:t>
      </w:r>
      <w:r>
        <w:t xml:space="preserve"> </w:t>
      </w:r>
      <w:r>
        <w:t xml:space="preserve">LAI est le levier dominant (span 1,06 °C en P1) et il</w:t>
      </w:r>
      <w:r>
        <w:t xml:space="preserve"> </w:t>
      </w:r>
      <w:r>
        <w:t xml:space="preserve">sature vers le dense (0,24 °C en P4) ; Hmax est quasi-inerte à LAI/couvert fixés ;</w:t>
      </w:r>
      <w:r>
        <w:t xml:space="preserve"> </w:t>
      </w:r>
      <w:r>
        <w:t xml:space="preserve">fCover ne pèse qu’à l’ouvert. La hauteur la plus variable (P1) est la moins</w:t>
      </w:r>
      <w:r>
        <w:t xml:space="preserve"> </w:t>
      </w:r>
      <w:r>
        <w:t xml:space="preserve">influente.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« L’amplification de l’ouvert n’est pas un artefact de référence — mais sa</w:t>
      </w:r>
      <w:r>
        <w:rPr>
          <w:b/>
          <w:bCs/>
        </w:rPr>
        <w:t xml:space="preserve"> </w:t>
      </w:r>
      <w:r>
        <w:rPr>
          <w:b/>
          <w:bCs/>
        </w:rPr>
        <w:t xml:space="preserve">réalité reste à discuter. »</w:t>
      </w:r>
      <w:r>
        <w:t xml:space="preserve"> </w:t>
      </w:r>
      <w:r>
        <w:t xml:space="preserve">Contre la station ouverte elle</w:t>
      </w:r>
      <w:r>
        <w:t xml:space="preserve"> </w:t>
      </w:r>
      <w:r>
        <w:rPr>
          <w:i/>
          <w:iCs/>
        </w:rPr>
        <w:t xml:space="preserve">grossit</w:t>
      </w:r>
      <w:r>
        <w:t xml:space="preserve"> </w:t>
      </w:r>
      <w:r>
        <w:t xml:space="preserve">(9 → 11 placettes) ; le doute porte sur la hauteur (1 m vs 1,5 m, couche</w:t>
      </w:r>
      <w:r>
        <w:t xml:space="preserve"> </w:t>
      </w:r>
      <w:r>
        <w:t xml:space="preserve">super-adiabatique) et la surchauffe des capteurs en trouée, pas sur le forçage.</w:t>
      </w:r>
      <w:r>
        <w:t xml:space="preserve"> </w:t>
      </w:r>
      <w:r>
        <w:t xml:space="preserve">Et le modèle, lui,</w:t>
      </w:r>
      <w:r>
        <w:t xml:space="preserve"> </w:t>
      </w:r>
      <w:r>
        <w:rPr>
          <w:b/>
          <w:bCs/>
        </w:rPr>
        <w:t xml:space="preserve">sur-amplifie</w:t>
      </w:r>
      <w:r>
        <w:t xml:space="preserve"> </w:t>
      </w:r>
      <w:r>
        <w:t xml:space="preserve">(28 → 37 placettes simulées contre 11</w:t>
      </w:r>
      <w:r>
        <w:t xml:space="preserve"> </w:t>
      </w:r>
      <w:r>
        <w:t xml:space="preserve">observées) — c’est la vraie limite à porter en Discussion.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2026-06-26T13:27:34Z</dcterms:created>
  <dcterms:modified xsi:type="dcterms:W3CDTF">2026-06-26T13:27:34Z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