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AFB922" w14:textId="77777777" w:rsidR="00A677A9" w:rsidRPr="00090E4E" w:rsidRDefault="00A677A9" w:rsidP="00A677A9">
      <w:pPr>
        <w:pStyle w:val="Header"/>
        <w:rPr>
          <w:rFonts w:asciiTheme="minorHAnsi" w:hAnsiTheme="minorHAnsi"/>
          <w:b/>
          <w:bCs/>
          <w:i/>
        </w:rPr>
      </w:pPr>
      <w:r w:rsidRPr="00090E4E">
        <w:rPr>
          <w:rFonts w:asciiTheme="minorHAnsi" w:hAnsiTheme="minorHAnsi"/>
          <w:b/>
          <w:bCs/>
          <w:i/>
        </w:rPr>
        <w:t>Proposed definition for new section C. in Part 618.2</w:t>
      </w:r>
    </w:p>
    <w:p w14:paraId="4A5E2491" w14:textId="77777777" w:rsidR="00A677A9" w:rsidRPr="0058475E" w:rsidRDefault="00A677A9" w:rsidP="00A677A9">
      <w:pPr>
        <w:rPr>
          <w:rFonts w:asciiTheme="minorHAnsi" w:hAnsiTheme="minorHAnsi"/>
          <w:bCs/>
        </w:rPr>
      </w:pPr>
    </w:p>
    <w:p w14:paraId="18ADB900" w14:textId="49D03388" w:rsidR="00A677A9" w:rsidRDefault="00A677A9" w:rsidP="00A677A9">
      <w:pPr>
        <w:pStyle w:val="ListParagraph"/>
        <w:widowControl w:val="0"/>
        <w:numPr>
          <w:ilvl w:val="0"/>
          <w:numId w:val="1"/>
        </w:numPr>
        <w:autoSpaceDE w:val="0"/>
        <w:autoSpaceDN w:val="0"/>
        <w:ind w:left="540" w:right="204"/>
        <w:rPr>
          <w:rFonts w:asciiTheme="minorHAnsi" w:hAnsiTheme="minorHAnsi" w:cs="Arial"/>
        </w:rPr>
      </w:pPr>
      <w:r w:rsidRPr="00FD5875">
        <w:rPr>
          <w:rFonts w:asciiTheme="minorHAnsi" w:hAnsiTheme="minorHAnsi" w:cs="Arial"/>
        </w:rPr>
        <w:t>For recent and newly populated information in NASIS, the representative values are meant to approximate the 50</w:t>
      </w:r>
      <w:r w:rsidRPr="00FD5875">
        <w:rPr>
          <w:rFonts w:asciiTheme="minorHAnsi" w:hAnsiTheme="minorHAnsi" w:cs="Arial"/>
          <w:vertAlign w:val="superscript"/>
        </w:rPr>
        <w:t>th</w:t>
      </w:r>
      <w:r w:rsidRPr="00FD5875">
        <w:rPr>
          <w:rFonts w:asciiTheme="minorHAnsi" w:hAnsiTheme="minorHAnsi" w:cs="Arial"/>
        </w:rPr>
        <w:t xml:space="preserve"> percentile </w:t>
      </w:r>
      <w:r w:rsidR="00A07529">
        <w:rPr>
          <w:rFonts w:asciiTheme="minorHAnsi" w:hAnsiTheme="minorHAnsi" w:cs="Arial"/>
        </w:rPr>
        <w:t>(median)</w:t>
      </w:r>
      <w:r w:rsidRPr="00FD5875">
        <w:rPr>
          <w:rFonts w:asciiTheme="minorHAnsi" w:hAnsiTheme="minorHAnsi" w:cs="Arial"/>
        </w:rPr>
        <w:t>. The 50</w:t>
      </w:r>
      <w:r w:rsidRPr="00FD5875">
        <w:rPr>
          <w:rFonts w:asciiTheme="minorHAnsi" w:hAnsiTheme="minorHAnsi" w:cs="Arial"/>
          <w:vertAlign w:val="superscript"/>
        </w:rPr>
        <w:t>th</w:t>
      </w:r>
      <w:r w:rsidRPr="00FD5875">
        <w:rPr>
          <w:rFonts w:asciiTheme="minorHAnsi" w:hAnsiTheme="minorHAnsi" w:cs="Arial"/>
        </w:rPr>
        <w:t xml:space="preserve"> percentile is the value where 50% of the data are both above and below that value. The low and high values are meant to approximate the 5</w:t>
      </w:r>
      <w:r w:rsidRPr="00FD5875">
        <w:rPr>
          <w:rFonts w:asciiTheme="minorHAnsi" w:hAnsiTheme="minorHAnsi" w:cs="Arial"/>
          <w:vertAlign w:val="superscript"/>
        </w:rPr>
        <w:t>th</w:t>
      </w:r>
      <w:r w:rsidRPr="00FD5875">
        <w:rPr>
          <w:rFonts w:asciiTheme="minorHAnsi" w:hAnsiTheme="minorHAnsi" w:cs="Arial"/>
        </w:rPr>
        <w:t>- 10</w:t>
      </w:r>
      <w:r w:rsidRPr="00FD5875">
        <w:rPr>
          <w:rFonts w:asciiTheme="minorHAnsi" w:hAnsiTheme="minorHAnsi" w:cs="Arial"/>
          <w:vertAlign w:val="superscript"/>
        </w:rPr>
        <w:t>th</w:t>
      </w:r>
      <w:r w:rsidRPr="00FD5875">
        <w:rPr>
          <w:rFonts w:asciiTheme="minorHAnsi" w:hAnsiTheme="minorHAnsi" w:cs="Arial"/>
        </w:rPr>
        <w:t xml:space="preserve"> and the 90</w:t>
      </w:r>
      <w:r w:rsidRPr="00FD5875">
        <w:rPr>
          <w:rFonts w:asciiTheme="minorHAnsi" w:hAnsiTheme="minorHAnsi" w:cs="Arial"/>
          <w:vertAlign w:val="superscript"/>
        </w:rPr>
        <w:t>th</w:t>
      </w:r>
      <w:r w:rsidRPr="00FD5875">
        <w:rPr>
          <w:rFonts w:asciiTheme="minorHAnsi" w:hAnsiTheme="minorHAnsi" w:cs="Arial"/>
        </w:rPr>
        <w:t>-95</w:t>
      </w:r>
      <w:r w:rsidRPr="00FD5875">
        <w:rPr>
          <w:rFonts w:asciiTheme="minorHAnsi" w:hAnsiTheme="minorHAnsi" w:cs="Arial"/>
          <w:vertAlign w:val="superscript"/>
        </w:rPr>
        <w:t>th</w:t>
      </w:r>
      <w:r w:rsidRPr="00FD5875">
        <w:rPr>
          <w:rFonts w:asciiTheme="minorHAnsi" w:hAnsiTheme="minorHAnsi" w:cs="Arial"/>
        </w:rPr>
        <w:t xml:space="preserve"> percentiles, respectively. For example, the 5</w:t>
      </w:r>
      <w:r w:rsidRPr="00FD5875">
        <w:rPr>
          <w:rFonts w:asciiTheme="minorHAnsi" w:hAnsiTheme="minorHAnsi" w:cs="Arial"/>
          <w:vertAlign w:val="superscript"/>
        </w:rPr>
        <w:t>th</w:t>
      </w:r>
      <w:r w:rsidRPr="00FD5875">
        <w:rPr>
          <w:rFonts w:asciiTheme="minorHAnsi" w:hAnsiTheme="minorHAnsi" w:cs="Arial"/>
        </w:rPr>
        <w:t xml:space="preserve"> percentile is the value where 5% of the data are below that value and the 95</w:t>
      </w:r>
      <w:r w:rsidRPr="00FD5875">
        <w:rPr>
          <w:rFonts w:asciiTheme="minorHAnsi" w:hAnsiTheme="minorHAnsi" w:cs="Arial"/>
          <w:vertAlign w:val="superscript"/>
        </w:rPr>
        <w:t>th</w:t>
      </w:r>
      <w:r w:rsidRPr="00FD5875">
        <w:rPr>
          <w:rFonts w:asciiTheme="minorHAnsi" w:hAnsiTheme="minorHAnsi" w:cs="Arial"/>
        </w:rPr>
        <w:t xml:space="preserve"> percentile is the value where 5% of the data are above that value. The low, high, and representative values for data populated prior to this version of the National Soil Survey Handbook were not guided by the percentile approach</w:t>
      </w:r>
      <w:r w:rsidR="00A07529">
        <w:rPr>
          <w:rFonts w:asciiTheme="minorHAnsi" w:hAnsiTheme="minorHAnsi" w:cs="Arial"/>
        </w:rPr>
        <w:t>,</w:t>
      </w:r>
      <w:r w:rsidRPr="00FD5875">
        <w:rPr>
          <w:rFonts w:asciiTheme="minorHAnsi" w:hAnsiTheme="minorHAnsi" w:cs="Arial"/>
        </w:rPr>
        <w:t xml:space="preserve"> but generally approximate the current definition. </w:t>
      </w:r>
      <w:r w:rsidRPr="00A677A9">
        <w:rPr>
          <w:rFonts w:asciiTheme="minorHAnsi" w:hAnsiTheme="minorHAnsi" w:cs="Arial"/>
          <w:lang w:val="en"/>
        </w:rPr>
        <w:t>Even where data used to populate the SSURGO database are not computationally derived, the populated values are designed to approximate the aforementioned percentiles for the data set being described.</w:t>
      </w:r>
    </w:p>
    <w:p w14:paraId="5B9F052C" w14:textId="77777777" w:rsidR="00A677A9" w:rsidRDefault="00A677A9" w:rsidP="004A7E32">
      <w:pPr>
        <w:pStyle w:val="ListParagraph"/>
        <w:widowControl w:val="0"/>
        <w:autoSpaceDE w:val="0"/>
        <w:autoSpaceDN w:val="0"/>
        <w:ind w:left="540" w:right="204" w:firstLine="0"/>
        <w:rPr>
          <w:rFonts w:asciiTheme="minorHAnsi" w:hAnsiTheme="minorHAnsi" w:cs="Arial"/>
        </w:rPr>
      </w:pPr>
    </w:p>
    <w:p w14:paraId="09A113A5" w14:textId="77388B04" w:rsidR="00A677A9" w:rsidRDefault="00A677A9" w:rsidP="004A7E32">
      <w:pPr>
        <w:pStyle w:val="ListParagraph"/>
        <w:widowControl w:val="0"/>
        <w:autoSpaceDE w:val="0"/>
        <w:autoSpaceDN w:val="0"/>
        <w:ind w:left="540" w:right="204" w:firstLine="0"/>
        <w:rPr>
          <w:rFonts w:asciiTheme="minorHAnsi" w:hAnsiTheme="minorHAnsi" w:cs="Arial"/>
        </w:rPr>
      </w:pPr>
      <w:r w:rsidRPr="00A677A9">
        <w:rPr>
          <w:rFonts w:asciiTheme="minorHAnsi" w:hAnsiTheme="minorHAnsi" w:cs="Arial"/>
        </w:rPr>
        <w:t xml:space="preserve">The percentile approach is preferable to other measures of central tendency, such as the mean and standard deviation, because </w:t>
      </w:r>
      <w:r w:rsidRPr="00A677A9">
        <w:rPr>
          <w:rFonts w:asciiTheme="minorHAnsi" w:hAnsiTheme="minorHAnsi" w:cs="Arial"/>
          <w:lang w:val="en"/>
        </w:rPr>
        <w:t xml:space="preserve">percentiles require no distributional assumptions and the percentile values </w:t>
      </w:r>
      <w:r w:rsidR="001A6DB0">
        <w:rPr>
          <w:rFonts w:asciiTheme="minorHAnsi" w:hAnsiTheme="minorHAnsi" w:cs="Arial"/>
          <w:lang w:val="en"/>
        </w:rPr>
        <w:t>fall within the bounds of the</w:t>
      </w:r>
      <w:r w:rsidRPr="00A677A9">
        <w:rPr>
          <w:rFonts w:asciiTheme="minorHAnsi" w:hAnsiTheme="minorHAnsi" w:cs="Arial"/>
          <w:lang w:val="en"/>
        </w:rPr>
        <w:t xml:space="preserve"> data set from which they are computed. This means that percentiles can provide benchmarks for the spread and central tendency for both normal and non-normal distributions, and the values will always fall within the minimum and maximum of the observed data.</w:t>
      </w:r>
      <w:r w:rsidR="00060302">
        <w:rPr>
          <w:rFonts w:asciiTheme="minorHAnsi" w:hAnsiTheme="minorHAnsi" w:cs="Arial"/>
          <w:lang w:val="en"/>
        </w:rPr>
        <w:t xml:space="preserve"> </w:t>
      </w:r>
      <w:r w:rsidRPr="00FD5875">
        <w:rPr>
          <w:rFonts w:asciiTheme="minorHAnsi" w:hAnsiTheme="minorHAnsi" w:cs="Arial"/>
        </w:rPr>
        <w:t xml:space="preserve">Consider </w:t>
      </w:r>
      <w:r>
        <w:rPr>
          <w:rFonts w:asciiTheme="minorHAnsi" w:hAnsiTheme="minorHAnsi" w:cs="Arial"/>
        </w:rPr>
        <w:t xml:space="preserve">a </w:t>
      </w:r>
      <w:r w:rsidRPr="00EB6B11">
        <w:rPr>
          <w:rFonts w:asciiTheme="minorHAnsi" w:hAnsiTheme="minorHAnsi" w:cs="Arial"/>
        </w:rPr>
        <w:t>hypothetical data set for</w:t>
      </w:r>
      <w:r w:rsidRPr="00FD5875">
        <w:rPr>
          <w:rFonts w:asciiTheme="minorHAnsi" w:hAnsiTheme="minorHAnsi" w:cs="Arial"/>
        </w:rPr>
        <w:t xml:space="preserve"> field-described clay co</w:t>
      </w:r>
      <w:r w:rsidRPr="00EB6B11">
        <w:rPr>
          <w:rFonts w:asciiTheme="minorHAnsi" w:hAnsiTheme="minorHAnsi" w:cs="Arial"/>
        </w:rPr>
        <w:t>ntent from the A horizon of the</w:t>
      </w:r>
      <w:r w:rsidR="00060302">
        <w:rPr>
          <w:rFonts w:asciiTheme="minorHAnsi" w:hAnsiTheme="minorHAnsi" w:cs="Arial"/>
        </w:rPr>
        <w:t xml:space="preserve"> </w:t>
      </w:r>
      <w:r>
        <w:rPr>
          <w:rFonts w:asciiTheme="minorHAnsi" w:hAnsiTheme="minorHAnsi" w:cs="Arial"/>
        </w:rPr>
        <w:t>same</w:t>
      </w:r>
      <w:bookmarkStart w:id="0" w:name="_GoBack"/>
      <w:bookmarkEnd w:id="0"/>
      <w:r>
        <w:rPr>
          <w:rFonts w:asciiTheme="minorHAnsi" w:hAnsiTheme="minorHAnsi" w:cs="Arial"/>
        </w:rPr>
        <w:t xml:space="preserve"> taxa</w:t>
      </w:r>
      <w:r w:rsidR="00060302">
        <w:rPr>
          <w:rFonts w:asciiTheme="minorHAnsi" w:hAnsiTheme="minorHAnsi" w:cs="Arial"/>
        </w:rPr>
        <w:t>:</w:t>
      </w:r>
    </w:p>
    <w:p w14:paraId="037B66A1" w14:textId="77777777" w:rsidR="00A677A9" w:rsidRDefault="00A677A9" w:rsidP="004A7E32">
      <w:pPr>
        <w:pStyle w:val="ListParagraph"/>
        <w:widowControl w:val="0"/>
        <w:autoSpaceDE w:val="0"/>
        <w:autoSpaceDN w:val="0"/>
        <w:ind w:left="540" w:right="204" w:firstLine="0"/>
        <w:rPr>
          <w:rFonts w:asciiTheme="minorHAnsi" w:hAnsiTheme="minorHAnsi" w:cs="Arial"/>
        </w:rPr>
      </w:pPr>
    </w:p>
    <w:p w14:paraId="301CDF1E" w14:textId="77777777" w:rsidR="00A677A9" w:rsidRPr="004701DE" w:rsidRDefault="00060302" w:rsidP="004A7E32">
      <w:pPr>
        <w:pStyle w:val="ListParagraph"/>
        <w:widowControl w:val="0"/>
        <w:autoSpaceDE w:val="0"/>
        <w:autoSpaceDN w:val="0"/>
        <w:ind w:left="540" w:right="204" w:firstLine="0"/>
        <w:rPr>
          <w:rFonts w:cs="Arial"/>
        </w:rPr>
      </w:pPr>
      <w:proofErr w:type="gramStart"/>
      <w:r>
        <w:rPr>
          <w:rFonts w:asciiTheme="minorHAnsi" w:hAnsiTheme="minorHAnsi" w:cs="Arial"/>
        </w:rPr>
        <w:t>clay</w:t>
      </w:r>
      <w:proofErr w:type="gramEnd"/>
      <w:r>
        <w:rPr>
          <w:rFonts w:asciiTheme="minorHAnsi" w:hAnsiTheme="minorHAnsi" w:cs="Arial"/>
        </w:rPr>
        <w:t xml:space="preserve"> content: </w:t>
      </w:r>
      <w:r w:rsidR="00A677A9" w:rsidRPr="004701DE">
        <w:rPr>
          <w:rFonts w:asciiTheme="minorHAnsi" w:hAnsiTheme="minorHAnsi" w:cs="Arial"/>
        </w:rPr>
        <w:t>11, 10, 12, 23, 17, 16, 17, 14, 24, 22, 14</w:t>
      </w:r>
    </w:p>
    <w:p w14:paraId="5EA85751" w14:textId="77777777" w:rsidR="00A677A9" w:rsidRDefault="00060302" w:rsidP="004A7E32">
      <w:pPr>
        <w:pStyle w:val="ListParagraph"/>
        <w:widowControl w:val="0"/>
        <w:autoSpaceDE w:val="0"/>
        <w:autoSpaceDN w:val="0"/>
        <w:ind w:left="540" w:right="204" w:firstLine="0"/>
        <w:rPr>
          <w:rFonts w:asciiTheme="minorHAnsi" w:hAnsiTheme="minorHAnsi" w:cs="Arial"/>
        </w:rPr>
      </w:pPr>
      <w:proofErr w:type="gramStart"/>
      <w:r>
        <w:rPr>
          <w:rFonts w:asciiTheme="minorHAnsi" w:hAnsiTheme="minorHAnsi" w:cs="Arial"/>
        </w:rPr>
        <w:t>clay</w:t>
      </w:r>
      <w:proofErr w:type="gramEnd"/>
      <w:r>
        <w:rPr>
          <w:rFonts w:asciiTheme="minorHAnsi" w:hAnsiTheme="minorHAnsi" w:cs="Arial"/>
        </w:rPr>
        <w:t xml:space="preserve"> content sorted: </w:t>
      </w:r>
      <w:r w:rsidR="00A677A9" w:rsidRPr="00FD5875">
        <w:rPr>
          <w:rFonts w:asciiTheme="minorHAnsi" w:hAnsiTheme="minorHAnsi" w:cs="Arial"/>
        </w:rPr>
        <w:t xml:space="preserve">10, </w:t>
      </w:r>
      <w:r w:rsidR="00A677A9" w:rsidRPr="00EF4D16">
        <w:rPr>
          <w:rFonts w:asciiTheme="minorHAnsi" w:hAnsiTheme="minorHAnsi" w:cs="Arial"/>
          <w:b/>
        </w:rPr>
        <w:t>11</w:t>
      </w:r>
      <w:r w:rsidR="00A677A9" w:rsidRPr="00FD5875">
        <w:rPr>
          <w:rFonts w:asciiTheme="minorHAnsi" w:hAnsiTheme="minorHAnsi" w:cs="Arial"/>
        </w:rPr>
        <w:t xml:space="preserve">, 12, 14, 14, </w:t>
      </w:r>
      <w:r w:rsidR="00A677A9" w:rsidRPr="00EF4D16">
        <w:rPr>
          <w:rFonts w:asciiTheme="minorHAnsi" w:hAnsiTheme="minorHAnsi" w:cs="Arial"/>
          <w:b/>
        </w:rPr>
        <w:t>16</w:t>
      </w:r>
      <w:r w:rsidR="00A677A9" w:rsidRPr="00FD5875">
        <w:rPr>
          <w:rFonts w:asciiTheme="minorHAnsi" w:hAnsiTheme="minorHAnsi" w:cs="Arial"/>
        </w:rPr>
        <w:t xml:space="preserve">, 17, 17, 22, </w:t>
      </w:r>
      <w:r w:rsidR="00A677A9" w:rsidRPr="00EF4D16">
        <w:rPr>
          <w:rFonts w:asciiTheme="minorHAnsi" w:hAnsiTheme="minorHAnsi" w:cs="Arial"/>
          <w:b/>
        </w:rPr>
        <w:t>23</w:t>
      </w:r>
      <w:r w:rsidR="00A677A9" w:rsidRPr="00FD5875">
        <w:rPr>
          <w:rFonts w:asciiTheme="minorHAnsi" w:hAnsiTheme="minorHAnsi" w:cs="Arial"/>
        </w:rPr>
        <w:t>, 24</w:t>
      </w:r>
    </w:p>
    <w:p w14:paraId="7B2A9AF5" w14:textId="77777777" w:rsidR="00A677A9" w:rsidRDefault="00A677A9" w:rsidP="004A7E32">
      <w:pPr>
        <w:pStyle w:val="ListParagraph"/>
        <w:widowControl w:val="0"/>
        <w:autoSpaceDE w:val="0"/>
        <w:autoSpaceDN w:val="0"/>
        <w:ind w:left="540" w:right="204" w:firstLine="0"/>
        <w:rPr>
          <w:rFonts w:asciiTheme="minorHAnsi" w:hAnsiTheme="minorHAnsi" w:cs="Arial"/>
        </w:rPr>
      </w:pPr>
    </w:p>
    <w:p w14:paraId="2C87B5B9" w14:textId="77777777" w:rsidR="00A677A9" w:rsidRPr="00FD5875" w:rsidRDefault="00A677A9" w:rsidP="004A7E32">
      <w:pPr>
        <w:pStyle w:val="ListParagraph"/>
        <w:widowControl w:val="0"/>
        <w:autoSpaceDE w:val="0"/>
        <w:autoSpaceDN w:val="0"/>
        <w:ind w:left="540" w:right="204" w:firstLine="0"/>
        <w:rPr>
          <w:rFonts w:asciiTheme="minorHAnsi" w:hAnsiTheme="minorHAnsi" w:cs="Arial"/>
        </w:rPr>
      </w:pPr>
      <w:r>
        <w:rPr>
          <w:rFonts w:asciiTheme="minorHAnsi" w:hAnsiTheme="minorHAnsi" w:cs="Arial"/>
        </w:rPr>
        <w:t>Low/</w:t>
      </w:r>
      <w:r w:rsidRPr="00EB6B11">
        <w:rPr>
          <w:rFonts w:asciiTheme="minorHAnsi" w:hAnsiTheme="minorHAnsi" w:cs="Arial"/>
        </w:rPr>
        <w:t>10th percentile</w:t>
      </w:r>
      <w:r w:rsidRPr="00EB6B11">
        <w:rPr>
          <w:rFonts w:asciiTheme="minorHAnsi" w:hAnsiTheme="minorHAnsi" w:cs="Arial"/>
        </w:rPr>
        <w:tab/>
        <w:t>=</w:t>
      </w:r>
      <w:r w:rsidRPr="00EB6B11">
        <w:rPr>
          <w:rFonts w:asciiTheme="minorHAnsi" w:hAnsiTheme="minorHAnsi" w:cs="Arial"/>
        </w:rPr>
        <w:tab/>
      </w:r>
      <w:r w:rsidRPr="00FD5875">
        <w:rPr>
          <w:rFonts w:asciiTheme="minorHAnsi" w:hAnsiTheme="minorHAnsi" w:cs="Arial"/>
          <w:b/>
          <w:bCs/>
        </w:rPr>
        <w:t>11</w:t>
      </w:r>
    </w:p>
    <w:p w14:paraId="6D53327A" w14:textId="77777777" w:rsidR="00A677A9" w:rsidRPr="00FD5875" w:rsidRDefault="00A677A9" w:rsidP="004A7E32">
      <w:pPr>
        <w:widowControl w:val="0"/>
        <w:autoSpaceDE w:val="0"/>
        <w:autoSpaceDN w:val="0"/>
        <w:ind w:left="540" w:right="204"/>
        <w:rPr>
          <w:rFonts w:asciiTheme="minorHAnsi" w:hAnsiTheme="minorHAnsi"/>
        </w:rPr>
      </w:pPr>
      <w:r>
        <w:rPr>
          <w:rFonts w:asciiTheme="minorHAnsi" w:hAnsiTheme="minorHAnsi"/>
        </w:rPr>
        <w:t>RV/</w:t>
      </w:r>
      <w:r w:rsidRPr="00EB6B11">
        <w:rPr>
          <w:rFonts w:asciiTheme="minorHAnsi" w:hAnsiTheme="minorHAnsi"/>
        </w:rPr>
        <w:t>50th percentile</w:t>
      </w:r>
      <w:r w:rsidRPr="00EB6B11">
        <w:rPr>
          <w:rFonts w:asciiTheme="minorHAnsi" w:hAnsiTheme="minorHAnsi"/>
        </w:rPr>
        <w:tab/>
        <w:t>=</w:t>
      </w:r>
      <w:r w:rsidRPr="00EB6B11">
        <w:rPr>
          <w:rFonts w:asciiTheme="minorHAnsi" w:hAnsiTheme="minorHAnsi"/>
        </w:rPr>
        <w:tab/>
      </w:r>
      <w:r w:rsidRPr="00FD5875">
        <w:rPr>
          <w:rFonts w:asciiTheme="minorHAnsi" w:hAnsiTheme="minorHAnsi"/>
          <w:b/>
          <w:bCs/>
        </w:rPr>
        <w:t>16</w:t>
      </w:r>
    </w:p>
    <w:p w14:paraId="2BC45BF9" w14:textId="77777777" w:rsidR="00A677A9" w:rsidRPr="00FD5875" w:rsidRDefault="00A677A9" w:rsidP="004A7E32">
      <w:pPr>
        <w:widowControl w:val="0"/>
        <w:autoSpaceDE w:val="0"/>
        <w:autoSpaceDN w:val="0"/>
        <w:ind w:left="540" w:right="204"/>
        <w:rPr>
          <w:rFonts w:asciiTheme="minorHAnsi" w:hAnsiTheme="minorHAnsi"/>
        </w:rPr>
      </w:pPr>
      <w:r>
        <w:rPr>
          <w:rFonts w:asciiTheme="minorHAnsi" w:hAnsiTheme="minorHAnsi"/>
        </w:rPr>
        <w:t>High/</w:t>
      </w:r>
      <w:r w:rsidRPr="00EB6B11">
        <w:rPr>
          <w:rFonts w:asciiTheme="minorHAnsi" w:hAnsiTheme="minorHAnsi"/>
        </w:rPr>
        <w:t>90th percentile</w:t>
      </w:r>
      <w:r w:rsidRPr="00EB6B11">
        <w:rPr>
          <w:rFonts w:asciiTheme="minorHAnsi" w:hAnsiTheme="minorHAnsi"/>
        </w:rPr>
        <w:tab/>
        <w:t>=</w:t>
      </w:r>
      <w:r w:rsidRPr="00EB6B11">
        <w:rPr>
          <w:rFonts w:asciiTheme="minorHAnsi" w:hAnsiTheme="minorHAnsi"/>
        </w:rPr>
        <w:tab/>
      </w:r>
      <w:r w:rsidRPr="00FD5875">
        <w:rPr>
          <w:rFonts w:asciiTheme="minorHAnsi" w:hAnsiTheme="minorHAnsi"/>
          <w:b/>
          <w:bCs/>
        </w:rPr>
        <w:t>23</w:t>
      </w:r>
    </w:p>
    <w:p w14:paraId="2709176E" w14:textId="77777777" w:rsidR="00A677A9" w:rsidRDefault="00A677A9" w:rsidP="004A7E32">
      <w:pPr>
        <w:pStyle w:val="ListParagraph"/>
        <w:widowControl w:val="0"/>
        <w:autoSpaceDE w:val="0"/>
        <w:autoSpaceDN w:val="0"/>
        <w:ind w:left="540" w:right="204" w:firstLine="0"/>
      </w:pPr>
    </w:p>
    <w:p w14:paraId="22D4A4BD" w14:textId="77777777" w:rsidR="00CB0D5A" w:rsidRDefault="00A07529" w:rsidP="004A7E32">
      <w:pPr>
        <w:ind w:left="540"/>
      </w:pPr>
    </w:p>
    <w:sectPr w:rsidR="00CB0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3B31C6"/>
    <w:multiLevelType w:val="hybridMultilevel"/>
    <w:tmpl w:val="64F20376"/>
    <w:lvl w:ilvl="0" w:tplc="06BA580E">
      <w:start w:val="3"/>
      <w:numFmt w:val="upperLetter"/>
      <w:lvlText w:val="%1."/>
      <w:lvlJc w:val="left"/>
      <w:pPr>
        <w:ind w:left="496" w:hanging="360"/>
      </w:pPr>
      <w:rPr>
        <w:rFonts w:hint="default"/>
      </w:rPr>
    </w:lvl>
    <w:lvl w:ilvl="1" w:tplc="04090019" w:tentative="1">
      <w:start w:val="1"/>
      <w:numFmt w:val="lowerLetter"/>
      <w:lvlText w:val="%2."/>
      <w:lvlJc w:val="left"/>
      <w:pPr>
        <w:ind w:left="1216" w:hanging="360"/>
      </w:pPr>
    </w:lvl>
    <w:lvl w:ilvl="2" w:tplc="0409001B" w:tentative="1">
      <w:start w:val="1"/>
      <w:numFmt w:val="lowerRoman"/>
      <w:lvlText w:val="%3."/>
      <w:lvlJc w:val="right"/>
      <w:pPr>
        <w:ind w:left="1936" w:hanging="180"/>
      </w:pPr>
    </w:lvl>
    <w:lvl w:ilvl="3" w:tplc="0409000F" w:tentative="1">
      <w:start w:val="1"/>
      <w:numFmt w:val="decimal"/>
      <w:lvlText w:val="%4."/>
      <w:lvlJc w:val="left"/>
      <w:pPr>
        <w:ind w:left="2656" w:hanging="360"/>
      </w:pPr>
    </w:lvl>
    <w:lvl w:ilvl="4" w:tplc="04090019" w:tentative="1">
      <w:start w:val="1"/>
      <w:numFmt w:val="lowerLetter"/>
      <w:lvlText w:val="%5."/>
      <w:lvlJc w:val="left"/>
      <w:pPr>
        <w:ind w:left="3376" w:hanging="360"/>
      </w:pPr>
    </w:lvl>
    <w:lvl w:ilvl="5" w:tplc="0409001B" w:tentative="1">
      <w:start w:val="1"/>
      <w:numFmt w:val="lowerRoman"/>
      <w:lvlText w:val="%6."/>
      <w:lvlJc w:val="right"/>
      <w:pPr>
        <w:ind w:left="4096" w:hanging="180"/>
      </w:pPr>
    </w:lvl>
    <w:lvl w:ilvl="6" w:tplc="0409000F" w:tentative="1">
      <w:start w:val="1"/>
      <w:numFmt w:val="decimal"/>
      <w:lvlText w:val="%7."/>
      <w:lvlJc w:val="left"/>
      <w:pPr>
        <w:ind w:left="4816" w:hanging="360"/>
      </w:pPr>
    </w:lvl>
    <w:lvl w:ilvl="7" w:tplc="04090019" w:tentative="1">
      <w:start w:val="1"/>
      <w:numFmt w:val="lowerLetter"/>
      <w:lvlText w:val="%8."/>
      <w:lvlJc w:val="left"/>
      <w:pPr>
        <w:ind w:left="5536" w:hanging="360"/>
      </w:pPr>
    </w:lvl>
    <w:lvl w:ilvl="8" w:tplc="0409001B" w:tentative="1">
      <w:start w:val="1"/>
      <w:numFmt w:val="lowerRoman"/>
      <w:lvlText w:val="%9."/>
      <w:lvlJc w:val="right"/>
      <w:pPr>
        <w:ind w:left="625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7A9"/>
    <w:rsid w:val="00060302"/>
    <w:rsid w:val="00090E4E"/>
    <w:rsid w:val="00120FEF"/>
    <w:rsid w:val="001A6DB0"/>
    <w:rsid w:val="001F156D"/>
    <w:rsid w:val="00253CC6"/>
    <w:rsid w:val="00294BDA"/>
    <w:rsid w:val="002E1F93"/>
    <w:rsid w:val="004701DE"/>
    <w:rsid w:val="0049448F"/>
    <w:rsid w:val="004A7E32"/>
    <w:rsid w:val="00A07529"/>
    <w:rsid w:val="00A16282"/>
    <w:rsid w:val="00A677A9"/>
    <w:rsid w:val="00C225AD"/>
    <w:rsid w:val="00E20C74"/>
    <w:rsid w:val="00E82EBE"/>
    <w:rsid w:val="00EF4D16"/>
    <w:rsid w:val="00FD4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F7565"/>
  <w15:chartTrackingRefBased/>
  <w15:docId w15:val="{0C314788-D3FE-42BD-AD77-1F80B53ED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7A9"/>
    <w:pPr>
      <w:spacing w:after="0" w:line="240" w:lineRule="auto"/>
    </w:pPr>
    <w:rPr>
      <w:rFonts w:ascii="Arial" w:eastAsia="MS Mincho" w:hAnsi="Arial" w:cs="Arial"/>
      <w:color w:val="00000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GrammarSpellingCheck">
    <w:name w:val="NoGrammarSpellingCheck"/>
    <w:basedOn w:val="Normal"/>
    <w:link w:val="NoGrammarSpellingCheckChar"/>
    <w:qFormat/>
    <w:rsid w:val="00294BDA"/>
    <w:rPr>
      <w:noProof/>
    </w:rPr>
  </w:style>
  <w:style w:type="character" w:customStyle="1" w:styleId="NoGrammarSpellingCheckChar">
    <w:name w:val="NoGrammarSpellingCheck Char"/>
    <w:basedOn w:val="DefaultParagraphFont"/>
    <w:link w:val="NoGrammarSpellingCheck"/>
    <w:rsid w:val="00294BDA"/>
    <w:rPr>
      <w:noProof/>
    </w:rPr>
  </w:style>
  <w:style w:type="paragraph" w:styleId="Header">
    <w:name w:val="header"/>
    <w:basedOn w:val="Normal"/>
    <w:link w:val="HeaderChar"/>
    <w:uiPriority w:val="99"/>
    <w:unhideWhenUsed/>
    <w:rsid w:val="00A677A9"/>
    <w:pPr>
      <w:tabs>
        <w:tab w:val="center" w:pos="4320"/>
        <w:tab w:val="right" w:pos="8640"/>
      </w:tabs>
    </w:pPr>
  </w:style>
  <w:style w:type="character" w:customStyle="1" w:styleId="HeaderChar">
    <w:name w:val="Header Char"/>
    <w:basedOn w:val="DefaultParagraphFont"/>
    <w:link w:val="Header"/>
    <w:uiPriority w:val="99"/>
    <w:rsid w:val="00A677A9"/>
    <w:rPr>
      <w:rFonts w:ascii="Arial" w:eastAsia="MS Mincho" w:hAnsi="Arial" w:cs="Arial"/>
      <w:color w:val="000000"/>
      <w:lang w:eastAsia="ja-JP"/>
    </w:rPr>
  </w:style>
  <w:style w:type="paragraph" w:styleId="ListParagraph">
    <w:name w:val="List Paragraph"/>
    <w:basedOn w:val="Normal"/>
    <w:uiPriority w:val="1"/>
    <w:qFormat/>
    <w:rsid w:val="00A677A9"/>
    <w:pPr>
      <w:ind w:left="720" w:hanging="187"/>
      <w:contextualSpacing/>
    </w:pPr>
    <w:rPr>
      <w:rFonts w:ascii="Calibri" w:eastAsia="Calibri" w:hAnsi="Calibri" w:cs="Times New Roman"/>
      <w:color w:val="auto"/>
      <w:lang w:eastAsia="en-US"/>
    </w:rPr>
  </w:style>
  <w:style w:type="paragraph" w:styleId="BalloonText">
    <w:name w:val="Balloon Text"/>
    <w:basedOn w:val="Normal"/>
    <w:link w:val="BalloonTextChar"/>
    <w:uiPriority w:val="99"/>
    <w:semiHidden/>
    <w:unhideWhenUsed/>
    <w:rsid w:val="000603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0302"/>
    <w:rPr>
      <w:rFonts w:ascii="Segoe UI" w:eastAsia="MS Mincho" w:hAnsi="Segoe UI" w:cs="Segoe UI"/>
      <w:color w:val="000000"/>
      <w:sz w:val="18"/>
      <w:szCs w:val="18"/>
      <w:lang w:eastAsia="ja-JP"/>
    </w:rPr>
  </w:style>
  <w:style w:type="character" w:styleId="CommentReference">
    <w:name w:val="annotation reference"/>
    <w:basedOn w:val="DefaultParagraphFont"/>
    <w:uiPriority w:val="99"/>
    <w:semiHidden/>
    <w:unhideWhenUsed/>
    <w:rsid w:val="00C225AD"/>
    <w:rPr>
      <w:sz w:val="16"/>
      <w:szCs w:val="16"/>
    </w:rPr>
  </w:style>
  <w:style w:type="paragraph" w:styleId="CommentText">
    <w:name w:val="annotation text"/>
    <w:basedOn w:val="Normal"/>
    <w:link w:val="CommentTextChar"/>
    <w:uiPriority w:val="99"/>
    <w:semiHidden/>
    <w:unhideWhenUsed/>
    <w:rsid w:val="00C225AD"/>
    <w:rPr>
      <w:sz w:val="20"/>
      <w:szCs w:val="20"/>
    </w:rPr>
  </w:style>
  <w:style w:type="character" w:customStyle="1" w:styleId="CommentTextChar">
    <w:name w:val="Comment Text Char"/>
    <w:basedOn w:val="DefaultParagraphFont"/>
    <w:link w:val="CommentText"/>
    <w:uiPriority w:val="99"/>
    <w:semiHidden/>
    <w:rsid w:val="00C225AD"/>
    <w:rPr>
      <w:rFonts w:ascii="Arial" w:eastAsia="MS Mincho" w:hAnsi="Arial" w:cs="Arial"/>
      <w:color w:val="000000"/>
      <w:sz w:val="20"/>
      <w:szCs w:val="20"/>
      <w:lang w:eastAsia="ja-JP"/>
    </w:rPr>
  </w:style>
  <w:style w:type="paragraph" w:styleId="CommentSubject">
    <w:name w:val="annotation subject"/>
    <w:basedOn w:val="CommentText"/>
    <w:next w:val="CommentText"/>
    <w:link w:val="CommentSubjectChar"/>
    <w:uiPriority w:val="99"/>
    <w:semiHidden/>
    <w:unhideWhenUsed/>
    <w:rsid w:val="00C225AD"/>
    <w:rPr>
      <w:b/>
      <w:bCs/>
    </w:rPr>
  </w:style>
  <w:style w:type="character" w:customStyle="1" w:styleId="CommentSubjectChar">
    <w:name w:val="Comment Subject Char"/>
    <w:basedOn w:val="CommentTextChar"/>
    <w:link w:val="CommentSubject"/>
    <w:uiPriority w:val="99"/>
    <w:semiHidden/>
    <w:rsid w:val="00C225AD"/>
    <w:rPr>
      <w:rFonts w:ascii="Arial" w:eastAsia="MS Mincho" w:hAnsi="Arial" w:cs="Arial"/>
      <w:b/>
      <w:bCs/>
      <w:color w:val="000000"/>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1758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 Jennifer - NRCS, Davis, CA</dc:creator>
  <cp:keywords/>
  <dc:description/>
  <cp:lastModifiedBy>Wood, Jennifer - NRCS, Davis, CA</cp:lastModifiedBy>
  <cp:revision>4</cp:revision>
  <dcterms:created xsi:type="dcterms:W3CDTF">2017-11-16T21:46:00Z</dcterms:created>
  <dcterms:modified xsi:type="dcterms:W3CDTF">2017-12-18T17:21:00Z</dcterms:modified>
</cp:coreProperties>
</file>