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All members of various SAR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Name, id,, county/org, capabilities, long term metrics: #searches, #cum hours,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2- This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Name, description, op period,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Searchers:  name, id, county, accessories at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Internally generated pointer - IGP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3 - Teams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Name - Sheriff, ops, comms, etc, # (auto assigned as team is created)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Type - ground, dog, mounted, relay,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Location - ic,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Time - out,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Members - IGP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SIGNIN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County, name, id# (lookup)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Add skills if not in db - sheriff, cpr, mounted, carda, utv, med1, ic,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Signature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Time in,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Have or using accessory - horse, dog, skis,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Set op period, time/date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Search name,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Add members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Set machine for primary and redundant 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IMPORT/EXPORT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XLS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Reports - periodic for backup, info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Online logging - timestamped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Redundant databases on multiple machines (2 or more)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Simultaneous record commit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Touch screen pads - windows or android or ipad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For user entry - sealed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PC for administrator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