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510"/>
        <w:gridCol w:w="5490"/>
      </w:tblGrid>
      <w:tr w:rsidR="00A614BC" w:rsidRPr="00093639" w14:paraId="781D2B1A" w14:textId="77777777" w:rsidTr="00C87E13">
        <w:tc>
          <w:tcPr>
            <w:tcW w:w="3510" w:type="dxa"/>
            <w:shd w:val="clear" w:color="auto" w:fill="auto"/>
          </w:tcPr>
          <w:p w14:paraId="39137BC4" w14:textId="77777777" w:rsidR="00A614BC" w:rsidRPr="00093639" w:rsidRDefault="00A614BC" w:rsidP="006C7B0D">
            <w:pPr>
              <w:pStyle w:val="Bodytext20"/>
              <w:shd w:val="clear" w:color="auto" w:fill="auto"/>
              <w:tabs>
                <w:tab w:val="left" w:pos="4106"/>
              </w:tabs>
              <w:jc w:val="center"/>
              <w:rPr>
                <w:rStyle w:val="BodyTextChar1"/>
                <w:rFonts w:ascii="Arial" w:hAnsi="Arial" w:cs="Arial"/>
                <w:b/>
                <w:bCs/>
                <w:color w:val="000000"/>
                <w:sz w:val="20"/>
                <w:szCs w:val="20"/>
                <w:lang w:eastAsia="vi-VN"/>
              </w:rPr>
            </w:pPr>
            <w:r w:rsidRPr="00093639">
              <w:rPr>
                <w:rStyle w:val="Bodytext2"/>
                <w:rFonts w:ascii="Arial" w:hAnsi="Arial" w:cs="Arial"/>
                <w:b/>
                <w:bCs/>
                <w:color w:val="000000"/>
                <w:sz w:val="20"/>
                <w:szCs w:val="20"/>
                <w:lang w:eastAsia="vi-VN"/>
              </w:rPr>
              <w:t>B</w:t>
            </w:r>
            <w:r w:rsidRPr="00093639">
              <w:rPr>
                <w:rStyle w:val="Bodytext2"/>
                <w:rFonts w:ascii="Arial" w:hAnsi="Arial" w:cs="Arial"/>
                <w:b/>
                <w:bCs/>
                <w:color w:val="000000"/>
                <w:sz w:val="20"/>
                <w:szCs w:val="20"/>
                <w:lang w:val="en-US" w:eastAsia="vi-VN"/>
              </w:rPr>
              <w:t>Ộ</w:t>
            </w:r>
            <w:r w:rsidRPr="00093639">
              <w:rPr>
                <w:rStyle w:val="Bodytext2"/>
                <w:rFonts w:ascii="Arial" w:hAnsi="Arial" w:cs="Arial"/>
                <w:b/>
                <w:bCs/>
                <w:color w:val="000000"/>
                <w:sz w:val="20"/>
                <w:szCs w:val="20"/>
                <w:lang w:eastAsia="vi-VN"/>
              </w:rPr>
              <w:t xml:space="preserve"> LAO ĐỘNG - THƯƠNG BINH</w:t>
            </w:r>
            <w:r w:rsidRPr="00093639">
              <w:rPr>
                <w:rStyle w:val="Bodytext2"/>
                <w:rFonts w:ascii="Arial" w:hAnsi="Arial" w:cs="Arial"/>
                <w:b/>
                <w:bCs/>
                <w:color w:val="000000"/>
                <w:sz w:val="20"/>
                <w:szCs w:val="20"/>
                <w:lang w:val="en-US" w:eastAsia="vi-VN"/>
              </w:rPr>
              <w:t xml:space="preserve"> </w:t>
            </w:r>
            <w:r w:rsidRPr="00093639">
              <w:rPr>
                <w:rStyle w:val="BodyTextChar1"/>
                <w:rFonts w:ascii="Arial" w:hAnsi="Arial" w:cs="Arial"/>
                <w:b/>
                <w:bCs/>
                <w:color w:val="000000"/>
                <w:sz w:val="20"/>
                <w:szCs w:val="20"/>
                <w:lang w:eastAsia="vi-VN"/>
              </w:rPr>
              <w:t>VÀ XÃ HỘI</w:t>
            </w:r>
          </w:p>
          <w:p w14:paraId="3B7FCDBE" w14:textId="77777777" w:rsidR="00A614BC" w:rsidRPr="00093639" w:rsidRDefault="00A614BC" w:rsidP="006C7B0D">
            <w:pPr>
              <w:pStyle w:val="Bodytext20"/>
              <w:shd w:val="clear" w:color="auto" w:fill="auto"/>
              <w:tabs>
                <w:tab w:val="left" w:pos="4106"/>
              </w:tabs>
              <w:jc w:val="center"/>
              <w:rPr>
                <w:rStyle w:val="BodyTextChar1"/>
                <w:rFonts w:ascii="Arial" w:hAnsi="Arial" w:cs="Arial"/>
                <w:bCs/>
                <w:color w:val="000000"/>
                <w:sz w:val="20"/>
                <w:szCs w:val="20"/>
                <w:lang w:val="en-US" w:eastAsia="vi-VN"/>
              </w:rPr>
            </w:pPr>
            <w:r w:rsidRPr="00093639">
              <w:rPr>
                <w:rStyle w:val="BodyTextChar1"/>
                <w:rFonts w:ascii="Arial" w:hAnsi="Arial" w:cs="Arial"/>
                <w:bCs/>
                <w:color w:val="000000"/>
                <w:sz w:val="20"/>
                <w:szCs w:val="20"/>
                <w:lang w:val="en-US" w:eastAsia="vi-VN"/>
              </w:rPr>
              <w:t>__________</w:t>
            </w:r>
          </w:p>
          <w:p w14:paraId="3104CD10" w14:textId="77777777" w:rsidR="00A614BC" w:rsidRPr="00093639" w:rsidRDefault="00A614BC" w:rsidP="006C7B0D">
            <w:pPr>
              <w:pStyle w:val="BodyText"/>
              <w:shd w:val="clear" w:color="auto" w:fill="auto"/>
              <w:spacing w:after="0" w:line="240" w:lineRule="auto"/>
              <w:ind w:firstLine="0"/>
              <w:jc w:val="center"/>
              <w:rPr>
                <w:rStyle w:val="Bodytext2"/>
                <w:rFonts w:ascii="Arial" w:hAnsi="Arial" w:cs="Arial"/>
                <w:color w:val="000000"/>
                <w:sz w:val="20"/>
                <w:szCs w:val="20"/>
              </w:rPr>
            </w:pPr>
            <w:r w:rsidRPr="00093639">
              <w:rPr>
                <w:rStyle w:val="BodyTextChar1"/>
                <w:rFonts w:ascii="Arial" w:hAnsi="Arial" w:cs="Arial"/>
                <w:color w:val="000000"/>
                <w:sz w:val="20"/>
                <w:szCs w:val="20"/>
                <w:lang w:eastAsia="vi-VN"/>
              </w:rPr>
              <w:t>Số: 06/2021/TT-BLĐTBXH</w:t>
            </w:r>
          </w:p>
        </w:tc>
        <w:tc>
          <w:tcPr>
            <w:tcW w:w="5490" w:type="dxa"/>
            <w:shd w:val="clear" w:color="auto" w:fill="auto"/>
          </w:tcPr>
          <w:p w14:paraId="203BACE4" w14:textId="77777777" w:rsidR="00A614BC" w:rsidRPr="00093639" w:rsidRDefault="00A614BC" w:rsidP="006C7B0D">
            <w:pPr>
              <w:pStyle w:val="Bodytext20"/>
              <w:shd w:val="clear" w:color="auto" w:fill="auto"/>
              <w:tabs>
                <w:tab w:val="left" w:pos="4106"/>
              </w:tabs>
              <w:jc w:val="center"/>
              <w:rPr>
                <w:rFonts w:ascii="Arial" w:hAnsi="Arial" w:cs="Arial"/>
                <w:color w:val="000000"/>
                <w:sz w:val="20"/>
                <w:szCs w:val="20"/>
              </w:rPr>
            </w:pPr>
            <w:r w:rsidRPr="00093639">
              <w:rPr>
                <w:rStyle w:val="Bodytext2"/>
                <w:rFonts w:ascii="Arial" w:hAnsi="Arial" w:cs="Arial"/>
                <w:b/>
                <w:bCs/>
                <w:color w:val="000000"/>
                <w:sz w:val="20"/>
                <w:szCs w:val="20"/>
                <w:lang w:eastAsia="vi-VN"/>
              </w:rPr>
              <w:t>CỘNG HOÀ XÃ HỘI CHỦ NGHĨA VIỆT NAM</w:t>
            </w:r>
          </w:p>
          <w:p w14:paraId="2C6464A5" w14:textId="77777777" w:rsidR="00A614BC" w:rsidRPr="00093639" w:rsidRDefault="00A614BC" w:rsidP="006C7B0D">
            <w:pPr>
              <w:pStyle w:val="BodyText"/>
              <w:shd w:val="clear" w:color="auto" w:fill="auto"/>
              <w:tabs>
                <w:tab w:val="left" w:pos="4106"/>
              </w:tabs>
              <w:spacing w:after="0" w:line="240" w:lineRule="auto"/>
              <w:ind w:firstLine="0"/>
              <w:jc w:val="center"/>
              <w:rPr>
                <w:rStyle w:val="BodyTextChar1"/>
                <w:rFonts w:ascii="Arial" w:hAnsi="Arial" w:cs="Arial"/>
                <w:b/>
                <w:bCs/>
                <w:color w:val="000000"/>
                <w:sz w:val="20"/>
                <w:szCs w:val="20"/>
                <w:lang w:eastAsia="vi-VN"/>
              </w:rPr>
            </w:pPr>
            <w:r w:rsidRPr="00093639">
              <w:rPr>
                <w:rStyle w:val="BodyTextChar1"/>
                <w:rFonts w:ascii="Arial" w:hAnsi="Arial" w:cs="Arial"/>
                <w:b/>
                <w:bCs/>
                <w:color w:val="000000"/>
                <w:sz w:val="20"/>
                <w:szCs w:val="20"/>
                <w:lang w:eastAsia="vi-VN"/>
              </w:rPr>
              <w:t>Độc lập - Tự do - Hạnh phúc</w:t>
            </w:r>
          </w:p>
          <w:p w14:paraId="2275E22A" w14:textId="77777777" w:rsidR="00A614BC" w:rsidRPr="00093639" w:rsidRDefault="00A614BC" w:rsidP="006C7B0D">
            <w:pPr>
              <w:pStyle w:val="BodyText"/>
              <w:shd w:val="clear" w:color="auto" w:fill="auto"/>
              <w:tabs>
                <w:tab w:val="left" w:pos="4106"/>
              </w:tabs>
              <w:spacing w:after="0" w:line="240" w:lineRule="auto"/>
              <w:ind w:firstLine="0"/>
              <w:jc w:val="center"/>
              <w:rPr>
                <w:rStyle w:val="BodyTextChar1"/>
                <w:rFonts w:ascii="Arial" w:hAnsi="Arial" w:cs="Arial"/>
                <w:bCs/>
                <w:color w:val="000000"/>
                <w:sz w:val="20"/>
                <w:szCs w:val="20"/>
                <w:lang w:val="en-US" w:eastAsia="vi-VN"/>
              </w:rPr>
            </w:pPr>
            <w:r w:rsidRPr="00093639">
              <w:rPr>
                <w:rStyle w:val="BodyTextChar1"/>
                <w:rFonts w:ascii="Arial" w:hAnsi="Arial" w:cs="Arial"/>
                <w:bCs/>
                <w:color w:val="000000"/>
                <w:sz w:val="20"/>
                <w:szCs w:val="20"/>
                <w:lang w:val="en-US" w:eastAsia="vi-VN"/>
              </w:rPr>
              <w:t>________________________</w:t>
            </w:r>
          </w:p>
          <w:p w14:paraId="1F721F08" w14:textId="77777777" w:rsidR="00A614BC" w:rsidRPr="00093639" w:rsidRDefault="00A614BC" w:rsidP="006C7B0D">
            <w:pPr>
              <w:pStyle w:val="BodyText"/>
              <w:shd w:val="clear" w:color="auto" w:fill="auto"/>
              <w:spacing w:after="0" w:line="240" w:lineRule="auto"/>
              <w:ind w:firstLine="0"/>
              <w:jc w:val="right"/>
              <w:rPr>
                <w:rStyle w:val="Bodytext2"/>
                <w:rFonts w:ascii="Arial" w:hAnsi="Arial" w:cs="Arial"/>
                <w:color w:val="000000"/>
                <w:sz w:val="20"/>
                <w:szCs w:val="20"/>
              </w:rPr>
            </w:pPr>
            <w:r w:rsidRPr="00093639">
              <w:rPr>
                <w:rStyle w:val="BodyTextChar1"/>
                <w:rFonts w:ascii="Arial" w:hAnsi="Arial" w:cs="Arial"/>
                <w:i/>
                <w:iCs/>
                <w:color w:val="000000"/>
                <w:sz w:val="20"/>
                <w:szCs w:val="20"/>
                <w:lang w:eastAsia="vi-VN"/>
              </w:rPr>
              <w:t>Hà Nội, ngày 07 tháng 07 năm 2021</w:t>
            </w:r>
          </w:p>
        </w:tc>
      </w:tr>
    </w:tbl>
    <w:p w14:paraId="120B834D" w14:textId="77777777" w:rsidR="00A614BC" w:rsidRPr="00093639" w:rsidRDefault="00A614BC" w:rsidP="006C7B0D">
      <w:pPr>
        <w:pStyle w:val="Bodytext20"/>
        <w:shd w:val="clear" w:color="auto" w:fill="auto"/>
        <w:tabs>
          <w:tab w:val="left" w:pos="4106"/>
        </w:tabs>
        <w:jc w:val="center"/>
        <w:rPr>
          <w:rStyle w:val="Bodytext2"/>
          <w:rFonts w:ascii="Arial" w:hAnsi="Arial" w:cs="Arial"/>
          <w:b/>
          <w:bCs/>
          <w:color w:val="000000"/>
          <w:sz w:val="20"/>
          <w:szCs w:val="20"/>
          <w:lang w:eastAsia="vi-VN"/>
        </w:rPr>
      </w:pPr>
    </w:p>
    <w:p w14:paraId="5EB8E861" w14:textId="77777777" w:rsidR="00C87E13" w:rsidRPr="00093639" w:rsidRDefault="00C87E13" w:rsidP="006C7B0D">
      <w:pPr>
        <w:pStyle w:val="Bodytext20"/>
        <w:shd w:val="clear" w:color="auto" w:fill="auto"/>
        <w:tabs>
          <w:tab w:val="left" w:pos="4106"/>
        </w:tabs>
        <w:jc w:val="center"/>
        <w:rPr>
          <w:rFonts w:ascii="Arial" w:hAnsi="Arial" w:cs="Arial"/>
          <w:color w:val="000000"/>
          <w:sz w:val="20"/>
          <w:szCs w:val="20"/>
        </w:rPr>
      </w:pPr>
      <w:r w:rsidRPr="00093639">
        <w:rPr>
          <w:rStyle w:val="Bodytext2"/>
          <w:rFonts w:ascii="Arial" w:hAnsi="Arial" w:cs="Arial"/>
          <w:b/>
          <w:bCs/>
          <w:color w:val="000000"/>
          <w:sz w:val="20"/>
          <w:szCs w:val="20"/>
          <w:lang w:eastAsia="vi-VN"/>
        </w:rPr>
        <w:tab/>
      </w:r>
    </w:p>
    <w:p w14:paraId="76B7AF0C" w14:textId="77777777" w:rsidR="00C87E13"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Style w:val="BodyTextChar1"/>
          <w:rFonts w:ascii="Arial" w:hAnsi="Arial" w:cs="Arial"/>
          <w:b/>
          <w:bCs/>
          <w:color w:val="000000"/>
          <w:sz w:val="20"/>
          <w:szCs w:val="20"/>
          <w:lang w:eastAsia="vi-VN"/>
        </w:rPr>
        <w:t>THÔNG T</w:t>
      </w:r>
      <w:r w:rsidRPr="00093639">
        <w:rPr>
          <w:rStyle w:val="BodyTextChar1"/>
          <w:rFonts w:ascii="Arial" w:hAnsi="Arial" w:cs="Arial"/>
          <w:b/>
          <w:bCs/>
          <w:color w:val="000000"/>
          <w:sz w:val="20"/>
          <w:szCs w:val="20"/>
          <w:lang w:val="en-US" w:eastAsia="vi-VN"/>
        </w:rPr>
        <w:t>Ư</w:t>
      </w:r>
    </w:p>
    <w:p w14:paraId="7FC34914" w14:textId="77777777" w:rsidR="00C87E13" w:rsidRPr="00093639" w:rsidRDefault="00C87E13" w:rsidP="006C7B0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093639">
        <w:rPr>
          <w:rStyle w:val="BodyTextChar1"/>
          <w:rFonts w:ascii="Arial" w:hAnsi="Arial" w:cs="Arial"/>
          <w:b/>
          <w:bCs/>
          <w:color w:val="000000"/>
          <w:sz w:val="20"/>
          <w:szCs w:val="20"/>
          <w:lang w:eastAsia="vi-VN"/>
        </w:rPr>
        <w:t>Sửa đổi, bổ sung một số điều của Thông tư số 59/2015/TT-BLĐTBXH ngày</w:t>
      </w:r>
      <w:r w:rsidR="00A614BC" w:rsidRPr="00093639">
        <w:rPr>
          <w:rStyle w:val="BodyTextChar1"/>
          <w:rFonts w:ascii="Arial" w:hAnsi="Arial" w:cs="Arial"/>
          <w:b/>
          <w:bCs/>
          <w:color w:val="000000"/>
          <w:sz w:val="20"/>
          <w:szCs w:val="20"/>
          <w:lang w:val="en-US" w:eastAsia="vi-VN"/>
        </w:rPr>
        <w:t xml:space="preserve"> </w:t>
      </w:r>
      <w:r w:rsidRPr="00093639">
        <w:rPr>
          <w:rStyle w:val="BodyTextChar1"/>
          <w:rFonts w:ascii="Arial" w:hAnsi="Arial" w:cs="Arial"/>
          <w:b/>
          <w:bCs/>
          <w:color w:val="000000"/>
          <w:sz w:val="20"/>
          <w:szCs w:val="20"/>
          <w:lang w:eastAsia="vi-VN"/>
        </w:rPr>
        <w:t>29 tháng 12 năm 2015 của Bộ trưởng Bộ Lao động - Thương binh và Xã hội</w:t>
      </w:r>
      <w:r w:rsidR="00A614BC" w:rsidRPr="00093639">
        <w:rPr>
          <w:rStyle w:val="BodyTextChar1"/>
          <w:rFonts w:ascii="Arial" w:hAnsi="Arial" w:cs="Arial"/>
          <w:b/>
          <w:bCs/>
          <w:color w:val="000000"/>
          <w:sz w:val="20"/>
          <w:szCs w:val="20"/>
          <w:lang w:val="en-US" w:eastAsia="vi-VN"/>
        </w:rPr>
        <w:t xml:space="preserve"> </w:t>
      </w:r>
      <w:r w:rsidRPr="00093639">
        <w:rPr>
          <w:rStyle w:val="BodyTextChar1"/>
          <w:rFonts w:ascii="Arial" w:hAnsi="Arial" w:cs="Arial"/>
          <w:b/>
          <w:bCs/>
          <w:color w:val="000000"/>
          <w:sz w:val="20"/>
          <w:szCs w:val="20"/>
          <w:lang w:eastAsia="vi-VN"/>
        </w:rPr>
        <w:t>quy định chi tiết và hướng dẫn thi hành một số điều của Luật Bảo hiểm xã</w:t>
      </w:r>
      <w:r w:rsidR="00A614BC" w:rsidRPr="00093639">
        <w:rPr>
          <w:rStyle w:val="BodyTextChar1"/>
          <w:rFonts w:ascii="Arial" w:hAnsi="Arial" w:cs="Arial"/>
          <w:b/>
          <w:bCs/>
          <w:color w:val="000000"/>
          <w:sz w:val="20"/>
          <w:szCs w:val="20"/>
          <w:lang w:val="en-US" w:eastAsia="vi-VN"/>
        </w:rPr>
        <w:t xml:space="preserve"> </w:t>
      </w:r>
      <w:r w:rsidRPr="00093639">
        <w:rPr>
          <w:rStyle w:val="BodyTextChar1"/>
          <w:rFonts w:ascii="Arial" w:hAnsi="Arial" w:cs="Arial"/>
          <w:b/>
          <w:bCs/>
          <w:color w:val="000000"/>
          <w:sz w:val="20"/>
          <w:szCs w:val="20"/>
          <w:lang w:eastAsia="vi-VN"/>
        </w:rPr>
        <w:t>hội về bảo hiểm xã hội bắt buộc</w:t>
      </w:r>
    </w:p>
    <w:p w14:paraId="01D78FDC" w14:textId="77777777" w:rsidR="00A614BC" w:rsidRPr="00093639" w:rsidRDefault="00A614BC" w:rsidP="006C7B0D">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093639">
        <w:rPr>
          <w:rStyle w:val="BodyTextChar1"/>
          <w:rFonts w:ascii="Arial" w:hAnsi="Arial" w:cs="Arial"/>
          <w:bCs/>
          <w:color w:val="000000"/>
          <w:sz w:val="20"/>
          <w:szCs w:val="20"/>
          <w:lang w:val="en-US" w:eastAsia="vi-VN"/>
        </w:rPr>
        <w:t>__________________</w:t>
      </w:r>
    </w:p>
    <w:p w14:paraId="45B6ADAF"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p>
    <w:p w14:paraId="0C31E65A"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 xml:space="preserve">Căn cứ Luật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ngày 20 tháng 11 năm 2014;</w:t>
      </w:r>
    </w:p>
    <w:p w14:paraId="715EB1A8"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 xml:space="preserve">Căn cứ Nghị quyết </w:t>
      </w:r>
      <w:r w:rsidR="00A614BC" w:rsidRPr="00093639">
        <w:rPr>
          <w:rStyle w:val="BodyTextChar1"/>
          <w:rFonts w:ascii="Arial" w:hAnsi="Arial" w:cs="Arial"/>
          <w:i/>
          <w:iCs/>
          <w:color w:val="000000"/>
          <w:sz w:val="20"/>
          <w:szCs w:val="20"/>
          <w:lang w:val="en-US"/>
        </w:rPr>
        <w:t>số</w:t>
      </w:r>
      <w:r w:rsidRPr="00093639">
        <w:rPr>
          <w:rStyle w:val="BodyTextChar1"/>
          <w:rFonts w:ascii="Arial" w:hAnsi="Arial" w:cs="Arial"/>
          <w:i/>
          <w:iCs/>
          <w:color w:val="000000"/>
          <w:sz w:val="20"/>
          <w:szCs w:val="20"/>
          <w:lang w:val="en-US"/>
        </w:rPr>
        <w:t xml:space="preserve"> </w:t>
      </w:r>
      <w:r w:rsidRPr="00093639">
        <w:rPr>
          <w:rStyle w:val="BodyTextChar1"/>
          <w:rFonts w:ascii="Arial" w:hAnsi="Arial" w:cs="Arial"/>
          <w:i/>
          <w:iCs/>
          <w:color w:val="000000"/>
          <w:sz w:val="20"/>
          <w:szCs w:val="20"/>
          <w:lang w:eastAsia="vi-VN"/>
        </w:rPr>
        <w:t xml:space="preserve">93/2015/QH13 ngày 22 </w:t>
      </w:r>
      <w:r w:rsidR="00A614BC" w:rsidRPr="00093639">
        <w:rPr>
          <w:rStyle w:val="BodyTextChar1"/>
          <w:rFonts w:ascii="Arial" w:hAnsi="Arial" w:cs="Arial"/>
          <w:i/>
          <w:iCs/>
          <w:color w:val="000000"/>
          <w:sz w:val="20"/>
          <w:szCs w:val="20"/>
          <w:lang w:eastAsia="vi-VN"/>
        </w:rPr>
        <w:t>tháng</w:t>
      </w:r>
      <w:r w:rsidRPr="00093639">
        <w:rPr>
          <w:rStyle w:val="BodyTextChar1"/>
          <w:rFonts w:ascii="Arial" w:hAnsi="Arial" w:cs="Arial"/>
          <w:i/>
          <w:iCs/>
          <w:color w:val="000000"/>
          <w:sz w:val="20"/>
          <w:szCs w:val="20"/>
          <w:lang w:eastAsia="vi-VN"/>
        </w:rPr>
        <w:t xml:space="preserve"> 6 năm 2015 của Quốc hội về việc thực hiện chính </w:t>
      </w:r>
      <w:r w:rsidR="00A614BC" w:rsidRPr="00093639">
        <w:rPr>
          <w:rStyle w:val="BodyTextChar1"/>
          <w:rFonts w:ascii="Arial" w:hAnsi="Arial" w:cs="Arial"/>
          <w:i/>
          <w:iCs/>
          <w:color w:val="000000"/>
          <w:sz w:val="20"/>
          <w:szCs w:val="20"/>
          <w:lang w:eastAsia="vi-VN"/>
        </w:rPr>
        <w:t>sách</w:t>
      </w:r>
      <w:r w:rsidRPr="00093639">
        <w:rPr>
          <w:rStyle w:val="BodyTextChar1"/>
          <w:rFonts w:ascii="Arial" w:hAnsi="Arial" w:cs="Arial"/>
          <w:i/>
          <w:iCs/>
          <w:color w:val="000000"/>
          <w:sz w:val="20"/>
          <w:szCs w:val="20"/>
          <w:lang w:eastAsia="vi-VN"/>
        </w:rPr>
        <w:t xml:space="preserve"> hưởng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một lần đối với người lao động;</w:t>
      </w:r>
    </w:p>
    <w:p w14:paraId="58D26541"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 xml:space="preserve">Căn cứ Nghị định </w:t>
      </w:r>
      <w:r w:rsidR="00A614BC" w:rsidRPr="00093639">
        <w:rPr>
          <w:rStyle w:val="BodyTextChar1"/>
          <w:rFonts w:ascii="Arial" w:hAnsi="Arial" w:cs="Arial"/>
          <w:i/>
          <w:iCs/>
          <w:color w:val="000000"/>
          <w:sz w:val="20"/>
          <w:szCs w:val="20"/>
          <w:lang w:val="en-US"/>
        </w:rPr>
        <w:t>số</w:t>
      </w:r>
      <w:r w:rsidRPr="00093639">
        <w:rPr>
          <w:rStyle w:val="BodyTextChar1"/>
          <w:rFonts w:ascii="Arial" w:hAnsi="Arial" w:cs="Arial"/>
          <w:i/>
          <w:iCs/>
          <w:color w:val="000000"/>
          <w:sz w:val="20"/>
          <w:szCs w:val="20"/>
          <w:lang w:val="en-US"/>
        </w:rPr>
        <w:t xml:space="preserve"> </w:t>
      </w:r>
      <w:r w:rsidR="00A614BC" w:rsidRPr="00093639">
        <w:rPr>
          <w:rStyle w:val="BodyTextChar1"/>
          <w:rFonts w:ascii="Arial" w:hAnsi="Arial" w:cs="Arial"/>
          <w:i/>
          <w:iCs/>
          <w:color w:val="000000"/>
          <w:sz w:val="20"/>
          <w:szCs w:val="20"/>
          <w:lang w:eastAsia="vi-VN"/>
        </w:rPr>
        <w:t>11</w:t>
      </w:r>
      <w:r w:rsidRPr="00093639">
        <w:rPr>
          <w:rStyle w:val="BodyTextChar1"/>
          <w:rFonts w:ascii="Arial" w:hAnsi="Arial" w:cs="Arial"/>
          <w:i/>
          <w:iCs/>
          <w:color w:val="000000"/>
          <w:sz w:val="20"/>
          <w:szCs w:val="20"/>
          <w:lang w:eastAsia="vi-VN"/>
        </w:rPr>
        <w:t xml:space="preserve">5/2015/NĐ-CP ngày 11 tháng 11 năm 2015 của Chính phủ quy định chi tiết một số điều của Luật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về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bắt buộc;</w:t>
      </w:r>
    </w:p>
    <w:p w14:paraId="1A8345C2"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 xml:space="preserve">Căn cứ Nghị định số 135/2020/NĐ-CP ngày 18 tháng 11 năm 2020 của </w:t>
      </w:r>
      <w:r w:rsidR="00A614BC" w:rsidRPr="00093639">
        <w:rPr>
          <w:rStyle w:val="BodyTextChar1"/>
          <w:rFonts w:ascii="Arial" w:hAnsi="Arial" w:cs="Arial"/>
          <w:i/>
          <w:iCs/>
          <w:color w:val="000000"/>
          <w:sz w:val="20"/>
          <w:szCs w:val="20"/>
          <w:lang w:eastAsia="vi-VN"/>
        </w:rPr>
        <w:t>Chính phủ</w:t>
      </w:r>
      <w:r w:rsidRPr="00093639">
        <w:rPr>
          <w:rStyle w:val="BodyTextChar1"/>
          <w:rFonts w:ascii="Arial" w:hAnsi="Arial" w:cs="Arial"/>
          <w:i/>
          <w:iCs/>
          <w:color w:val="000000"/>
          <w:sz w:val="20"/>
          <w:szCs w:val="20"/>
          <w:lang w:eastAsia="vi-VN"/>
        </w:rPr>
        <w:t xml:space="preserve"> quy định về tuổi nghỉ hưu;</w:t>
      </w:r>
    </w:p>
    <w:p w14:paraId="3917E078"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Căn cứ Nghị định số 1</w:t>
      </w:r>
      <w:r w:rsidR="00A614BC" w:rsidRPr="00093639">
        <w:rPr>
          <w:rStyle w:val="BodyTextChar1"/>
          <w:rFonts w:ascii="Arial" w:hAnsi="Arial" w:cs="Arial"/>
          <w:i/>
          <w:iCs/>
          <w:color w:val="000000"/>
          <w:sz w:val="20"/>
          <w:szCs w:val="20"/>
          <w:lang w:eastAsia="vi-VN"/>
        </w:rPr>
        <w:t>4/2017/NĐ-CP ngày 17 tháng 02 nă</w:t>
      </w:r>
      <w:r w:rsidRPr="00093639">
        <w:rPr>
          <w:rStyle w:val="BodyTextChar1"/>
          <w:rFonts w:ascii="Arial" w:hAnsi="Arial" w:cs="Arial"/>
          <w:i/>
          <w:iCs/>
          <w:color w:val="000000"/>
          <w:sz w:val="20"/>
          <w:szCs w:val="20"/>
          <w:lang w:eastAsia="vi-VN"/>
        </w:rPr>
        <w:t xml:space="preserve">m 2017 của </w:t>
      </w:r>
      <w:r w:rsidR="00A614BC" w:rsidRPr="00093639">
        <w:rPr>
          <w:rStyle w:val="BodyTextChar1"/>
          <w:rFonts w:ascii="Arial" w:hAnsi="Arial" w:cs="Arial"/>
          <w:i/>
          <w:iCs/>
          <w:color w:val="000000"/>
          <w:sz w:val="20"/>
          <w:szCs w:val="20"/>
          <w:lang w:eastAsia="vi-VN"/>
        </w:rPr>
        <w:t>Chính phủ</w:t>
      </w:r>
      <w:r w:rsidRPr="00093639">
        <w:rPr>
          <w:rStyle w:val="BodyTextChar1"/>
          <w:rFonts w:ascii="Arial" w:hAnsi="Arial" w:cs="Arial"/>
          <w:i/>
          <w:iCs/>
          <w:color w:val="000000"/>
          <w:sz w:val="20"/>
          <w:szCs w:val="20"/>
          <w:lang w:eastAsia="vi-VN"/>
        </w:rPr>
        <w:t xml:space="preserve"> quy định chức năng, nhiệm vụ, quyền hạn và cơ cấu </w:t>
      </w:r>
      <w:r w:rsidR="00A614BC" w:rsidRPr="00093639">
        <w:rPr>
          <w:rStyle w:val="BodyTextChar1"/>
          <w:rFonts w:ascii="Arial" w:hAnsi="Arial" w:cs="Arial"/>
          <w:i/>
          <w:iCs/>
          <w:color w:val="000000"/>
          <w:sz w:val="20"/>
          <w:szCs w:val="20"/>
          <w:lang w:eastAsia="vi-VN"/>
        </w:rPr>
        <w:t>tổ chức</w:t>
      </w:r>
      <w:r w:rsidRPr="00093639">
        <w:rPr>
          <w:rStyle w:val="BodyTextChar1"/>
          <w:rFonts w:ascii="Arial" w:hAnsi="Arial" w:cs="Arial"/>
          <w:i/>
          <w:iCs/>
          <w:color w:val="000000"/>
          <w:sz w:val="20"/>
          <w:szCs w:val="20"/>
          <w:lang w:eastAsia="vi-VN"/>
        </w:rPr>
        <w:t xml:space="preserve"> của Bộ Lao động - Thương binh và Xã hội;</w:t>
      </w:r>
    </w:p>
    <w:p w14:paraId="640B2FE3"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Theo đề nghị của Vụ trưởng Vụ Bảo hiểm xã hội;</w:t>
      </w:r>
    </w:p>
    <w:p w14:paraId="1C38FE92"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 xml:space="preserve">Bộ trưởng Bộ Lao động - Thương </w:t>
      </w:r>
      <w:r w:rsidR="00A614BC" w:rsidRPr="00093639">
        <w:rPr>
          <w:rStyle w:val="BodyTextChar1"/>
          <w:rFonts w:ascii="Arial" w:hAnsi="Arial" w:cs="Arial"/>
          <w:i/>
          <w:iCs/>
          <w:color w:val="000000"/>
          <w:sz w:val="20"/>
          <w:szCs w:val="20"/>
          <w:lang w:eastAsia="vi-VN"/>
        </w:rPr>
        <w:t>binh</w:t>
      </w:r>
      <w:r w:rsidRPr="00093639">
        <w:rPr>
          <w:rStyle w:val="BodyTextChar1"/>
          <w:rFonts w:ascii="Arial" w:hAnsi="Arial" w:cs="Arial"/>
          <w:i/>
          <w:iCs/>
          <w:color w:val="000000"/>
          <w:sz w:val="20"/>
          <w:szCs w:val="20"/>
          <w:lang w:eastAsia="vi-VN"/>
        </w:rPr>
        <w:t xml:space="preserve"> và Xã hội ban hành Thông tư sửa đổi, bổ sung một số điều của Thông tư số 59/2015/TT-BLĐTBXH ngày 29 </w:t>
      </w:r>
      <w:r w:rsidR="00A614BC" w:rsidRPr="00093639">
        <w:rPr>
          <w:rStyle w:val="BodyTextChar1"/>
          <w:rFonts w:ascii="Arial" w:hAnsi="Arial" w:cs="Arial"/>
          <w:i/>
          <w:iCs/>
          <w:color w:val="000000"/>
          <w:sz w:val="20"/>
          <w:szCs w:val="20"/>
          <w:lang w:eastAsia="vi-VN"/>
        </w:rPr>
        <w:t>tháng</w:t>
      </w:r>
      <w:r w:rsidRPr="00093639">
        <w:rPr>
          <w:rStyle w:val="BodyTextChar1"/>
          <w:rFonts w:ascii="Arial" w:hAnsi="Arial" w:cs="Arial"/>
          <w:i/>
          <w:iCs/>
          <w:color w:val="000000"/>
          <w:sz w:val="20"/>
          <w:szCs w:val="20"/>
          <w:lang w:eastAsia="vi-VN"/>
        </w:rPr>
        <w:t xml:space="preserve"> 12 năm 2015 của Bộ trưởng Bộ Lao động - Thương binh và Xã hội quy định chi tiết và </w:t>
      </w:r>
      <w:r w:rsidR="00F375A3" w:rsidRPr="00093639">
        <w:rPr>
          <w:rStyle w:val="BodyTextChar1"/>
          <w:rFonts w:ascii="Arial" w:hAnsi="Arial" w:cs="Arial"/>
          <w:i/>
          <w:iCs/>
          <w:color w:val="000000"/>
          <w:sz w:val="20"/>
          <w:szCs w:val="20"/>
          <w:lang w:eastAsia="vi-VN"/>
        </w:rPr>
        <w:t>hướng dẫn</w:t>
      </w:r>
      <w:r w:rsidRPr="00093639">
        <w:rPr>
          <w:rStyle w:val="BodyTextChar1"/>
          <w:rFonts w:ascii="Arial" w:hAnsi="Arial" w:cs="Arial"/>
          <w:i/>
          <w:iCs/>
          <w:color w:val="000000"/>
          <w:sz w:val="20"/>
          <w:szCs w:val="20"/>
          <w:lang w:eastAsia="vi-VN"/>
        </w:rPr>
        <w:t xml:space="preserve"> thi hành một số điều của Luật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về </w:t>
      </w:r>
      <w:r w:rsidR="00A614BC" w:rsidRPr="00093639">
        <w:rPr>
          <w:rStyle w:val="BodyTextChar1"/>
          <w:rFonts w:ascii="Arial" w:hAnsi="Arial" w:cs="Arial"/>
          <w:i/>
          <w:iCs/>
          <w:color w:val="000000"/>
          <w:sz w:val="20"/>
          <w:szCs w:val="20"/>
          <w:lang w:eastAsia="vi-VN"/>
        </w:rPr>
        <w:t>bảo hiểm</w:t>
      </w:r>
      <w:r w:rsidRPr="00093639">
        <w:rPr>
          <w:rStyle w:val="BodyTextChar1"/>
          <w:rFonts w:ascii="Arial" w:hAnsi="Arial" w:cs="Arial"/>
          <w:i/>
          <w:iCs/>
          <w:color w:val="000000"/>
          <w:sz w:val="20"/>
          <w:szCs w:val="20"/>
          <w:lang w:eastAsia="vi-VN"/>
        </w:rPr>
        <w:t xml:space="preserve"> xã hội bắt buộc.</w:t>
      </w:r>
    </w:p>
    <w:p w14:paraId="518AD81E"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b/>
          <w:bCs/>
          <w:color w:val="000000"/>
          <w:sz w:val="20"/>
          <w:szCs w:val="20"/>
          <w:lang w:eastAsia="vi-VN"/>
        </w:rPr>
        <w:t>Điều 1. Sửa đổi, bổ sung một số đ</w:t>
      </w:r>
      <w:r w:rsidR="00F375A3" w:rsidRPr="00093639">
        <w:rPr>
          <w:rStyle w:val="BodyTextChar1"/>
          <w:rFonts w:ascii="Arial" w:hAnsi="Arial" w:cs="Arial"/>
          <w:b/>
          <w:bCs/>
          <w:color w:val="000000"/>
          <w:sz w:val="20"/>
          <w:szCs w:val="20"/>
          <w:lang w:eastAsia="vi-VN"/>
        </w:rPr>
        <w:t>iều của Thông tư số 59/2015/TT-</w:t>
      </w:r>
      <w:r w:rsidRPr="00093639">
        <w:rPr>
          <w:rStyle w:val="BodyTextChar1"/>
          <w:rFonts w:ascii="Arial" w:hAnsi="Arial" w:cs="Arial"/>
          <w:b/>
          <w:bCs/>
          <w:color w:val="000000"/>
          <w:sz w:val="20"/>
          <w:szCs w:val="20"/>
          <w:lang w:eastAsia="vi-VN"/>
        </w:rPr>
        <w:t>BLĐTBXH ngày 29 tháng 12 năm 2015 của Bộ trưởng Bộ Lao động - Thương binh và Xã hội quy định chi tiết và hướng dẫn thi hành một số điều của Luật Bảo hiểm xã hội về bảo hiểm xã hội bắt buộc</w:t>
      </w:r>
    </w:p>
    <w:p w14:paraId="5691CFC3"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eastAsia="vi-VN"/>
        </w:rPr>
        <w:t>1.</w:t>
      </w:r>
      <w:r w:rsidR="00C87E13" w:rsidRPr="00093639">
        <w:rPr>
          <w:rStyle w:val="BodyTextChar1"/>
          <w:rFonts w:ascii="Arial" w:hAnsi="Arial" w:cs="Arial"/>
          <w:i/>
          <w:iCs/>
          <w:color w:val="000000"/>
          <w:sz w:val="20"/>
          <w:szCs w:val="20"/>
          <w:lang w:eastAsia="vi-VN"/>
        </w:rPr>
        <w:t xml:space="preserve"> </w:t>
      </w:r>
      <w:r w:rsidRPr="00093639">
        <w:rPr>
          <w:rStyle w:val="BodyTextChar1"/>
          <w:rFonts w:ascii="Arial" w:hAnsi="Arial" w:cs="Arial"/>
          <w:i/>
          <w:iCs/>
          <w:color w:val="000000"/>
          <w:sz w:val="20"/>
          <w:szCs w:val="20"/>
          <w:lang w:eastAsia="vi-VN"/>
        </w:rPr>
        <w:t>Bổ sung vào cuối khoản 1</w:t>
      </w:r>
      <w:r w:rsidR="00C87E13" w:rsidRPr="00093639">
        <w:rPr>
          <w:rStyle w:val="BodyTextChar1"/>
          <w:rFonts w:ascii="Arial" w:hAnsi="Arial" w:cs="Arial"/>
          <w:i/>
          <w:iCs/>
          <w:color w:val="000000"/>
          <w:sz w:val="20"/>
          <w:szCs w:val="20"/>
          <w:lang w:eastAsia="vi-VN"/>
        </w:rPr>
        <w:t xml:space="preserve"> Điều 2 như sau:</w:t>
      </w:r>
    </w:p>
    <w:p w14:paraId="32DC5604" w14:textId="77777777" w:rsidR="00F375A3" w:rsidRPr="00093639" w:rsidRDefault="00C87E13" w:rsidP="006C7B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093639">
        <w:rPr>
          <w:rStyle w:val="BodyTextChar1"/>
          <w:rFonts w:ascii="Arial" w:hAnsi="Arial" w:cs="Arial"/>
          <w:color w:val="000000"/>
          <w:sz w:val="20"/>
          <w:szCs w:val="20"/>
          <w:lang w:eastAsia="vi-VN"/>
        </w:rPr>
        <w:t xml:space="preserve">“Người hoạt động không chuyên trách ở xã, phường, thị trấn đồng thời là người giao kết hợp đồng lao động quy định tại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a và điểm b khoản 1 Điều 2 của Luật Bảo hiểm xã hội thì tham gia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bắt buộc theo đối tượng quy định tại điểm a và điểm b khoản 1 Điều 2 của Luật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w:t>
      </w:r>
    </w:p>
    <w:p w14:paraId="49DC99B1" w14:textId="77777777" w:rsidR="00C87E13" w:rsidRPr="00093639" w:rsidRDefault="00F375A3" w:rsidP="006C7B0D">
      <w:pPr>
        <w:pStyle w:val="BodyText"/>
        <w:shd w:val="clear" w:color="auto" w:fill="auto"/>
        <w:tabs>
          <w:tab w:val="left" w:pos="1113"/>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 </w:t>
      </w:r>
      <w:r w:rsidR="00C87E13" w:rsidRPr="00093639">
        <w:rPr>
          <w:rStyle w:val="BodyTextChar1"/>
          <w:rFonts w:ascii="Arial" w:hAnsi="Arial" w:cs="Arial"/>
          <w:i/>
          <w:iCs/>
          <w:color w:val="000000"/>
          <w:sz w:val="20"/>
          <w:szCs w:val="20"/>
          <w:lang w:eastAsia="vi-VN"/>
        </w:rPr>
        <w:t xml:space="preserve">Sửa </w:t>
      </w:r>
      <w:r w:rsidRPr="00093639">
        <w:rPr>
          <w:rStyle w:val="BodyTextChar1"/>
          <w:rFonts w:ascii="Arial" w:hAnsi="Arial" w:cs="Arial"/>
          <w:i/>
          <w:iCs/>
          <w:color w:val="000000"/>
          <w:sz w:val="20"/>
          <w:szCs w:val="20"/>
          <w:lang w:eastAsia="vi-VN"/>
        </w:rPr>
        <w:t>đổi</w:t>
      </w:r>
      <w:r w:rsidR="00C87E13" w:rsidRPr="00093639">
        <w:rPr>
          <w:rStyle w:val="BodyTextChar1"/>
          <w:rFonts w:ascii="Arial" w:hAnsi="Arial" w:cs="Arial"/>
          <w:i/>
          <w:iCs/>
          <w:color w:val="000000"/>
          <w:sz w:val="20"/>
          <w:szCs w:val="20"/>
          <w:lang w:eastAsia="vi-VN"/>
        </w:rPr>
        <w:t xml:space="preserve"> </w:t>
      </w:r>
      <w:r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b khoản 2 </w:t>
      </w:r>
      <w:r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6 như sau:</w:t>
      </w:r>
    </w:p>
    <w:p w14:paraId="2F00E4A8" w14:textId="77777777" w:rsidR="00C87E13" w:rsidRPr="00093639" w:rsidRDefault="00C87E13" w:rsidP="006C7B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093639">
        <w:rPr>
          <w:rStyle w:val="BodyTextChar1"/>
          <w:rFonts w:ascii="Arial" w:hAnsi="Arial" w:cs="Arial"/>
          <w:color w:val="000000"/>
          <w:sz w:val="20"/>
          <w:szCs w:val="20"/>
          <w:lang w:eastAsia="vi-VN"/>
        </w:rPr>
        <w:t xml:space="preserve">“b) Tháng nghỉ việc hưởng chế độ ốm đau được tính từ ngày bắt đầu nghỉ việc hưởng chế độ ốm đau của tháng đó đến ngày trước liền kề của tháng sau liền kề.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có ngày lẻ không trọn tháng thì mức hưởng chế độ ốm đau của những ngày lẻ không trọn tháng được tính theo công thức dưới đây nhưng tối đa bằng mức trợ cấp ốm đau một tháng:</w:t>
      </w:r>
    </w:p>
    <w:tbl>
      <w:tblPr>
        <w:tblW w:w="0" w:type="auto"/>
        <w:tblInd w:w="108" w:type="dxa"/>
        <w:tblLook w:val="04A0" w:firstRow="1" w:lastRow="0" w:firstColumn="1" w:lastColumn="0" w:noHBand="0" w:noVBand="1"/>
      </w:tblPr>
      <w:tblGrid>
        <w:gridCol w:w="1465"/>
        <w:gridCol w:w="595"/>
        <w:gridCol w:w="2102"/>
        <w:gridCol w:w="878"/>
        <w:gridCol w:w="1718"/>
        <w:gridCol w:w="622"/>
        <w:gridCol w:w="1620"/>
      </w:tblGrid>
      <w:tr w:rsidR="00BA536F" w:rsidRPr="00093639" w14:paraId="7229D48A" w14:textId="77777777" w:rsidTr="006C7B0D">
        <w:trPr>
          <w:trHeight w:val="1296"/>
        </w:trPr>
        <w:tc>
          <w:tcPr>
            <w:tcW w:w="1465" w:type="dxa"/>
            <w:vMerge w:val="restart"/>
            <w:shd w:val="clear" w:color="auto" w:fill="auto"/>
            <w:vAlign w:val="center"/>
          </w:tcPr>
          <w:p w14:paraId="5050D433"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r w:rsidRPr="00093639">
              <w:rPr>
                <w:rStyle w:val="BodyTextChar1"/>
                <w:rFonts w:ascii="Arial" w:hAnsi="Arial" w:cs="Arial"/>
                <w:color w:val="000000"/>
                <w:sz w:val="20"/>
                <w:szCs w:val="20"/>
                <w:lang w:eastAsia="vi-VN"/>
              </w:rPr>
              <w:t>Mức hưởng</w:t>
            </w:r>
            <w:r w:rsidRPr="00093639">
              <w:rPr>
                <w:rStyle w:val="BodyTextChar1"/>
                <w:rFonts w:ascii="Arial" w:hAnsi="Arial" w:cs="Arial"/>
                <w:color w:val="000000"/>
                <w:sz w:val="20"/>
                <w:szCs w:val="20"/>
                <w:lang w:eastAsia="vi-VN"/>
              </w:rPr>
              <w:br/>
              <w:t>chế độ ốm đau</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đối với bệnh</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cần chữa trị</w:t>
            </w:r>
            <w:r w:rsidR="00F375A3"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dài ngày của</w:t>
            </w:r>
            <w:r w:rsidRPr="00093639">
              <w:rPr>
                <w:rStyle w:val="BodyTextChar1"/>
                <w:rFonts w:ascii="Arial" w:hAnsi="Arial" w:cs="Arial"/>
                <w:color w:val="000000"/>
                <w:sz w:val="20"/>
                <w:szCs w:val="20"/>
                <w:lang w:val="en-US" w:eastAsia="vi-VN"/>
              </w:rPr>
              <w:t xml:space="preserve"> </w:t>
            </w:r>
            <w:r w:rsidR="00F375A3" w:rsidRPr="00093639">
              <w:rPr>
                <w:rStyle w:val="BodyTextChar1"/>
                <w:rFonts w:ascii="Arial" w:hAnsi="Arial" w:cs="Arial"/>
                <w:color w:val="000000"/>
                <w:sz w:val="20"/>
                <w:szCs w:val="20"/>
                <w:lang w:eastAsia="vi-VN"/>
              </w:rPr>
              <w:t>những</w:t>
            </w:r>
            <w:r w:rsidRPr="00093639">
              <w:rPr>
                <w:rStyle w:val="BodyTextChar1"/>
                <w:rFonts w:ascii="Arial" w:hAnsi="Arial" w:cs="Arial"/>
                <w:color w:val="000000"/>
                <w:sz w:val="20"/>
                <w:szCs w:val="20"/>
                <w:lang w:eastAsia="vi-VN"/>
              </w:rPr>
              <w:t xml:space="preserve"> ngày lẻ</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không trọn</w:t>
            </w:r>
            <w:r w:rsidRPr="00093639">
              <w:rPr>
                <w:rStyle w:val="BodyTextChar1"/>
                <w:rFonts w:ascii="Arial" w:hAnsi="Arial" w:cs="Arial"/>
                <w:color w:val="000000"/>
                <w:sz w:val="20"/>
                <w:szCs w:val="20"/>
                <w:lang w:eastAsia="vi-VN"/>
              </w:rPr>
              <w:br/>
              <w:t>tháng</w:t>
            </w:r>
          </w:p>
        </w:tc>
        <w:tc>
          <w:tcPr>
            <w:tcW w:w="595" w:type="dxa"/>
            <w:vMerge w:val="restart"/>
            <w:shd w:val="clear" w:color="auto" w:fill="auto"/>
            <w:vAlign w:val="center"/>
          </w:tcPr>
          <w:p w14:paraId="47E99A32"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w:t>
            </w:r>
          </w:p>
        </w:tc>
        <w:tc>
          <w:tcPr>
            <w:tcW w:w="2102" w:type="dxa"/>
            <w:tcBorders>
              <w:bottom w:val="single" w:sz="4" w:space="0" w:color="auto"/>
            </w:tcBorders>
            <w:shd w:val="clear" w:color="auto" w:fill="auto"/>
            <w:vAlign w:val="center"/>
          </w:tcPr>
          <w:p w14:paraId="67CD38B1"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eastAsia="vi-VN"/>
              </w:rPr>
            </w:pPr>
            <w:r w:rsidRPr="00093639">
              <w:rPr>
                <w:rStyle w:val="BodyTextChar1"/>
                <w:rFonts w:ascii="Arial" w:hAnsi="Arial" w:cs="Arial"/>
                <w:color w:val="000000"/>
                <w:sz w:val="20"/>
                <w:szCs w:val="20"/>
                <w:lang w:eastAsia="vi-VN"/>
              </w:rPr>
              <w:t xml:space="preserve">Tiền lương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w:t>
            </w:r>
            <w:r w:rsidR="00F375A3"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hội của tháng liền kề trước</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khi nghỉ việc</w:t>
            </w:r>
          </w:p>
        </w:tc>
        <w:tc>
          <w:tcPr>
            <w:tcW w:w="878" w:type="dxa"/>
            <w:vMerge w:val="restart"/>
            <w:shd w:val="clear" w:color="auto" w:fill="auto"/>
            <w:vAlign w:val="center"/>
          </w:tcPr>
          <w:p w14:paraId="4704D7E9"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x</w:t>
            </w:r>
          </w:p>
        </w:tc>
        <w:tc>
          <w:tcPr>
            <w:tcW w:w="1718" w:type="dxa"/>
            <w:vMerge w:val="restart"/>
            <w:shd w:val="clear" w:color="auto" w:fill="auto"/>
            <w:vAlign w:val="center"/>
          </w:tcPr>
          <w:p w14:paraId="1FDBD7EB"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Tỷ lệ hưởng chế độ ốm đau (%)</w:t>
            </w:r>
          </w:p>
        </w:tc>
        <w:tc>
          <w:tcPr>
            <w:tcW w:w="622" w:type="dxa"/>
            <w:vMerge w:val="restart"/>
            <w:shd w:val="clear" w:color="auto" w:fill="auto"/>
            <w:vAlign w:val="center"/>
          </w:tcPr>
          <w:p w14:paraId="4FF716C8"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x</w:t>
            </w:r>
          </w:p>
        </w:tc>
        <w:tc>
          <w:tcPr>
            <w:tcW w:w="1620" w:type="dxa"/>
            <w:vMerge w:val="restart"/>
            <w:shd w:val="clear" w:color="auto" w:fill="auto"/>
            <w:vAlign w:val="center"/>
          </w:tcPr>
          <w:p w14:paraId="5531CA46"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Số ngày nghỉ việc hưởng chế độ ốm đau</w:t>
            </w:r>
          </w:p>
        </w:tc>
      </w:tr>
      <w:tr w:rsidR="006C7B0D" w:rsidRPr="00093639" w14:paraId="4CD7BF89" w14:textId="77777777" w:rsidTr="00B979E8">
        <w:trPr>
          <w:trHeight w:val="864"/>
        </w:trPr>
        <w:tc>
          <w:tcPr>
            <w:tcW w:w="1465" w:type="dxa"/>
            <w:vMerge/>
            <w:shd w:val="clear" w:color="auto" w:fill="auto"/>
            <w:vAlign w:val="center"/>
          </w:tcPr>
          <w:p w14:paraId="49CBAEAA"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c>
          <w:tcPr>
            <w:tcW w:w="595" w:type="dxa"/>
            <w:vMerge/>
            <w:shd w:val="clear" w:color="auto" w:fill="auto"/>
            <w:vAlign w:val="center"/>
          </w:tcPr>
          <w:p w14:paraId="25F88567"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c>
          <w:tcPr>
            <w:tcW w:w="2102" w:type="dxa"/>
            <w:tcBorders>
              <w:top w:val="single" w:sz="4" w:space="0" w:color="auto"/>
            </w:tcBorders>
            <w:shd w:val="clear" w:color="auto" w:fill="auto"/>
            <w:vAlign w:val="center"/>
          </w:tcPr>
          <w:p w14:paraId="4A228B7F"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r w:rsidRPr="00093639">
              <w:rPr>
                <w:rStyle w:val="BodyTextChar1"/>
                <w:rFonts w:ascii="Arial" w:hAnsi="Arial" w:cs="Arial"/>
                <w:color w:val="000000"/>
                <w:sz w:val="20"/>
                <w:szCs w:val="20"/>
                <w:lang w:eastAsia="vi-VN"/>
              </w:rPr>
              <w:t>24 ngày</w:t>
            </w:r>
          </w:p>
        </w:tc>
        <w:tc>
          <w:tcPr>
            <w:tcW w:w="878" w:type="dxa"/>
            <w:vMerge/>
            <w:shd w:val="clear" w:color="auto" w:fill="auto"/>
            <w:vAlign w:val="center"/>
          </w:tcPr>
          <w:p w14:paraId="2A4E6121"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c>
          <w:tcPr>
            <w:tcW w:w="1718" w:type="dxa"/>
            <w:vMerge/>
            <w:shd w:val="clear" w:color="auto" w:fill="auto"/>
            <w:vAlign w:val="center"/>
          </w:tcPr>
          <w:p w14:paraId="1BF0E83C"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c>
          <w:tcPr>
            <w:tcW w:w="622" w:type="dxa"/>
            <w:vMerge/>
            <w:shd w:val="clear" w:color="auto" w:fill="auto"/>
            <w:vAlign w:val="center"/>
          </w:tcPr>
          <w:p w14:paraId="040A16F3"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c>
          <w:tcPr>
            <w:tcW w:w="1620" w:type="dxa"/>
            <w:vMerge/>
            <w:shd w:val="clear" w:color="auto" w:fill="auto"/>
            <w:vAlign w:val="center"/>
          </w:tcPr>
          <w:p w14:paraId="121F10E4" w14:textId="77777777" w:rsidR="00A614BC" w:rsidRPr="00093639" w:rsidRDefault="00A614BC" w:rsidP="006C7B0D">
            <w:pPr>
              <w:pStyle w:val="BodyText"/>
              <w:shd w:val="clear" w:color="auto" w:fill="auto"/>
              <w:spacing w:after="0" w:line="240" w:lineRule="auto"/>
              <w:ind w:firstLine="0"/>
              <w:jc w:val="center"/>
              <w:rPr>
                <w:rFonts w:ascii="Arial" w:hAnsi="Arial" w:cs="Arial"/>
                <w:color w:val="000000"/>
                <w:sz w:val="20"/>
                <w:szCs w:val="20"/>
              </w:rPr>
            </w:pPr>
          </w:p>
        </w:tc>
      </w:tr>
    </w:tbl>
    <w:p w14:paraId="0BDBDA4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Trong đó:</w:t>
      </w:r>
    </w:p>
    <w:p w14:paraId="0C5120F9" w14:textId="77777777" w:rsidR="00C87E13" w:rsidRPr="00093639" w:rsidRDefault="00F375A3" w:rsidP="006C7B0D">
      <w:pPr>
        <w:pStyle w:val="BodyText"/>
        <w:shd w:val="clear" w:color="auto" w:fill="auto"/>
        <w:tabs>
          <w:tab w:val="left" w:pos="8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Tỷ lệ hưởng chế độ ốm đau theo quy định tại điểm a khoản này.</w:t>
      </w:r>
    </w:p>
    <w:p w14:paraId="1F6AA1C3" w14:textId="77777777" w:rsidR="00C87E13" w:rsidRPr="00093639" w:rsidRDefault="00F375A3" w:rsidP="006C7B0D">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Số ngày nghỉ việc hưởng chế độ ốm đ</w:t>
      </w:r>
      <w:r w:rsidRPr="00093639">
        <w:rPr>
          <w:rStyle w:val="BodyTextChar1"/>
          <w:rFonts w:ascii="Arial" w:hAnsi="Arial" w:cs="Arial"/>
          <w:color w:val="000000"/>
          <w:sz w:val="20"/>
          <w:szCs w:val="20"/>
          <w:lang w:eastAsia="vi-VN"/>
        </w:rPr>
        <w:t>au tính cả ngày nghỉ lễ, nghỉ Tế</w:t>
      </w:r>
      <w:r w:rsidR="00C87E13" w:rsidRPr="00093639">
        <w:rPr>
          <w:rStyle w:val="BodyTextChar1"/>
          <w:rFonts w:ascii="Arial" w:hAnsi="Arial" w:cs="Arial"/>
          <w:color w:val="000000"/>
          <w:sz w:val="20"/>
          <w:szCs w:val="20"/>
          <w:lang w:eastAsia="vi-VN"/>
        </w:rPr>
        <w:t>t, ngày nghỉ hàng tuần.</w:t>
      </w:r>
    </w:p>
    <w:p w14:paraId="58CC7D3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lastRenderedPageBreak/>
        <w:t>Ví dụ 9: Bà N đang tham gia bảo hiểm xã hội bắt buộc, bị ốm đau phải nghỉ việc do mắc bệnh thuộc danh mục bệnh cần chữa trị dài ngày từ ngày 29/5/2021 đến ngày 25/8/2021. Giả sử tiền lương tháng đóng bảo hiểm xã hội bắt buộc tháng 4/2021 của bà N là 8.000.000 đồng, toàn bộ thời gian chế độ ốm đau của bà N được tính bằng 75%.</w:t>
      </w:r>
    </w:p>
    <w:p w14:paraId="37EDB7B3" w14:textId="77777777" w:rsidR="00C87E13" w:rsidRPr="00093639" w:rsidRDefault="00F375A3" w:rsidP="006C7B0D">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Số tháng nghỉ việc hưởng chế độ ốm đau của bà N là 2 tháng (từ ngày 29/5 đến ngày 28/7/2021).</w:t>
      </w:r>
    </w:p>
    <w:p w14:paraId="35AD116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Số ngày lẻ không trọn tháng của bà N là 28 ngày (từ ngày 29/7 đến ngày 25/8/2021).</w:t>
      </w:r>
    </w:p>
    <w:p w14:paraId="4B80E81E" w14:textId="77777777" w:rsidR="00C87E13" w:rsidRPr="00093639" w:rsidRDefault="00F375A3" w:rsidP="006C7B0D">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Mức hưởng chế độ ốm đau một thá</w:t>
      </w:r>
      <w:r w:rsidRPr="00093639">
        <w:rPr>
          <w:rStyle w:val="BodyTextChar1"/>
          <w:rFonts w:ascii="Arial" w:hAnsi="Arial" w:cs="Arial"/>
          <w:color w:val="000000"/>
          <w:sz w:val="20"/>
          <w:szCs w:val="20"/>
          <w:lang w:eastAsia="vi-VN"/>
        </w:rPr>
        <w:t>ng của bà N là: 8.000.000 đồng x 75% = 6.000.000 đồ</w:t>
      </w:r>
      <w:r w:rsidR="00C87E13" w:rsidRPr="00093639">
        <w:rPr>
          <w:rStyle w:val="BodyTextChar1"/>
          <w:rFonts w:ascii="Arial" w:hAnsi="Arial" w:cs="Arial"/>
          <w:color w:val="000000"/>
          <w:sz w:val="20"/>
          <w:szCs w:val="20"/>
          <w:lang w:eastAsia="vi-VN"/>
        </w:rPr>
        <w:t>ng.</w:t>
      </w:r>
    </w:p>
    <w:p w14:paraId="2B55A8FB" w14:textId="77777777" w:rsidR="00C87E13" w:rsidRPr="00093639" w:rsidRDefault="00F375A3" w:rsidP="006C7B0D">
      <w:pPr>
        <w:pStyle w:val="BodyText"/>
        <w:shd w:val="clear" w:color="auto" w:fill="auto"/>
        <w:tabs>
          <w:tab w:val="left" w:pos="996"/>
        </w:tabs>
        <w:spacing w:after="120" w:line="240" w:lineRule="auto"/>
        <w:ind w:firstLine="720"/>
        <w:jc w:val="both"/>
        <w:rPr>
          <w:rStyle w:val="BodyTextChar1"/>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Mức hưởng chế độ ốm đau của những ngày lẻ không trọn tháng (28 ngày) của bà N được tính như sau:</w:t>
      </w:r>
    </w:p>
    <w:tbl>
      <w:tblPr>
        <w:tblW w:w="0" w:type="auto"/>
        <w:tblInd w:w="108" w:type="dxa"/>
        <w:tblLook w:val="04A0" w:firstRow="1" w:lastRow="0" w:firstColumn="1" w:lastColumn="0" w:noHBand="0" w:noVBand="1"/>
      </w:tblPr>
      <w:tblGrid>
        <w:gridCol w:w="1465"/>
        <w:gridCol w:w="595"/>
        <w:gridCol w:w="2102"/>
        <w:gridCol w:w="1250"/>
        <w:gridCol w:w="1346"/>
        <w:gridCol w:w="1128"/>
        <w:gridCol w:w="1114"/>
      </w:tblGrid>
      <w:tr w:rsidR="00BA536F" w:rsidRPr="00093639" w14:paraId="2B241133" w14:textId="77777777" w:rsidTr="00B979E8">
        <w:trPr>
          <w:trHeight w:val="864"/>
        </w:trPr>
        <w:tc>
          <w:tcPr>
            <w:tcW w:w="1465" w:type="dxa"/>
            <w:vMerge w:val="restart"/>
            <w:shd w:val="clear" w:color="auto" w:fill="auto"/>
            <w:vAlign w:val="center"/>
          </w:tcPr>
          <w:p w14:paraId="1040761C"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r w:rsidRPr="00093639">
              <w:rPr>
                <w:rStyle w:val="BodyTextChar1"/>
                <w:rFonts w:ascii="Arial" w:hAnsi="Arial" w:cs="Arial"/>
                <w:color w:val="000000"/>
                <w:sz w:val="20"/>
                <w:szCs w:val="20"/>
                <w:lang w:eastAsia="vi-VN"/>
              </w:rPr>
              <w:t>Mức hưởng chế độ ốm đau</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của 28 ngày lẻ không trọn</w:t>
            </w:r>
            <w:r w:rsidRPr="00093639">
              <w:rPr>
                <w:rStyle w:val="BodyTextChar1"/>
                <w:rFonts w:ascii="Arial" w:hAnsi="Arial" w:cs="Arial"/>
                <w:color w:val="000000"/>
                <w:sz w:val="20"/>
                <w:szCs w:val="20"/>
                <w:lang w:val="en-US" w:eastAsia="vi-VN"/>
              </w:rPr>
              <w:t xml:space="preserve"> </w:t>
            </w:r>
            <w:r w:rsidRPr="00093639">
              <w:rPr>
                <w:rStyle w:val="BodyTextChar1"/>
                <w:rFonts w:ascii="Arial" w:hAnsi="Arial" w:cs="Arial"/>
                <w:color w:val="000000"/>
                <w:sz w:val="20"/>
                <w:szCs w:val="20"/>
                <w:lang w:eastAsia="vi-VN"/>
              </w:rPr>
              <w:t>tháng</w:t>
            </w:r>
          </w:p>
        </w:tc>
        <w:tc>
          <w:tcPr>
            <w:tcW w:w="595" w:type="dxa"/>
            <w:vMerge w:val="restart"/>
            <w:shd w:val="clear" w:color="auto" w:fill="auto"/>
            <w:vAlign w:val="center"/>
          </w:tcPr>
          <w:p w14:paraId="13FFCA3F"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w:t>
            </w:r>
          </w:p>
        </w:tc>
        <w:tc>
          <w:tcPr>
            <w:tcW w:w="2102" w:type="dxa"/>
            <w:tcBorders>
              <w:bottom w:val="single" w:sz="4" w:space="0" w:color="auto"/>
            </w:tcBorders>
            <w:shd w:val="clear" w:color="auto" w:fill="auto"/>
            <w:vAlign w:val="center"/>
          </w:tcPr>
          <w:p w14:paraId="56FE7D98"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eastAsia="vi-VN"/>
              </w:rPr>
            </w:pPr>
            <w:r w:rsidRPr="00093639">
              <w:rPr>
                <w:rStyle w:val="BodyTextChar1"/>
                <w:rFonts w:ascii="Arial" w:hAnsi="Arial" w:cs="Arial"/>
                <w:color w:val="000000"/>
                <w:sz w:val="20"/>
                <w:szCs w:val="20"/>
              </w:rPr>
              <w:t>8.000.000 đồng</w:t>
            </w:r>
          </w:p>
        </w:tc>
        <w:tc>
          <w:tcPr>
            <w:tcW w:w="1250" w:type="dxa"/>
            <w:vMerge w:val="restart"/>
            <w:shd w:val="clear" w:color="auto" w:fill="auto"/>
            <w:vAlign w:val="center"/>
          </w:tcPr>
          <w:p w14:paraId="7C251E96"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x</w:t>
            </w:r>
          </w:p>
        </w:tc>
        <w:tc>
          <w:tcPr>
            <w:tcW w:w="1346" w:type="dxa"/>
            <w:vMerge w:val="restart"/>
            <w:shd w:val="clear" w:color="auto" w:fill="auto"/>
            <w:vAlign w:val="center"/>
          </w:tcPr>
          <w:p w14:paraId="37134FB0"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75 (%)</w:t>
            </w:r>
          </w:p>
        </w:tc>
        <w:tc>
          <w:tcPr>
            <w:tcW w:w="1128" w:type="dxa"/>
            <w:vMerge w:val="restart"/>
            <w:shd w:val="clear" w:color="auto" w:fill="auto"/>
            <w:vAlign w:val="center"/>
          </w:tcPr>
          <w:p w14:paraId="7AE4DBB1"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x</w:t>
            </w:r>
          </w:p>
        </w:tc>
        <w:tc>
          <w:tcPr>
            <w:tcW w:w="1114" w:type="dxa"/>
            <w:vMerge w:val="restart"/>
            <w:shd w:val="clear" w:color="auto" w:fill="auto"/>
            <w:vAlign w:val="center"/>
          </w:tcPr>
          <w:p w14:paraId="38CCFD74"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28 ngày</w:t>
            </w:r>
          </w:p>
        </w:tc>
      </w:tr>
      <w:tr w:rsidR="00BA536F" w:rsidRPr="00093639" w14:paraId="2F6FD3A8" w14:textId="77777777" w:rsidTr="00B979E8">
        <w:trPr>
          <w:trHeight w:val="864"/>
        </w:trPr>
        <w:tc>
          <w:tcPr>
            <w:tcW w:w="1465" w:type="dxa"/>
            <w:vMerge/>
            <w:shd w:val="clear" w:color="auto" w:fill="auto"/>
            <w:vAlign w:val="center"/>
          </w:tcPr>
          <w:p w14:paraId="21B4A500"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c>
          <w:tcPr>
            <w:tcW w:w="595" w:type="dxa"/>
            <w:vMerge/>
            <w:shd w:val="clear" w:color="auto" w:fill="auto"/>
            <w:vAlign w:val="center"/>
          </w:tcPr>
          <w:p w14:paraId="2A2AB1D1"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c>
          <w:tcPr>
            <w:tcW w:w="2102" w:type="dxa"/>
            <w:tcBorders>
              <w:top w:val="single" w:sz="4" w:space="0" w:color="auto"/>
            </w:tcBorders>
            <w:shd w:val="clear" w:color="auto" w:fill="auto"/>
            <w:vAlign w:val="center"/>
          </w:tcPr>
          <w:p w14:paraId="42F456F9"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r w:rsidRPr="00093639">
              <w:rPr>
                <w:rStyle w:val="BodyTextChar1"/>
                <w:rFonts w:ascii="Arial" w:hAnsi="Arial" w:cs="Arial"/>
                <w:color w:val="000000"/>
                <w:sz w:val="20"/>
                <w:szCs w:val="20"/>
                <w:lang w:eastAsia="vi-VN"/>
              </w:rPr>
              <w:t>24 ngày</w:t>
            </w:r>
          </w:p>
        </w:tc>
        <w:tc>
          <w:tcPr>
            <w:tcW w:w="1250" w:type="dxa"/>
            <w:vMerge/>
            <w:shd w:val="clear" w:color="auto" w:fill="auto"/>
            <w:vAlign w:val="center"/>
          </w:tcPr>
          <w:p w14:paraId="32B96334"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c>
          <w:tcPr>
            <w:tcW w:w="1346" w:type="dxa"/>
            <w:vMerge/>
            <w:shd w:val="clear" w:color="auto" w:fill="auto"/>
            <w:vAlign w:val="center"/>
          </w:tcPr>
          <w:p w14:paraId="0D1F8614"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c>
          <w:tcPr>
            <w:tcW w:w="1128" w:type="dxa"/>
            <w:vMerge/>
            <w:shd w:val="clear" w:color="auto" w:fill="auto"/>
            <w:vAlign w:val="center"/>
          </w:tcPr>
          <w:p w14:paraId="0D676BFC"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c>
          <w:tcPr>
            <w:tcW w:w="1114" w:type="dxa"/>
            <w:vMerge/>
            <w:shd w:val="clear" w:color="auto" w:fill="auto"/>
            <w:vAlign w:val="center"/>
          </w:tcPr>
          <w:p w14:paraId="53A6574C" w14:textId="77777777" w:rsidR="00A614BC" w:rsidRPr="00093639" w:rsidRDefault="00A614BC" w:rsidP="00B979E8">
            <w:pPr>
              <w:pStyle w:val="BodyText"/>
              <w:shd w:val="clear" w:color="auto" w:fill="auto"/>
              <w:spacing w:after="0" w:line="240" w:lineRule="auto"/>
              <w:ind w:firstLine="0"/>
              <w:jc w:val="center"/>
              <w:rPr>
                <w:rFonts w:ascii="Arial" w:hAnsi="Arial" w:cs="Arial"/>
                <w:color w:val="000000"/>
                <w:sz w:val="20"/>
                <w:szCs w:val="20"/>
              </w:rPr>
            </w:pPr>
          </w:p>
        </w:tc>
      </w:tr>
      <w:tr w:rsidR="00B979E8" w:rsidRPr="00093639" w14:paraId="52A4ED2A" w14:textId="77777777" w:rsidTr="00B979E8">
        <w:trPr>
          <w:trHeight w:val="864"/>
        </w:trPr>
        <w:tc>
          <w:tcPr>
            <w:tcW w:w="9000" w:type="dxa"/>
            <w:gridSpan w:val="7"/>
            <w:shd w:val="clear" w:color="auto" w:fill="auto"/>
            <w:vAlign w:val="center"/>
          </w:tcPr>
          <w:p w14:paraId="70178DB9" w14:textId="77777777" w:rsidR="00F375A3" w:rsidRPr="00093639" w:rsidRDefault="00F375A3" w:rsidP="00B979E8">
            <w:pPr>
              <w:pStyle w:val="BodyText"/>
              <w:shd w:val="clear" w:color="auto" w:fill="auto"/>
              <w:spacing w:after="0" w:line="240" w:lineRule="auto"/>
              <w:ind w:firstLine="0"/>
              <w:jc w:val="center"/>
              <w:rPr>
                <w:rFonts w:ascii="Arial" w:hAnsi="Arial" w:cs="Arial"/>
                <w:color w:val="000000"/>
                <w:sz w:val="20"/>
                <w:szCs w:val="20"/>
                <w:lang w:val="en-US"/>
              </w:rPr>
            </w:pPr>
            <w:r w:rsidRPr="00093639">
              <w:rPr>
                <w:rFonts w:ascii="Arial" w:hAnsi="Arial" w:cs="Arial"/>
                <w:color w:val="000000"/>
                <w:sz w:val="20"/>
                <w:szCs w:val="20"/>
                <w:lang w:val="en-US"/>
              </w:rPr>
              <w:t>= 7.000.000 đồng</w:t>
            </w:r>
          </w:p>
        </w:tc>
      </w:tr>
    </w:tbl>
    <w:p w14:paraId="1C2B40F2"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Do mức hưởng chế độ ốm đau của 28 ngày lẻ không trọn tháng tính theo công thức nêu trên là 7.000.000 đồng cao hơn mức hưởng chế độ ốm đau một tháng (6.000.000 đồng) nên mức hưởng chế độ ốm đau của những ngày lẻ không trọn tháng của bà N được hưởng bằng mức hưởng một tháng là 6.000.000 đồng.</w:t>
      </w:r>
    </w:p>
    <w:p w14:paraId="426751D7"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Như vậy, mức hưởng chế độ ốm đau do mắc bệnh thuộc danh mục bệnh cần chữa trị dài ngày từ ngày 29/5/2021 đến ngày 25/8/2021 của bà N là: 6.000.000 đồng</w:t>
      </w:r>
      <w:r w:rsidR="00F375A3" w:rsidRPr="00093639">
        <w:rPr>
          <w:rStyle w:val="BodyTextChar1"/>
          <w:rFonts w:ascii="Arial" w:hAnsi="Arial" w:cs="Arial"/>
          <w:color w:val="000000"/>
          <w:sz w:val="20"/>
          <w:szCs w:val="20"/>
          <w:lang w:eastAsia="vi-VN"/>
        </w:rPr>
        <w:t xml:space="preserve"> x</w:t>
      </w:r>
      <w:r w:rsidRPr="00093639">
        <w:rPr>
          <w:rStyle w:val="BodyTextChar1"/>
          <w:rFonts w:ascii="Arial" w:hAnsi="Arial" w:cs="Arial"/>
          <w:color w:val="000000"/>
          <w:sz w:val="20"/>
          <w:szCs w:val="20"/>
          <w:lang w:eastAsia="vi-VN"/>
        </w:rPr>
        <w:t xml:space="preserve"> 02 tháng + 6.000.000 đồng = 18.000.000 đồng.”</w:t>
      </w:r>
    </w:p>
    <w:p w14:paraId="10BB7B5A" w14:textId="77777777" w:rsidR="00C87E13" w:rsidRPr="00093639" w:rsidRDefault="00F375A3" w:rsidP="006C7B0D">
      <w:pPr>
        <w:pStyle w:val="BodyText"/>
        <w:shd w:val="clear" w:color="auto" w:fill="auto"/>
        <w:tabs>
          <w:tab w:val="left" w:pos="1059"/>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3. </w:t>
      </w:r>
      <w:r w:rsidRPr="00093639">
        <w:rPr>
          <w:rStyle w:val="BodyTextChar1"/>
          <w:rFonts w:ascii="Arial" w:hAnsi="Arial" w:cs="Arial"/>
          <w:i/>
          <w:iCs/>
          <w:color w:val="000000"/>
          <w:sz w:val="20"/>
          <w:szCs w:val="20"/>
          <w:lang w:eastAsia="vi-VN"/>
        </w:rPr>
        <w:t>Bổ</w:t>
      </w:r>
      <w:r w:rsidR="00C87E13" w:rsidRPr="00093639">
        <w:rPr>
          <w:rStyle w:val="BodyTextChar1"/>
          <w:rFonts w:ascii="Arial" w:hAnsi="Arial" w:cs="Arial"/>
          <w:i/>
          <w:iCs/>
          <w:color w:val="000000"/>
          <w:sz w:val="20"/>
          <w:szCs w:val="20"/>
          <w:lang w:eastAsia="vi-VN"/>
        </w:rPr>
        <w:t xml:space="preserve"> sung vào cuối khoản 3 Điều 6 như sau:</w:t>
      </w:r>
    </w:p>
    <w:p w14:paraId="0377E1CC"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“Người lao động thuộc đối tượng đóng bảo hiểm xã hội bắt buộc vào quỹ ốm đau và thai sản bị ốm đau, tai nạn mà không phải tai nạn lao động hoặc phải nghỉ việc để chăm sóc con dưới 7 tuổi bị ốm đau mà thời gian nghỉ việc từ 14 ngày làm việc trở lên trong tháng (bao gồm cả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nghỉ việc không hưởng tiền lương) thì mức hưởng chế độ ốm đau được tính trên mức tiền lương đóng bảo hiểm xã hội của tháng liền kề trước khi nghỉ việc.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các tháng liền kề tiếp theo người lao động vẫn tiếp tục bị ốm và phải nghỉ việc thì mức hưởng chế độ ốm đau được tính trên tiền lương tháng làm căn cứ đóng bảo hiểm xã hội của tháng liền kề trước khi nghỉ việc.”</w:t>
      </w:r>
    </w:p>
    <w:p w14:paraId="291E0822" w14:textId="77777777" w:rsidR="00C87E13" w:rsidRPr="00093639" w:rsidRDefault="00F375A3" w:rsidP="006C7B0D">
      <w:pPr>
        <w:pStyle w:val="BodyText"/>
        <w:shd w:val="clear" w:color="auto" w:fill="auto"/>
        <w:tabs>
          <w:tab w:val="left" w:pos="1063"/>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4. </w:t>
      </w:r>
      <w:r w:rsidR="00C87E13" w:rsidRPr="00093639">
        <w:rPr>
          <w:rStyle w:val="BodyTextChar1"/>
          <w:rFonts w:ascii="Arial" w:hAnsi="Arial" w:cs="Arial"/>
          <w:i/>
          <w:iCs/>
          <w:color w:val="000000"/>
          <w:sz w:val="20"/>
          <w:szCs w:val="20"/>
          <w:lang w:eastAsia="vi-VN"/>
        </w:rPr>
        <w:t>Bổ sung kho</w:t>
      </w:r>
      <w:r w:rsidRPr="00093639">
        <w:rPr>
          <w:rStyle w:val="BodyTextChar1"/>
          <w:rFonts w:ascii="Arial" w:hAnsi="Arial" w:cs="Arial"/>
          <w:i/>
          <w:iCs/>
          <w:color w:val="000000"/>
          <w:sz w:val="20"/>
          <w:szCs w:val="20"/>
          <w:lang w:eastAsia="vi-VN"/>
        </w:rPr>
        <w:t>ản 1</w:t>
      </w:r>
      <w:r w:rsidR="00C87E13" w:rsidRPr="00093639">
        <w:rPr>
          <w:rStyle w:val="BodyTextChar1"/>
          <w:rFonts w:ascii="Arial" w:hAnsi="Arial" w:cs="Arial"/>
          <w:i/>
          <w:iCs/>
          <w:color w:val="000000"/>
          <w:sz w:val="20"/>
          <w:szCs w:val="20"/>
          <w:lang w:eastAsia="vi-VN"/>
        </w:rPr>
        <w:t>a sau khoản 1 Điều 7 như sau:</w:t>
      </w:r>
    </w:p>
    <w:p w14:paraId="002ABC99"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“1</w:t>
      </w:r>
      <w:r w:rsidR="00C87E13" w:rsidRPr="00093639">
        <w:rPr>
          <w:rStyle w:val="BodyTextChar1"/>
          <w:rFonts w:ascii="Arial" w:hAnsi="Arial" w:cs="Arial"/>
          <w:color w:val="000000"/>
          <w:sz w:val="20"/>
          <w:szCs w:val="20"/>
          <w:lang w:eastAsia="vi-VN"/>
        </w:rPr>
        <w:t xml:space="preserve">a. Thời gian được nghỉ dưỡng sức, phục hồi sức </w:t>
      </w:r>
      <w:r w:rsidRPr="00093639">
        <w:rPr>
          <w:rStyle w:val="BodyTextChar1"/>
          <w:rFonts w:ascii="Arial" w:hAnsi="Arial" w:cs="Arial"/>
          <w:color w:val="000000"/>
          <w:sz w:val="20"/>
          <w:szCs w:val="20"/>
          <w:lang w:eastAsia="vi-VN"/>
        </w:rPr>
        <w:t>khỏe</w:t>
      </w:r>
      <w:r w:rsidR="00C87E13" w:rsidRPr="00093639">
        <w:rPr>
          <w:rStyle w:val="BodyTextChar1"/>
          <w:rFonts w:ascii="Arial" w:hAnsi="Arial" w:cs="Arial"/>
          <w:color w:val="000000"/>
          <w:sz w:val="20"/>
          <w:szCs w:val="20"/>
          <w:lang w:eastAsia="vi-VN"/>
        </w:rPr>
        <w:t xml:space="preserve"> tối đa trong một năm được thực hiện theo quy định tại khoản 2 Điều 29 của Luật Bảo hiểm xã hội. Việc xác định thời gian tối đa được hưởng chế độ dưỡng sức, phục hồi sức khỏe trong một năm được căn cứ theo lần nghỉ việc hưởng chế độ ốm đau cuối cùng trước khi nghỉ dưỡng sức, phục hồi sức khỏe (ốm đau thuộc danh mục bệnh cần chữa trị dài ngày hoặc ốm đau do phải phẫu thuật hoặc ốm đau khác).”</w:t>
      </w:r>
    </w:p>
    <w:p w14:paraId="0291EE8F" w14:textId="77777777" w:rsidR="00C87E13" w:rsidRPr="00093639" w:rsidRDefault="00F375A3" w:rsidP="006C7B0D">
      <w:pPr>
        <w:pStyle w:val="BodyText"/>
        <w:shd w:val="clear" w:color="auto" w:fill="auto"/>
        <w:tabs>
          <w:tab w:val="left" w:pos="989"/>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5. </w:t>
      </w:r>
      <w:r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w:t>
      </w:r>
      <w:r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c và </w:t>
      </w:r>
      <w:r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d vào khoản 2 Điều 9 như sau:</w:t>
      </w:r>
    </w:p>
    <w:p w14:paraId="3379A789"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“c)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người mẹ tham gia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nhưng không đủ điều kiện hưởng chế độ thai sản khi sinh con mà người cha đủ điều kiện quy định tại điểm a khoản này thì người cha được hưởng trợ cấp một lần khi sinh con theo Điều 38 của Luật Bảo hiểm xã hội.</w:t>
      </w:r>
    </w:p>
    <w:p w14:paraId="5D1D14D6"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d) Việc xác định thời gian 12 tháng trước khi sinh con đối với người lao động nam, người chồng của người mẹ nhờ mang thai hộ hưởng trợ cấp một lần khi vợ sinh con thực hiện theo quy định tại khoản 1 Điều này.”</w:t>
      </w:r>
    </w:p>
    <w:p w14:paraId="3FB54D24"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6</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i/>
          <w:iCs/>
          <w:color w:val="000000"/>
          <w:sz w:val="20"/>
          <w:szCs w:val="20"/>
          <w:lang w:eastAsia="vi-VN"/>
        </w:rPr>
        <w:t>Sửa đổi khổ</w:t>
      </w:r>
      <w:r w:rsidR="00C87E13" w:rsidRPr="00093639">
        <w:rPr>
          <w:rStyle w:val="BodyTextChar1"/>
          <w:rFonts w:ascii="Arial" w:hAnsi="Arial" w:cs="Arial"/>
          <w:i/>
          <w:iCs/>
          <w:color w:val="000000"/>
          <w:sz w:val="20"/>
          <w:szCs w:val="20"/>
          <w:lang w:eastAsia="vi-VN"/>
        </w:rPr>
        <w:t xml:space="preserve"> thứ </w:t>
      </w:r>
      <w:r w:rsidRPr="00093639">
        <w:rPr>
          <w:rStyle w:val="BodyTextChar1"/>
          <w:rFonts w:ascii="Arial" w:hAnsi="Arial" w:cs="Arial"/>
          <w:i/>
          <w:iCs/>
          <w:color w:val="000000"/>
          <w:sz w:val="20"/>
          <w:szCs w:val="20"/>
          <w:lang w:eastAsia="vi-VN"/>
        </w:rPr>
        <w:t>nhất</w:t>
      </w:r>
      <w:r w:rsidR="00C87E13" w:rsidRPr="00093639">
        <w:rPr>
          <w:rStyle w:val="BodyTextChar1"/>
          <w:rFonts w:ascii="Arial" w:hAnsi="Arial" w:cs="Arial"/>
          <w:i/>
          <w:iCs/>
          <w:color w:val="000000"/>
          <w:sz w:val="20"/>
          <w:szCs w:val="20"/>
          <w:lang w:eastAsia="vi-VN"/>
        </w:rPr>
        <w:t xml:space="preserve"> khoản 3 Điều 10 như sau:</w:t>
      </w:r>
    </w:p>
    <w:p w14:paraId="295D35B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“3.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lao động nữ mang thai đôi trở lên mà khi sinh nếu có con bị chết hoặc chết </w:t>
      </w:r>
      <w:r w:rsidRPr="00093639">
        <w:rPr>
          <w:rStyle w:val="BodyTextChar1"/>
          <w:rFonts w:ascii="Arial" w:hAnsi="Arial" w:cs="Arial"/>
          <w:color w:val="000000"/>
          <w:sz w:val="20"/>
          <w:szCs w:val="20"/>
          <w:lang w:eastAsia="vi-VN"/>
        </w:rPr>
        <w:lastRenderedPageBreak/>
        <w:t xml:space="preserve">lưu thì thời gian hưởng, trợ cấp thai sản khi sinh con và trợ cấp một lần khi sinh con được tính theo số con được sinh ra, bao gồm cả con bị chết hoặc chết </w:t>
      </w:r>
      <w:r w:rsidR="00F375A3" w:rsidRPr="00093639">
        <w:rPr>
          <w:rStyle w:val="BodyTextChar1"/>
          <w:rFonts w:ascii="Arial" w:hAnsi="Arial" w:cs="Arial"/>
          <w:color w:val="000000"/>
          <w:sz w:val="20"/>
          <w:szCs w:val="20"/>
          <w:lang w:val="en-US" w:eastAsia="vi-VN"/>
        </w:rPr>
        <w:t>lưu</w:t>
      </w:r>
      <w:r w:rsidRPr="00093639">
        <w:rPr>
          <w:rStyle w:val="BodyTextChar1"/>
          <w:rFonts w:ascii="Arial" w:hAnsi="Arial" w:cs="Arial"/>
          <w:color w:val="000000"/>
          <w:sz w:val="20"/>
          <w:szCs w:val="20"/>
          <w:lang w:eastAsia="vi-VN"/>
        </w:rPr>
        <w:t>.”</w:t>
      </w:r>
    </w:p>
    <w:p w14:paraId="77E3A7CA" w14:textId="77777777" w:rsidR="00C87E13" w:rsidRPr="00093639" w:rsidRDefault="00F375A3" w:rsidP="006C7B0D">
      <w:pPr>
        <w:pStyle w:val="BodyText"/>
        <w:shd w:val="clear" w:color="auto" w:fill="auto"/>
        <w:tabs>
          <w:tab w:val="left" w:pos="1029"/>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7. </w:t>
      </w:r>
      <w:r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4 và khoản 5 vào </w:t>
      </w:r>
      <w:r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10 như sau:</w:t>
      </w:r>
    </w:p>
    <w:p w14:paraId="73A8F48E"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“4. Lao động nam đang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bắt buộc vào quỹ ốm đau và thai sản khi vợ sinh con </w:t>
      </w:r>
      <w:r w:rsidR="00F375A3" w:rsidRPr="00093639">
        <w:rPr>
          <w:rStyle w:val="BodyTextChar1"/>
          <w:rFonts w:ascii="Arial" w:hAnsi="Arial" w:cs="Arial"/>
          <w:color w:val="000000"/>
          <w:sz w:val="20"/>
          <w:szCs w:val="20"/>
          <w:lang w:eastAsia="vi-VN"/>
        </w:rPr>
        <w:t>được</w:t>
      </w:r>
      <w:r w:rsidRPr="00093639">
        <w:rPr>
          <w:rStyle w:val="BodyTextChar1"/>
          <w:rFonts w:ascii="Arial" w:hAnsi="Arial" w:cs="Arial"/>
          <w:color w:val="000000"/>
          <w:sz w:val="20"/>
          <w:szCs w:val="20"/>
          <w:lang w:eastAsia="vi-VN"/>
        </w:rPr>
        <w:t xml:space="preserve"> nghỉ việc </w:t>
      </w:r>
      <w:r w:rsidR="00F375A3"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chế độ thai sản theo quy định tại khoản 2 Điều 34 của Luật Bảo hiểm xã hội,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nghỉ nhiều lần thì thời gian bắt đầu nghỉ việc của lần cuối cùng vẫn phải trong</w:t>
      </w:r>
      <w:r w:rsidR="00802B31" w:rsidRPr="00093639">
        <w:rPr>
          <w:rStyle w:val="BodyTextChar1"/>
          <w:rFonts w:ascii="Arial" w:hAnsi="Arial" w:cs="Arial"/>
          <w:color w:val="000000"/>
          <w:sz w:val="20"/>
          <w:szCs w:val="20"/>
          <w:lang w:eastAsia="vi-VN"/>
        </w:rPr>
        <w:t xml:space="preserve"> khoảng thời gian 30 ngày đầu kể từ ngày vợ</w:t>
      </w:r>
      <w:r w:rsidRPr="00093639">
        <w:rPr>
          <w:rStyle w:val="BodyTextChar1"/>
          <w:rFonts w:ascii="Arial" w:hAnsi="Arial" w:cs="Arial"/>
          <w:color w:val="000000"/>
          <w:sz w:val="20"/>
          <w:szCs w:val="20"/>
          <w:lang w:eastAsia="vi-VN"/>
        </w:rPr>
        <w:t xml:space="preserve"> sinh con và </w:t>
      </w:r>
      <w:r w:rsidR="00802B31" w:rsidRPr="00093639">
        <w:rPr>
          <w:rStyle w:val="BodyTextChar1"/>
          <w:rFonts w:ascii="Arial" w:hAnsi="Arial" w:cs="Arial"/>
          <w:color w:val="000000"/>
          <w:sz w:val="20"/>
          <w:szCs w:val="20"/>
          <w:lang w:eastAsia="vi-VN"/>
        </w:rPr>
        <w:t>tổng</w:t>
      </w:r>
      <w:r w:rsidRPr="00093639">
        <w:rPr>
          <w:rStyle w:val="BodyTextChar1"/>
          <w:rFonts w:ascii="Arial" w:hAnsi="Arial" w:cs="Arial"/>
          <w:color w:val="000000"/>
          <w:sz w:val="20"/>
          <w:szCs w:val="20"/>
          <w:lang w:eastAsia="vi-VN"/>
        </w:rPr>
        <w:t xml:space="preserve"> thời gian nghỉ việc </w:t>
      </w:r>
      <w:r w:rsidR="00F375A3"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chế độ thai sản không quá thời gian quy định.</w:t>
      </w:r>
    </w:p>
    <w:p w14:paraId="33BAD550"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5. Khi tính thời gian </w:t>
      </w:r>
      <w:r w:rsidR="00F375A3"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chế độ thai sản theo quy định tại Điều 32, Điều 33, khoản 2 Điều 34 và Điều 37 của Luật Bảo hiểm xã hội đối với </w:t>
      </w:r>
      <w:r w:rsidR="00802B31" w:rsidRPr="00093639">
        <w:rPr>
          <w:rStyle w:val="BodyTextChar1"/>
          <w:rFonts w:ascii="Arial" w:hAnsi="Arial" w:cs="Arial"/>
          <w:color w:val="000000"/>
          <w:sz w:val="20"/>
          <w:szCs w:val="20"/>
          <w:lang w:eastAsia="vi-VN"/>
        </w:rPr>
        <w:t>trường</w:t>
      </w:r>
      <w:r w:rsidRPr="00093639">
        <w:rPr>
          <w:rStyle w:val="BodyTextChar1"/>
          <w:rFonts w:ascii="Arial" w:hAnsi="Arial" w:cs="Arial"/>
          <w:color w:val="000000"/>
          <w:sz w:val="20"/>
          <w:szCs w:val="20"/>
          <w:lang w:eastAsia="vi-VN"/>
        </w:rPr>
        <w:t xml:space="preserve"> hợp </w:t>
      </w:r>
      <w:r w:rsidR="00802B31" w:rsidRPr="00093639">
        <w:rPr>
          <w:rStyle w:val="BodyTextChar1"/>
          <w:rFonts w:ascii="Arial" w:hAnsi="Arial" w:cs="Arial"/>
          <w:color w:val="000000"/>
          <w:sz w:val="20"/>
          <w:szCs w:val="20"/>
          <w:lang w:eastAsia="vi-VN"/>
        </w:rPr>
        <w:t>người</w:t>
      </w:r>
      <w:r w:rsidRPr="00093639">
        <w:rPr>
          <w:rStyle w:val="BodyTextChar1"/>
          <w:rFonts w:ascii="Arial" w:hAnsi="Arial" w:cs="Arial"/>
          <w:color w:val="000000"/>
          <w:sz w:val="20"/>
          <w:szCs w:val="20"/>
          <w:lang w:eastAsia="vi-VN"/>
        </w:rPr>
        <w:t xml:space="preserve"> lao động đang nghỉ phép hằng năm, nghỉ việc riêng, nghỉ không </w:t>
      </w:r>
      <w:r w:rsidR="00F375A3"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lương theo quy định của pháp luật lao động thì thời gian trùng với thời gian nghỉ phép hằng năm, nghỉ việc riêng, nghỉ không hưởng lương không được tính hưởng chế độ; thời gian nghỉ việc ngoài thời gian nghỉ phép hằng năm, nghỉ việc riêng, nghỉ không hưởng lương được tính hưởng chế độ thai sản theo quy định tại Điều 32, Điều 33, khoản 2 Điều 34 và Điều 37 của Luật Bảo hiểm xã hội.”</w:t>
      </w:r>
    </w:p>
    <w:p w14:paraId="21961CEE" w14:textId="77777777" w:rsidR="00C87E13" w:rsidRPr="00093639" w:rsidRDefault="00802B31" w:rsidP="006C7B0D">
      <w:pPr>
        <w:pStyle w:val="BodyText"/>
        <w:shd w:val="clear" w:color="auto" w:fill="auto"/>
        <w:tabs>
          <w:tab w:val="left" w:pos="1067"/>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8. </w:t>
      </w:r>
      <w:r w:rsidR="00F375A3" w:rsidRPr="00093639">
        <w:rPr>
          <w:rStyle w:val="BodyTextChar1"/>
          <w:rFonts w:ascii="Arial" w:hAnsi="Arial" w:cs="Arial"/>
          <w:i/>
          <w:iCs/>
          <w:color w:val="000000"/>
          <w:sz w:val="20"/>
          <w:szCs w:val="20"/>
          <w:lang w:eastAsia="vi-VN"/>
        </w:rPr>
        <w:t>Bổ</w:t>
      </w:r>
      <w:r w:rsidR="00C87E13" w:rsidRPr="00093639">
        <w:rPr>
          <w:rStyle w:val="BodyTextChar1"/>
          <w:rFonts w:ascii="Arial" w:hAnsi="Arial" w:cs="Arial"/>
          <w:i/>
          <w:iCs/>
          <w:color w:val="000000"/>
          <w:sz w:val="20"/>
          <w:szCs w:val="20"/>
          <w:lang w:eastAsia="vi-VN"/>
        </w:rPr>
        <w:t xml:space="preserve"> sung vào cuối khoản 1 Điều 13 như sau:</w:t>
      </w:r>
    </w:p>
    <w:p w14:paraId="16E09926" w14:textId="77777777" w:rsidR="00C87E13" w:rsidRPr="00093639" w:rsidRDefault="00802B31"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“Khoả</w:t>
      </w:r>
      <w:r w:rsidR="00C87E13" w:rsidRPr="00093639">
        <w:rPr>
          <w:rStyle w:val="BodyTextChar1"/>
          <w:rFonts w:ascii="Arial" w:hAnsi="Arial" w:cs="Arial"/>
          <w:color w:val="000000"/>
          <w:sz w:val="20"/>
          <w:szCs w:val="20"/>
          <w:lang w:eastAsia="vi-VN"/>
        </w:rPr>
        <w:t>ng thời gian 30 ngày đầu làm việc theo quy định tại khoản 1 Điều 41 của Luật Bảo hiểm xã hội là khoảng thời gian 30 ngày làm việc kể từ ngày hết thời hạn được hưởng chế độ thai sản mà sức khỏe của người lao động chưa phục hồi.</w:t>
      </w:r>
    </w:p>
    <w:p w14:paraId="4160139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Lao động nữ đi làm trước khi hết thời hạn nghỉ sinh con theo quy định tại Điều 40 của Luật Bảo hiểm xã hội thì không giải quyết chế độ dưỡng sức, phục hồi sức khỏe sau thời gian hưởng chế độ khi sinh con.”</w:t>
      </w:r>
    </w:p>
    <w:p w14:paraId="1DDD021E" w14:textId="77777777" w:rsidR="00C87E13" w:rsidRPr="00093639" w:rsidRDefault="00802B31" w:rsidP="006C7B0D">
      <w:pPr>
        <w:pStyle w:val="BodyText"/>
        <w:shd w:val="clear" w:color="auto" w:fill="auto"/>
        <w:tabs>
          <w:tab w:val="left" w:pos="1067"/>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9.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3 và khoản 4 vào Điều 13 như sau:</w:t>
      </w:r>
    </w:p>
    <w:p w14:paraId="42A70673"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“3. Đối với lao động nữ trong một năm vừa nghỉ việc hưởng chế độ dưỡng sức, phục hồi sức khỏe sau thời gian hưởng chế độ thai sản quy định tại Điều 33 của Luật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vừa nghỉ việc hưởng chế độ dưỡng sức, phục hồi sức khỏe sau thời gian hưởng chế độ thai sản quy định tại khoản 1 hoặc khoản 3 Điều 34 của Luật Bảo hiểm xã hội thì thời gian nghỉ việc hưởng chế độ dưỡng sức, phục hồi sức khỏe trong năm đối với mỗi </w:t>
      </w:r>
      <w:r w:rsidR="00F375A3" w:rsidRPr="00093639">
        <w:rPr>
          <w:rStyle w:val="BodyTextChar1"/>
          <w:rFonts w:ascii="Arial" w:hAnsi="Arial" w:cs="Arial"/>
          <w:color w:val="000000"/>
          <w:sz w:val="20"/>
          <w:szCs w:val="20"/>
          <w:lang w:eastAsia="vi-VN"/>
        </w:rPr>
        <w:t>trường hợp</w:t>
      </w:r>
      <w:r w:rsidRPr="00093639">
        <w:rPr>
          <w:rStyle w:val="BodyTextChar1"/>
          <w:rFonts w:ascii="Arial" w:hAnsi="Arial" w:cs="Arial"/>
          <w:color w:val="000000"/>
          <w:sz w:val="20"/>
          <w:szCs w:val="20"/>
          <w:lang w:eastAsia="vi-VN"/>
        </w:rPr>
        <w:t xml:space="preserve"> không quá thời gian tối đa quy định tại khoản 2 Điều 41 của Luật Bảo hiểm xã hội.</w:t>
      </w:r>
    </w:p>
    <w:p w14:paraId="1CAF438B" w14:textId="77777777" w:rsidR="00C87E13" w:rsidRPr="00093639" w:rsidRDefault="00802B31"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4. </w:t>
      </w:r>
      <w:r w:rsidR="00C87E13" w:rsidRPr="00093639">
        <w:rPr>
          <w:rStyle w:val="BodyTextChar1"/>
          <w:rFonts w:ascii="Arial" w:hAnsi="Arial" w:cs="Arial"/>
          <w:color w:val="000000"/>
          <w:sz w:val="20"/>
          <w:szCs w:val="20"/>
          <w:lang w:eastAsia="vi-VN"/>
        </w:rPr>
        <w:t>Trường hợp người lao động không nghỉ việc thì không được hưởng chế độ dưỡng sức, phục hồi sức khỏe.”</w:t>
      </w:r>
    </w:p>
    <w:p w14:paraId="0ABEF634" w14:textId="77777777" w:rsidR="00C87E13" w:rsidRPr="00093639" w:rsidRDefault="00802B31" w:rsidP="006C7B0D">
      <w:pPr>
        <w:pStyle w:val="BodyText"/>
        <w:shd w:val="clear" w:color="auto" w:fill="auto"/>
        <w:tabs>
          <w:tab w:val="left" w:pos="1176"/>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10. </w:t>
      </w:r>
      <w:r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14 như sau:</w:t>
      </w:r>
    </w:p>
    <w:p w14:paraId="5AF7E009"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b/>
          <w:bCs/>
          <w:color w:val="000000"/>
          <w:sz w:val="20"/>
          <w:szCs w:val="20"/>
          <w:lang w:eastAsia="vi-VN"/>
        </w:rPr>
        <w:t>“Điều 14. Hồ sơ, giải quyết hưởng chế độ thai sản</w:t>
      </w:r>
    </w:p>
    <w:p w14:paraId="725AAD7B" w14:textId="77777777" w:rsidR="00C87E13" w:rsidRPr="00093639" w:rsidRDefault="00802B31" w:rsidP="006C7B0D">
      <w:pPr>
        <w:pStyle w:val="BodyText"/>
        <w:shd w:val="clear" w:color="auto" w:fill="auto"/>
        <w:tabs>
          <w:tab w:val="left" w:pos="10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1. </w:t>
      </w:r>
      <w:r w:rsidR="00C87E13" w:rsidRPr="00093639">
        <w:rPr>
          <w:rStyle w:val="BodyTextChar1"/>
          <w:rFonts w:ascii="Arial" w:hAnsi="Arial" w:cs="Arial"/>
          <w:color w:val="000000"/>
          <w:sz w:val="20"/>
          <w:szCs w:val="20"/>
          <w:lang w:eastAsia="vi-VN"/>
        </w:rPr>
        <w:t>Hồ sơ, giải quyết hưởng chế độ thai sản, dưỡng sức, phục hồi sức khỏe sau thai sản thực hiện theo quy định tại Điều 101, Điều 102, Điều 103 của Luật Bảo hiểm xã hội và Điều 5 của Nghị định số 115/2015/NĐ-CP.</w:t>
      </w:r>
    </w:p>
    <w:p w14:paraId="1BBE3D53" w14:textId="77777777" w:rsidR="00C87E13" w:rsidRPr="00093639" w:rsidRDefault="00802B31" w:rsidP="006C7B0D">
      <w:pPr>
        <w:pStyle w:val="BodyText"/>
        <w:shd w:val="clear" w:color="auto" w:fill="auto"/>
        <w:tabs>
          <w:tab w:val="left" w:pos="1033"/>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2. </w:t>
      </w:r>
      <w:r w:rsidR="00C87E13" w:rsidRPr="00093639">
        <w:rPr>
          <w:rStyle w:val="BodyTextChar1"/>
          <w:rFonts w:ascii="Arial" w:hAnsi="Arial" w:cs="Arial"/>
          <w:color w:val="000000"/>
          <w:sz w:val="20"/>
          <w:szCs w:val="20"/>
          <w:lang w:eastAsia="vi-VN"/>
        </w:rPr>
        <w:t xml:space="preserve">Người lao động có trách nhiệm nộp </w:t>
      </w:r>
      <w:r w:rsidRPr="00093639">
        <w:rPr>
          <w:rStyle w:val="BodyTextChar1"/>
          <w:rFonts w:ascii="Arial" w:hAnsi="Arial" w:cs="Arial"/>
          <w:color w:val="000000"/>
          <w:sz w:val="20"/>
          <w:szCs w:val="20"/>
          <w:lang w:eastAsia="vi-VN"/>
        </w:rPr>
        <w:t>hồ sơ</w:t>
      </w:r>
      <w:r w:rsidR="00C87E13" w:rsidRPr="00093639">
        <w:rPr>
          <w:rStyle w:val="BodyTextChar1"/>
          <w:rFonts w:ascii="Arial" w:hAnsi="Arial" w:cs="Arial"/>
          <w:color w:val="000000"/>
          <w:sz w:val="20"/>
          <w:szCs w:val="20"/>
          <w:lang w:eastAsia="vi-VN"/>
        </w:rPr>
        <w:t xml:space="preserve"> theo quy định cho người sử dụng lao</w:t>
      </w:r>
      <w:r w:rsidRPr="00093639">
        <w:rPr>
          <w:rStyle w:val="BodyTextChar1"/>
          <w:rFonts w:ascii="Arial" w:hAnsi="Arial" w:cs="Arial"/>
          <w:color w:val="000000"/>
          <w:sz w:val="20"/>
          <w:szCs w:val="20"/>
          <w:lang w:eastAsia="vi-VN"/>
        </w:rPr>
        <w:t xml:space="preserve"> động nhưng không quá 45 ngày kể</w:t>
      </w:r>
      <w:r w:rsidR="00C87E13" w:rsidRPr="00093639">
        <w:rPr>
          <w:rStyle w:val="BodyTextChar1"/>
          <w:rFonts w:ascii="Arial" w:hAnsi="Arial" w:cs="Arial"/>
          <w:color w:val="000000"/>
          <w:sz w:val="20"/>
          <w:szCs w:val="20"/>
          <w:lang w:eastAsia="vi-VN"/>
        </w:rPr>
        <w:t xml:space="preserve"> từ ngày trở lại làm việc.</w:t>
      </w:r>
    </w:p>
    <w:p w14:paraId="6C435385"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Trường hợp</w:t>
      </w:r>
      <w:r w:rsidR="00C87E13" w:rsidRPr="00093639">
        <w:rPr>
          <w:rStyle w:val="BodyTextChar1"/>
          <w:rFonts w:ascii="Arial" w:hAnsi="Arial" w:cs="Arial"/>
          <w:color w:val="000000"/>
          <w:sz w:val="20"/>
          <w:szCs w:val="20"/>
          <w:lang w:eastAsia="vi-VN"/>
        </w:rPr>
        <w:t xml:space="preserve"> người lao động chấm dứt </w:t>
      </w:r>
      <w:r w:rsidR="00802B31" w:rsidRPr="00093639">
        <w:rPr>
          <w:rStyle w:val="BodyTextChar1"/>
          <w:rFonts w:ascii="Arial" w:hAnsi="Arial" w:cs="Arial"/>
          <w:color w:val="000000"/>
          <w:sz w:val="20"/>
          <w:szCs w:val="20"/>
          <w:lang w:eastAsia="vi-VN"/>
        </w:rPr>
        <w:t>hợp đồng</w:t>
      </w:r>
      <w:r w:rsidR="00C87E13" w:rsidRPr="00093639">
        <w:rPr>
          <w:rStyle w:val="BodyTextChar1"/>
          <w:rFonts w:ascii="Arial" w:hAnsi="Arial" w:cs="Arial"/>
          <w:color w:val="000000"/>
          <w:sz w:val="20"/>
          <w:szCs w:val="20"/>
          <w:lang w:eastAsia="vi-VN"/>
        </w:rPr>
        <w:t xml:space="preserve"> lao động, </w:t>
      </w:r>
      <w:r w:rsidR="00802B31" w:rsidRPr="00093639">
        <w:rPr>
          <w:rStyle w:val="BodyTextChar1"/>
          <w:rFonts w:ascii="Arial" w:hAnsi="Arial" w:cs="Arial"/>
          <w:color w:val="000000"/>
          <w:sz w:val="20"/>
          <w:szCs w:val="20"/>
          <w:lang w:eastAsia="vi-VN"/>
        </w:rPr>
        <w:t>hợp đồng</w:t>
      </w:r>
      <w:r w:rsidR="00C87E13" w:rsidRPr="00093639">
        <w:rPr>
          <w:rStyle w:val="BodyTextChar1"/>
          <w:rFonts w:ascii="Arial" w:hAnsi="Arial" w:cs="Arial"/>
          <w:color w:val="000000"/>
          <w:sz w:val="20"/>
          <w:szCs w:val="20"/>
          <w:lang w:eastAsia="vi-VN"/>
        </w:rPr>
        <w:t xml:space="preserve"> làm việc hoặc thôi việc trước thời </w:t>
      </w:r>
      <w:r w:rsidRPr="00093639">
        <w:rPr>
          <w:rStyle w:val="BodyTextChar1"/>
          <w:rFonts w:ascii="Arial" w:hAnsi="Arial" w:cs="Arial"/>
          <w:color w:val="000000"/>
          <w:sz w:val="20"/>
          <w:szCs w:val="20"/>
          <w:lang w:eastAsia="vi-VN"/>
        </w:rPr>
        <w:t>điểm</w:t>
      </w:r>
      <w:r w:rsidR="00C87E13" w:rsidRPr="00093639">
        <w:rPr>
          <w:rStyle w:val="BodyTextChar1"/>
          <w:rFonts w:ascii="Arial" w:hAnsi="Arial" w:cs="Arial"/>
          <w:color w:val="000000"/>
          <w:sz w:val="20"/>
          <w:szCs w:val="20"/>
          <w:lang w:eastAsia="vi-VN"/>
        </w:rPr>
        <w:t xml:space="preserve"> sinh con, thời điểm nhận con, thời điểm nhận nuôi con nuôi thì nộp </w:t>
      </w:r>
      <w:r w:rsidR="00802B31" w:rsidRPr="00093639">
        <w:rPr>
          <w:rStyle w:val="BodyTextChar1"/>
          <w:rFonts w:ascii="Arial" w:hAnsi="Arial" w:cs="Arial"/>
          <w:color w:val="000000"/>
          <w:sz w:val="20"/>
          <w:szCs w:val="20"/>
          <w:lang w:eastAsia="vi-VN"/>
        </w:rPr>
        <w:t>hồ sơ</w:t>
      </w:r>
      <w:r w:rsidR="00C87E13" w:rsidRPr="00093639">
        <w:rPr>
          <w:rStyle w:val="BodyTextChar1"/>
          <w:rFonts w:ascii="Arial" w:hAnsi="Arial" w:cs="Arial"/>
          <w:color w:val="000000"/>
          <w:sz w:val="20"/>
          <w:szCs w:val="20"/>
          <w:lang w:eastAsia="vi-VN"/>
        </w:rPr>
        <w:t xml:space="preserve"> và xuất trình số </w:t>
      </w:r>
      <w:r w:rsidR="00A614BC"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cho </w:t>
      </w:r>
      <w:r w:rsidR="00802B31" w:rsidRPr="00093639">
        <w:rPr>
          <w:rStyle w:val="BodyTextChar1"/>
          <w:rFonts w:ascii="Arial" w:hAnsi="Arial" w:cs="Arial"/>
          <w:color w:val="000000"/>
          <w:sz w:val="20"/>
          <w:szCs w:val="20"/>
          <w:lang w:eastAsia="vi-VN"/>
        </w:rPr>
        <w:t>cơ quan</w:t>
      </w:r>
      <w:r w:rsidR="00C87E13" w:rsidRPr="00093639">
        <w:rPr>
          <w:rStyle w:val="BodyTextChar1"/>
          <w:rFonts w:ascii="Arial" w:hAnsi="Arial" w:cs="Arial"/>
          <w:color w:val="000000"/>
          <w:sz w:val="20"/>
          <w:szCs w:val="20"/>
          <w:lang w:eastAsia="vi-VN"/>
        </w:rPr>
        <w:t xml:space="preserve"> bảo hiểm xã hội.”</w:t>
      </w:r>
    </w:p>
    <w:p w14:paraId="6DE80242" w14:textId="77777777" w:rsidR="00C87E13" w:rsidRPr="00093639" w:rsidRDefault="00802B31"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color w:val="000000"/>
          <w:sz w:val="20"/>
          <w:szCs w:val="20"/>
          <w:lang w:val="en-US" w:eastAsia="vi-VN"/>
        </w:rPr>
        <w:t>11</w:t>
      </w:r>
      <w:r w:rsidR="00C87E13" w:rsidRPr="00093639">
        <w:rPr>
          <w:rStyle w:val="BodyTextChar1"/>
          <w:rFonts w:ascii="Arial" w:hAnsi="Arial" w:cs="Arial"/>
          <w:i/>
          <w:color w:val="000000"/>
          <w:sz w:val="20"/>
          <w:szCs w:val="20"/>
          <w:lang w:eastAsia="vi-VN"/>
        </w:rPr>
        <w:t>.</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khoản 2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15 như sau:</w:t>
      </w:r>
    </w:p>
    <w:p w14:paraId="78ABA25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“2. Việc xác định thời gian làm nghề, công v</w:t>
      </w:r>
      <w:r w:rsidR="00802B31" w:rsidRPr="00093639">
        <w:rPr>
          <w:rStyle w:val="BodyTextChar1"/>
          <w:rFonts w:ascii="Arial" w:hAnsi="Arial" w:cs="Arial"/>
          <w:color w:val="000000"/>
          <w:sz w:val="20"/>
          <w:szCs w:val="20"/>
          <w:lang w:eastAsia="vi-VN"/>
        </w:rPr>
        <w:t>iệc nặng nhọc, độc hại, nguy hiể</w:t>
      </w:r>
      <w:r w:rsidRPr="00093639">
        <w:rPr>
          <w:rStyle w:val="BodyTextChar1"/>
          <w:rFonts w:ascii="Arial" w:hAnsi="Arial" w:cs="Arial"/>
          <w:color w:val="000000"/>
          <w:sz w:val="20"/>
          <w:szCs w:val="20"/>
          <w:lang w:eastAsia="vi-VN"/>
        </w:rPr>
        <w:t>m hoặc đặc biệt nặng n</w:t>
      </w:r>
      <w:r w:rsidR="00802B31" w:rsidRPr="00093639">
        <w:rPr>
          <w:rStyle w:val="BodyTextChar1"/>
          <w:rFonts w:ascii="Arial" w:hAnsi="Arial" w:cs="Arial"/>
          <w:color w:val="000000"/>
          <w:sz w:val="20"/>
          <w:szCs w:val="20"/>
          <w:lang w:eastAsia="vi-VN"/>
        </w:rPr>
        <w:t>học, độc hại, nguy hiể</w:t>
      </w:r>
      <w:r w:rsidRPr="00093639">
        <w:rPr>
          <w:rStyle w:val="BodyTextChar1"/>
          <w:rFonts w:ascii="Arial" w:hAnsi="Arial" w:cs="Arial"/>
          <w:color w:val="000000"/>
          <w:sz w:val="20"/>
          <w:szCs w:val="20"/>
          <w:lang w:eastAsia="vi-VN"/>
        </w:rPr>
        <w:t xml:space="preserve">m và làm việc ở vùng có điều kiện kinh tế - xã hội đặc biệt khó khăn bao gồm cả thời gian làm việc ở </w:t>
      </w:r>
      <w:r w:rsidR="00802B31" w:rsidRPr="00093639">
        <w:rPr>
          <w:rStyle w:val="BodyTextChar1"/>
          <w:rFonts w:ascii="Arial" w:hAnsi="Arial" w:cs="Arial"/>
          <w:color w:val="000000"/>
          <w:sz w:val="20"/>
          <w:szCs w:val="20"/>
          <w:lang w:eastAsia="vi-VN"/>
        </w:rPr>
        <w:t>nơi</w:t>
      </w:r>
      <w:r w:rsidRPr="00093639">
        <w:rPr>
          <w:rStyle w:val="BodyTextChar1"/>
          <w:rFonts w:ascii="Arial" w:hAnsi="Arial" w:cs="Arial"/>
          <w:color w:val="000000"/>
          <w:sz w:val="20"/>
          <w:szCs w:val="20"/>
          <w:lang w:eastAsia="vi-VN"/>
        </w:rPr>
        <w:t xml:space="preserve"> có phụ cấp khu vực hệ số 0,7 trở lên trước ngày 01 tháng 01 năm 2021 để làm căn cứ xét điều kiện giải quyết chế độ hưu trí được thực hiện như sau:</w:t>
      </w:r>
    </w:p>
    <w:p w14:paraId="6B811537" w14:textId="77777777" w:rsidR="00C87E13" w:rsidRPr="00093639" w:rsidRDefault="00802B31" w:rsidP="006C7B0D">
      <w:pPr>
        <w:pStyle w:val="BodyText"/>
        <w:shd w:val="clear" w:color="auto" w:fill="auto"/>
        <w:tabs>
          <w:tab w:val="left" w:pos="1044"/>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a) </w:t>
      </w:r>
      <w:r w:rsidR="00C87E13" w:rsidRPr="00093639">
        <w:rPr>
          <w:rStyle w:val="BodyTextChar1"/>
          <w:rFonts w:ascii="Arial" w:hAnsi="Arial" w:cs="Arial"/>
          <w:color w:val="000000"/>
          <w:sz w:val="20"/>
          <w:szCs w:val="20"/>
          <w:lang w:eastAsia="vi-VN"/>
        </w:rPr>
        <w:t>Đối với người lao động đang làm nghề, công việc nặng nhọc, độc hại, nguy hiểm hoặc đặc biệt nặng nhọc, độc hại, nguy hiểm theo danh mục do Bộ Lao động - Thương binh và Xã hội ban hành hoặc đang làm việc ở vùng có điều kiện kinh tế - xã hội đặc biệt khó khăn bao gồm cả thời gian làm việc ở nơi có phụ cấp khu vực hệ số 0,7 trở lên trước ngày 01 tháng 01 năm 2021:</w:t>
      </w:r>
    </w:p>
    <w:p w14:paraId="5217BED0" w14:textId="77777777" w:rsidR="00C87E13" w:rsidRPr="00093639" w:rsidRDefault="00802B31"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a1</w:t>
      </w:r>
      <w:r w:rsidR="00C87E13" w:rsidRPr="00093639">
        <w:rPr>
          <w:rStyle w:val="BodyTextChar1"/>
          <w:rFonts w:ascii="Arial" w:hAnsi="Arial" w:cs="Arial"/>
          <w:color w:val="000000"/>
          <w:sz w:val="20"/>
          <w:szCs w:val="20"/>
          <w:lang w:eastAsia="vi-VN"/>
        </w:rPr>
        <w:t xml:space="preserve">) Thời gian người lao động phải nghỉ việc để điều trị, phục hồi chức năng lao động do bị tai </w:t>
      </w:r>
      <w:r w:rsidR="00C87E13" w:rsidRPr="00093639">
        <w:rPr>
          <w:rStyle w:val="BodyTextChar1"/>
          <w:rFonts w:ascii="Arial" w:hAnsi="Arial" w:cs="Arial"/>
          <w:color w:val="000000"/>
          <w:sz w:val="20"/>
          <w:szCs w:val="20"/>
          <w:lang w:eastAsia="vi-VN"/>
        </w:rPr>
        <w:lastRenderedPageBreak/>
        <w:t xml:space="preserve">nạn lao động hoặc bệnh nghề nghiệp (được người sử dụng lao động nơi người lao động bị tai nạn lao động, bệnh nghề nghiệp trả đủ tiền lương và đóng đầy đủ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thì được tính.</w:t>
      </w:r>
    </w:p>
    <w:p w14:paraId="740017B0"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a2) Thời gian người lao động được cử làm việc, đi học, hợp tác lao động mà không làm nghề, công việc nặng nhọc, độc hại, nguy hiểm hoặc đặc biệt nặng nhọc, độc hại, </w:t>
      </w:r>
      <w:r w:rsidR="00802B31" w:rsidRPr="00093639">
        <w:rPr>
          <w:rStyle w:val="BodyTextChar1"/>
          <w:rFonts w:ascii="Arial" w:hAnsi="Arial" w:cs="Arial"/>
          <w:color w:val="000000"/>
          <w:sz w:val="20"/>
          <w:szCs w:val="20"/>
          <w:lang w:eastAsia="vi-VN"/>
        </w:rPr>
        <w:t>nguy hiểm</w:t>
      </w:r>
      <w:r w:rsidRPr="00093639">
        <w:rPr>
          <w:rStyle w:val="BodyTextChar1"/>
          <w:rFonts w:ascii="Arial" w:hAnsi="Arial" w:cs="Arial"/>
          <w:color w:val="000000"/>
          <w:sz w:val="20"/>
          <w:szCs w:val="20"/>
          <w:lang w:eastAsia="vi-VN"/>
        </w:rPr>
        <w:t xml:space="preserve"> theo danh mục do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 thì không được tính.</w:t>
      </w:r>
    </w:p>
    <w:p w14:paraId="4299AAE1"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a3) Thời gian người lao động đóng một lần cho thời gian còn thiếu vào quỹ hưu trí và tử tuất đ</w:t>
      </w:r>
      <w:r w:rsidR="00802B31" w:rsidRPr="00093639">
        <w:rPr>
          <w:rStyle w:val="BodyTextChar1"/>
          <w:rFonts w:ascii="Arial" w:hAnsi="Arial" w:cs="Arial"/>
          <w:color w:val="000000"/>
          <w:sz w:val="20"/>
          <w:szCs w:val="20"/>
          <w:lang w:val="en-US" w:eastAsia="vi-VN"/>
        </w:rPr>
        <w:t>ể</w:t>
      </w:r>
      <w:r w:rsidRPr="00093639">
        <w:rPr>
          <w:rStyle w:val="BodyTextChar1"/>
          <w:rFonts w:ascii="Arial" w:hAnsi="Arial" w:cs="Arial"/>
          <w:color w:val="000000"/>
          <w:sz w:val="20"/>
          <w:szCs w:val="20"/>
          <w:lang w:eastAsia="vi-VN"/>
        </w:rPr>
        <w:t xml:space="preserve"> hưởng lương hưu thì không được tính.</w:t>
      </w:r>
    </w:p>
    <w:p w14:paraId="1C3D61F7" w14:textId="77777777" w:rsidR="00C87E13" w:rsidRPr="00093639" w:rsidRDefault="00802B31" w:rsidP="006C7B0D">
      <w:pPr>
        <w:pStyle w:val="BodyText"/>
        <w:shd w:val="clear" w:color="auto" w:fill="auto"/>
        <w:tabs>
          <w:tab w:val="left" w:pos="1065"/>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b) </w:t>
      </w:r>
      <w:r w:rsidR="00C87E13" w:rsidRPr="00093639">
        <w:rPr>
          <w:rStyle w:val="BodyTextChar1"/>
          <w:rFonts w:ascii="Arial" w:hAnsi="Arial" w:cs="Arial"/>
          <w:color w:val="000000"/>
          <w:sz w:val="20"/>
          <w:szCs w:val="20"/>
          <w:lang w:eastAsia="vi-VN"/>
        </w:rPr>
        <w:t>Khi xác định thời gian làm việc ở nơi có phụ cấp khu vực hệ số 0,7 trở lên đối với giai đoạn trước ngày 01 tháng 01 năm 1995 để làm căn cứ xét điều kiện giải quyết chế độ hưu trí thì căn cứ theo quy đị</w:t>
      </w:r>
      <w:r w:rsidRPr="00093639">
        <w:rPr>
          <w:rStyle w:val="BodyTextChar1"/>
          <w:rFonts w:ascii="Arial" w:hAnsi="Arial" w:cs="Arial"/>
          <w:color w:val="000000"/>
          <w:sz w:val="20"/>
          <w:szCs w:val="20"/>
          <w:lang w:eastAsia="vi-VN"/>
        </w:rPr>
        <w:t>nh tại Thông tư liên tịch số 11</w:t>
      </w:r>
      <w:r w:rsidR="00C87E13" w:rsidRPr="00093639">
        <w:rPr>
          <w:rStyle w:val="BodyTextChar1"/>
          <w:rFonts w:ascii="Arial" w:hAnsi="Arial" w:cs="Arial"/>
          <w:color w:val="000000"/>
          <w:sz w:val="20"/>
          <w:szCs w:val="20"/>
          <w:lang w:eastAsia="vi-VN"/>
        </w:rPr>
        <w:t>/2005/TTLT-BNV-BLĐTBXH-BTC-</w:t>
      </w:r>
      <w:r w:rsidRPr="00093639">
        <w:rPr>
          <w:rStyle w:val="BodyTextChar1"/>
          <w:rFonts w:ascii="Arial" w:hAnsi="Arial" w:cs="Arial"/>
          <w:color w:val="000000"/>
          <w:sz w:val="20"/>
          <w:szCs w:val="20"/>
          <w:lang w:eastAsia="vi-VN"/>
        </w:rPr>
        <w:t>UBDT</w:t>
      </w:r>
      <w:r w:rsidR="00C87E13" w:rsidRPr="00093639">
        <w:rPr>
          <w:rStyle w:val="BodyTextChar1"/>
          <w:rFonts w:ascii="Arial" w:hAnsi="Arial" w:cs="Arial"/>
          <w:color w:val="000000"/>
          <w:sz w:val="20"/>
          <w:szCs w:val="20"/>
          <w:lang w:eastAsia="vi-VN"/>
        </w:rPr>
        <w:t xml:space="preserve"> ngày 05/01/2005 của liên Bộ Nội vụ, Lao động- Thương binh và Xã hội, Tài chính và </w:t>
      </w:r>
      <w:r w:rsidRPr="00093639">
        <w:rPr>
          <w:rStyle w:val="BodyTextChar1"/>
          <w:rFonts w:ascii="Arial" w:hAnsi="Arial" w:cs="Arial"/>
          <w:color w:val="000000"/>
          <w:sz w:val="20"/>
          <w:szCs w:val="20"/>
          <w:lang w:eastAsia="vi-VN"/>
        </w:rPr>
        <w:t>Ủy</w:t>
      </w:r>
      <w:r w:rsidR="00C87E13" w:rsidRPr="00093639">
        <w:rPr>
          <w:rStyle w:val="BodyTextChar1"/>
          <w:rFonts w:ascii="Arial" w:hAnsi="Arial" w:cs="Arial"/>
          <w:color w:val="000000"/>
          <w:sz w:val="20"/>
          <w:szCs w:val="20"/>
          <w:lang w:eastAsia="vi-VN"/>
        </w:rPr>
        <w:t xml:space="preserve"> b</w:t>
      </w:r>
      <w:r w:rsidRPr="00093639">
        <w:rPr>
          <w:rStyle w:val="BodyTextChar1"/>
          <w:rFonts w:ascii="Arial" w:hAnsi="Arial" w:cs="Arial"/>
          <w:color w:val="000000"/>
          <w:sz w:val="20"/>
          <w:szCs w:val="20"/>
          <w:lang w:eastAsia="vi-VN"/>
        </w:rPr>
        <w:t>an dân tộc (sau đây được viết là</w:t>
      </w:r>
      <w:r w:rsidR="00C87E13" w:rsidRPr="00093639">
        <w:rPr>
          <w:rStyle w:val="BodyTextChar1"/>
          <w:rFonts w:ascii="Arial" w:hAnsi="Arial" w:cs="Arial"/>
          <w:color w:val="000000"/>
          <w:sz w:val="20"/>
          <w:szCs w:val="20"/>
          <w:lang w:eastAsia="vi-VN"/>
        </w:rPr>
        <w:t xml:space="preserve"> Thông tư liên tịch </w:t>
      </w:r>
      <w:r w:rsidRPr="00093639">
        <w:rPr>
          <w:rStyle w:val="BodyTextChar1"/>
          <w:rFonts w:ascii="Arial" w:hAnsi="Arial" w:cs="Arial"/>
          <w:color w:val="000000"/>
          <w:sz w:val="20"/>
          <w:szCs w:val="20"/>
          <w:lang w:val="en-US"/>
        </w:rPr>
        <w:t>số</w:t>
      </w:r>
      <w:r w:rsidR="00C87E13" w:rsidRPr="00093639">
        <w:rPr>
          <w:rStyle w:val="BodyTextChar1"/>
          <w:rFonts w:ascii="Arial" w:hAnsi="Arial" w:cs="Arial"/>
          <w:color w:val="000000"/>
          <w:sz w:val="20"/>
          <w:szCs w:val="20"/>
          <w:lang w:val="en-US"/>
        </w:rPr>
        <w:t xml:space="preserve"> </w:t>
      </w:r>
      <w:r w:rsidRPr="00093639">
        <w:rPr>
          <w:rStyle w:val="BodyTextChar1"/>
          <w:rFonts w:ascii="Arial" w:hAnsi="Arial" w:cs="Arial"/>
          <w:color w:val="000000"/>
          <w:sz w:val="20"/>
          <w:szCs w:val="20"/>
          <w:lang w:eastAsia="vi-VN"/>
        </w:rPr>
        <w:t>11</w:t>
      </w:r>
      <w:r w:rsidR="00C87E13" w:rsidRPr="00093639">
        <w:rPr>
          <w:rStyle w:val="BodyTextChar1"/>
          <w:rFonts w:ascii="Arial" w:hAnsi="Arial" w:cs="Arial"/>
          <w:color w:val="000000"/>
          <w:sz w:val="20"/>
          <w:szCs w:val="20"/>
          <w:lang w:eastAsia="vi-VN"/>
        </w:rPr>
        <w:t>/2005/TTLT-BNV-BLĐTBXH-BTC- UBDT). Đối với địa bàn mà Thông tư</w:t>
      </w:r>
      <w:r w:rsidRPr="00093639">
        <w:rPr>
          <w:rStyle w:val="BodyTextChar1"/>
          <w:rFonts w:ascii="Arial" w:hAnsi="Arial" w:cs="Arial"/>
          <w:color w:val="000000"/>
          <w:sz w:val="20"/>
          <w:szCs w:val="20"/>
          <w:lang w:eastAsia="vi-VN"/>
        </w:rPr>
        <w:t xml:space="preserve"> liên tịch số 11/2005/TTLT-BNV-</w:t>
      </w:r>
      <w:r w:rsidR="00C87E13" w:rsidRPr="00093639">
        <w:rPr>
          <w:rStyle w:val="BodyTextChar1"/>
          <w:rFonts w:ascii="Arial" w:hAnsi="Arial" w:cs="Arial"/>
          <w:color w:val="000000"/>
          <w:sz w:val="20"/>
          <w:szCs w:val="20"/>
          <w:lang w:eastAsia="vi-VN"/>
        </w:rPr>
        <w:t>BLĐTBXH-BTC-</w:t>
      </w:r>
      <w:r w:rsidRPr="00093639">
        <w:rPr>
          <w:rStyle w:val="BodyTextChar1"/>
          <w:rFonts w:ascii="Arial" w:hAnsi="Arial" w:cs="Arial"/>
          <w:color w:val="000000"/>
          <w:sz w:val="20"/>
          <w:szCs w:val="20"/>
          <w:lang w:eastAsia="vi-VN"/>
        </w:rPr>
        <w:t>UBDT</w:t>
      </w:r>
      <w:r w:rsidR="00C87E13" w:rsidRPr="00093639">
        <w:rPr>
          <w:rStyle w:val="BodyTextChar1"/>
          <w:rFonts w:ascii="Arial" w:hAnsi="Arial" w:cs="Arial"/>
          <w:color w:val="000000"/>
          <w:sz w:val="20"/>
          <w:szCs w:val="20"/>
          <w:lang w:eastAsia="vi-VN"/>
        </w:rPr>
        <w:t xml:space="preserve"> không quy định hoặc quy định hệ số phụ cấp khu vực thấp hơn 0,7 nhưng thực tế người lao động đã có thời gian làm việc ở nơi có phụ cấp khu vực hệ số 0,7 trở lên theo quy định tại các văn bản quy định về phụ cấp khu vực trước đây thì căn c</w:t>
      </w:r>
      <w:r w:rsidRPr="00093639">
        <w:rPr>
          <w:rStyle w:val="BodyTextChar1"/>
          <w:rFonts w:ascii="Arial" w:hAnsi="Arial" w:cs="Arial"/>
          <w:color w:val="000000"/>
          <w:sz w:val="20"/>
          <w:szCs w:val="20"/>
          <w:lang w:eastAsia="vi-VN"/>
        </w:rPr>
        <w:t>ứ quy định tại các văn bản đó để</w:t>
      </w:r>
      <w:r w:rsidR="00C87E13" w:rsidRPr="00093639">
        <w:rPr>
          <w:rStyle w:val="BodyTextChar1"/>
          <w:rFonts w:ascii="Arial" w:hAnsi="Arial" w:cs="Arial"/>
          <w:color w:val="000000"/>
          <w:sz w:val="20"/>
          <w:szCs w:val="20"/>
          <w:lang w:eastAsia="vi-VN"/>
        </w:rPr>
        <w:t xml:space="preserve"> xác định thời gian làm việc ở nơi có phụ cấp khu vực hệ số 0,7 trở lên làm căn cứ xét điều kiện giải quyết chế độ hưu trí.</w:t>
      </w:r>
    </w:p>
    <w:p w14:paraId="79E40D9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Đối với người lao động có thời gian cô</w:t>
      </w:r>
      <w:r w:rsidR="00802B31" w:rsidRPr="00093639">
        <w:rPr>
          <w:rStyle w:val="BodyTextChar1"/>
          <w:rFonts w:ascii="Arial" w:hAnsi="Arial" w:cs="Arial"/>
          <w:color w:val="000000"/>
          <w:sz w:val="20"/>
          <w:szCs w:val="20"/>
          <w:lang w:eastAsia="vi-VN"/>
        </w:rPr>
        <w:t>ng tác tại các chiến trường B, C</w:t>
      </w:r>
      <w:r w:rsidRPr="00093639">
        <w:rPr>
          <w:rStyle w:val="BodyTextChar1"/>
          <w:rFonts w:ascii="Arial" w:hAnsi="Arial" w:cs="Arial"/>
          <w:color w:val="000000"/>
          <w:sz w:val="20"/>
          <w:szCs w:val="20"/>
          <w:lang w:eastAsia="vi-VN"/>
        </w:rPr>
        <w:t xml:space="preserve"> trước ngày 30 tháng 4 năm 1975 và chiến trường K trước ngày 31 tháng 8 năm 1989 thì thời gian này được tính là thời gian làm việc ở nơi có phụ cấp khu vực hệ số 0,7 để làm căn cứ xét điều kiện giải quyết chế độ hưu trí.”</w:t>
      </w:r>
    </w:p>
    <w:p w14:paraId="3CEADB16" w14:textId="77777777" w:rsidR="00C87E13" w:rsidRPr="00093639" w:rsidRDefault="00802B31"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color w:val="000000"/>
          <w:sz w:val="20"/>
          <w:szCs w:val="20"/>
          <w:lang w:eastAsia="vi-VN"/>
        </w:rPr>
        <w:t>12</w:t>
      </w:r>
      <w:r w:rsidR="00C87E13" w:rsidRPr="00093639">
        <w:rPr>
          <w:rStyle w:val="BodyTextChar1"/>
          <w:rFonts w:ascii="Arial" w:hAnsi="Arial" w:cs="Arial"/>
          <w:i/>
          <w:color w:val="000000"/>
          <w:sz w:val="20"/>
          <w:szCs w:val="20"/>
          <w:lang w:eastAsia="vi-VN"/>
        </w:rPr>
        <w:t>.</w:t>
      </w:r>
      <w:r w:rsidR="00C87E13" w:rsidRPr="00093639">
        <w:rPr>
          <w:rStyle w:val="BodyTextChar1"/>
          <w:rFonts w:ascii="Arial" w:hAnsi="Arial" w:cs="Arial"/>
          <w:color w:val="000000"/>
          <w:sz w:val="20"/>
          <w:szCs w:val="20"/>
          <w:lang w:eastAsia="vi-VN"/>
        </w:rPr>
        <w:t xml:space="preserve">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w:t>
      </w:r>
      <w:r w:rsidR="00F375A3"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c vào khoản 3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15 như sau:</w:t>
      </w:r>
    </w:p>
    <w:p w14:paraId="18E3A480"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“c) Lao động nữ là cán bộ, công chức cấp xã hoặc là người hoạt động không chuyên trách ở xã, phường, thị trấn có từ đủ 15 năm đến dưới 20 năm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bắt buộc đã nghỉ việc và bảo lưu thời gian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từ trước ngày 01 tháng 01 năm 2016; từ ngày 01 tháng 01 năm 2016 trở đi nếu có nguyện vọng và đủ điều kiện về tuổi hưởng lương </w:t>
      </w:r>
      <w:r w:rsidR="008247E3" w:rsidRPr="00093639">
        <w:rPr>
          <w:rStyle w:val="BodyTextChar1"/>
          <w:rFonts w:ascii="Arial" w:hAnsi="Arial" w:cs="Arial"/>
          <w:color w:val="000000"/>
          <w:sz w:val="20"/>
          <w:szCs w:val="20"/>
          <w:lang w:val="en-US"/>
        </w:rPr>
        <w:t>hưu</w:t>
      </w:r>
      <w:r w:rsidRPr="00093639">
        <w:rPr>
          <w:rStyle w:val="BodyTextChar1"/>
          <w:rFonts w:ascii="Arial" w:hAnsi="Arial" w:cs="Arial"/>
          <w:color w:val="000000"/>
          <w:sz w:val="20"/>
          <w:szCs w:val="20"/>
          <w:lang w:val="en-US"/>
        </w:rPr>
        <w:t xml:space="preserve"> </w:t>
      </w:r>
      <w:r w:rsidRPr="00093639">
        <w:rPr>
          <w:rStyle w:val="BodyTextChar1"/>
          <w:rFonts w:ascii="Arial" w:hAnsi="Arial" w:cs="Arial"/>
          <w:color w:val="000000"/>
          <w:sz w:val="20"/>
          <w:szCs w:val="20"/>
          <w:lang w:eastAsia="vi-VN"/>
        </w:rPr>
        <w:t xml:space="preserve">thì được giải quyết hưởng lương hưu theo khoản 3 Điều 54 của Luật Bảo hiểm xã hội được </w:t>
      </w:r>
      <w:r w:rsidR="00F375A3" w:rsidRPr="00093639">
        <w:rPr>
          <w:rStyle w:val="BodyTextChar1"/>
          <w:rFonts w:ascii="Arial" w:hAnsi="Arial" w:cs="Arial"/>
          <w:color w:val="000000"/>
          <w:sz w:val="20"/>
          <w:szCs w:val="20"/>
          <w:lang w:eastAsia="vi-VN"/>
        </w:rPr>
        <w:t>sửa đổi</w:t>
      </w:r>
      <w:r w:rsidRPr="00093639">
        <w:rPr>
          <w:rStyle w:val="BodyTextChar1"/>
          <w:rFonts w:ascii="Arial" w:hAnsi="Arial" w:cs="Arial"/>
          <w:color w:val="000000"/>
          <w:sz w:val="20"/>
          <w:szCs w:val="20"/>
          <w:lang w:eastAsia="vi-VN"/>
        </w:rPr>
        <w:t xml:space="preserve">, </w:t>
      </w:r>
      <w:r w:rsidR="008247E3" w:rsidRPr="00093639">
        <w:rPr>
          <w:rStyle w:val="BodyTextChar1"/>
          <w:rFonts w:ascii="Arial" w:hAnsi="Arial" w:cs="Arial"/>
          <w:color w:val="000000"/>
          <w:sz w:val="20"/>
          <w:szCs w:val="20"/>
          <w:lang w:eastAsia="vi-VN"/>
        </w:rPr>
        <w:t>bổ sung</w:t>
      </w:r>
      <w:r w:rsidRPr="00093639">
        <w:rPr>
          <w:rStyle w:val="BodyTextChar1"/>
          <w:rFonts w:ascii="Arial" w:hAnsi="Arial" w:cs="Arial"/>
          <w:color w:val="000000"/>
          <w:sz w:val="20"/>
          <w:szCs w:val="20"/>
          <w:lang w:eastAsia="vi-VN"/>
        </w:rPr>
        <w:t xml:space="preserve"> tại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a khoản 1 Điều 219 của Bộ luật Lao động năm 2019.</w:t>
      </w:r>
    </w:p>
    <w:p w14:paraId="702A7D3E" w14:textId="77777777" w:rsidR="00C87E13" w:rsidRPr="00093639" w:rsidRDefault="008247E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Trường hợ</w:t>
      </w:r>
      <w:r w:rsidR="00C87E13" w:rsidRPr="00093639">
        <w:rPr>
          <w:rStyle w:val="BodyTextChar1"/>
          <w:rFonts w:ascii="Arial" w:hAnsi="Arial" w:cs="Arial"/>
          <w:color w:val="000000"/>
          <w:sz w:val="20"/>
          <w:szCs w:val="20"/>
          <w:lang w:eastAsia="vi-VN"/>
        </w:rPr>
        <w:t xml:space="preserve">p tiếp tục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tự nguyện thì chế độ hưu trí được thực hiện theo quy định tại khoản 4 Điều 4 Thông tư số 01/2016/TT-BLĐTBXH ngày 18 tháng 02 năm 2016 của Bộ Lao động - Thương binh và Xã hội.</w:t>
      </w:r>
    </w:p>
    <w:p w14:paraId="29139CF3"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Trường hợp</w:t>
      </w:r>
      <w:r w:rsidR="00C87E13" w:rsidRPr="00093639">
        <w:rPr>
          <w:rStyle w:val="BodyTextChar1"/>
          <w:rFonts w:ascii="Arial" w:hAnsi="Arial" w:cs="Arial"/>
          <w:color w:val="000000"/>
          <w:sz w:val="20"/>
          <w:szCs w:val="20"/>
          <w:lang w:eastAsia="vi-VN"/>
        </w:rPr>
        <w:t xml:space="preserve"> tiếp tục đóng </w:t>
      </w:r>
      <w:r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bắt buộc (không còn thuộc diện là cán bộ, công chức cấp xã hoặc là người hoạt động không chuyên trách ở xã, phường, thị trấn) thì việc giải quyết chế độ hưu trí thực hiện theo khoản 1, khoản 4 Điều 54 và Điều 55 của Luật Bảo hiểm xã hội được </w:t>
      </w:r>
      <w:r w:rsidRPr="00093639">
        <w:rPr>
          <w:rStyle w:val="BodyTextChar1"/>
          <w:rFonts w:ascii="Arial" w:hAnsi="Arial" w:cs="Arial"/>
          <w:color w:val="000000"/>
          <w:sz w:val="20"/>
          <w:szCs w:val="20"/>
          <w:lang w:eastAsia="vi-VN"/>
        </w:rPr>
        <w:t>sửa đổi</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color w:val="000000"/>
          <w:sz w:val="20"/>
          <w:szCs w:val="20"/>
          <w:lang w:eastAsia="vi-VN"/>
        </w:rPr>
        <w:t>bổ sung</w:t>
      </w:r>
      <w:r w:rsidR="00C87E13" w:rsidRPr="00093639">
        <w:rPr>
          <w:rStyle w:val="BodyTextChar1"/>
          <w:rFonts w:ascii="Arial" w:hAnsi="Arial" w:cs="Arial"/>
          <w:color w:val="000000"/>
          <w:sz w:val="20"/>
          <w:szCs w:val="20"/>
          <w:lang w:eastAsia="vi-VN"/>
        </w:rPr>
        <w:t xml:space="preserve"> tại </w:t>
      </w:r>
      <w:r w:rsidR="00ED3BEC" w:rsidRPr="00093639">
        <w:rPr>
          <w:rStyle w:val="BodyTextChar1"/>
          <w:rFonts w:ascii="Arial" w:hAnsi="Arial" w:cs="Arial"/>
          <w:color w:val="000000"/>
          <w:sz w:val="20"/>
          <w:szCs w:val="20"/>
          <w:lang w:val="en-US"/>
        </w:rPr>
        <w:t>điểm</w:t>
      </w:r>
      <w:r w:rsidR="00C87E13" w:rsidRPr="00093639">
        <w:rPr>
          <w:rStyle w:val="BodyTextChar1"/>
          <w:rFonts w:ascii="Arial" w:hAnsi="Arial" w:cs="Arial"/>
          <w:color w:val="000000"/>
          <w:sz w:val="20"/>
          <w:szCs w:val="20"/>
          <w:lang w:val="en-US"/>
        </w:rPr>
        <w:t xml:space="preserve"> a </w:t>
      </w:r>
      <w:r w:rsidR="00C87E13" w:rsidRPr="00093639">
        <w:rPr>
          <w:rStyle w:val="BodyTextChar1"/>
          <w:rFonts w:ascii="Arial" w:hAnsi="Arial" w:cs="Arial"/>
          <w:color w:val="000000"/>
          <w:sz w:val="20"/>
          <w:szCs w:val="20"/>
          <w:lang w:eastAsia="vi-VN"/>
        </w:rPr>
        <w:t>và điểm b khoản 1 Điều 219 của Bộ luật Lao động năm 2019.”</w:t>
      </w:r>
    </w:p>
    <w:p w14:paraId="7078DFA1" w14:textId="77777777" w:rsidR="00C87E13" w:rsidRPr="00093639" w:rsidRDefault="00ED3BEC" w:rsidP="006C7B0D">
      <w:pPr>
        <w:pStyle w:val="BodyText"/>
        <w:shd w:val="clear" w:color="auto" w:fill="auto"/>
        <w:tabs>
          <w:tab w:val="left" w:pos="1183"/>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13.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5 vào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15 như sau:</w:t>
      </w:r>
    </w:p>
    <w:p w14:paraId="68281D05"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“5. Người lao động quy định tại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đ, e khoản 1 Điều 2 của Luật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bị tước quân tịch hoặc tước danh hiệu công an nhân dân thì điều kiện hưởng lương hưu thực hiện theo quy định tại khoản 1 Điều 54 và khoản 1 Điều 55 của Luật Bảo hiểm xã hội được </w:t>
      </w:r>
      <w:r w:rsidR="00802B31" w:rsidRPr="00093639">
        <w:rPr>
          <w:rStyle w:val="BodyTextChar1"/>
          <w:rFonts w:ascii="Arial" w:hAnsi="Arial" w:cs="Arial"/>
          <w:color w:val="000000"/>
          <w:sz w:val="20"/>
          <w:szCs w:val="20"/>
          <w:lang w:eastAsia="vi-VN"/>
        </w:rPr>
        <w:t>sửa đổi</w:t>
      </w:r>
      <w:r w:rsidRPr="00093639">
        <w:rPr>
          <w:rStyle w:val="BodyTextChar1"/>
          <w:rFonts w:ascii="Arial" w:hAnsi="Arial" w:cs="Arial"/>
          <w:color w:val="000000"/>
          <w:sz w:val="20"/>
          <w:szCs w:val="20"/>
          <w:lang w:eastAsia="vi-VN"/>
        </w:rPr>
        <w:t xml:space="preserve">, </w:t>
      </w:r>
      <w:r w:rsidR="00F375A3" w:rsidRPr="00093639">
        <w:rPr>
          <w:rStyle w:val="BodyTextChar1"/>
          <w:rFonts w:ascii="Arial" w:hAnsi="Arial" w:cs="Arial"/>
          <w:color w:val="000000"/>
          <w:sz w:val="20"/>
          <w:szCs w:val="20"/>
          <w:lang w:eastAsia="vi-VN"/>
        </w:rPr>
        <w:t>bổ sung</w:t>
      </w:r>
      <w:r w:rsidRPr="00093639">
        <w:rPr>
          <w:rStyle w:val="BodyTextChar1"/>
          <w:rFonts w:ascii="Arial" w:hAnsi="Arial" w:cs="Arial"/>
          <w:color w:val="000000"/>
          <w:sz w:val="20"/>
          <w:szCs w:val="20"/>
          <w:lang w:eastAsia="vi-VN"/>
        </w:rPr>
        <w:t xml:space="preserve"> tại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a và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b khoản 1 Điều 219 của Bộ luật Lao động năm 2019 và hướng dẫn tại Thông tư này.”</w:t>
      </w:r>
    </w:p>
    <w:p w14:paraId="65EE3AA1" w14:textId="77777777" w:rsidR="00C87E13" w:rsidRPr="00093639" w:rsidRDefault="00ED3BEC" w:rsidP="006C7B0D">
      <w:pPr>
        <w:pStyle w:val="BodyText"/>
        <w:shd w:val="clear" w:color="auto" w:fill="auto"/>
        <w:tabs>
          <w:tab w:val="left" w:pos="1183"/>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14. </w:t>
      </w:r>
      <w:r w:rsidR="00802B31"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16 như sau:</w:t>
      </w:r>
    </w:p>
    <w:p w14:paraId="7F4C2F51"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“Điều 16. Điều kiện hưởng lương hưu khi suy giảm khả năng lao động</w:t>
      </w:r>
    </w:p>
    <w:p w14:paraId="28C027CB" w14:textId="77777777" w:rsidR="00C87E13" w:rsidRPr="00093639" w:rsidRDefault="00ED3BEC" w:rsidP="006C7B0D">
      <w:pPr>
        <w:pStyle w:val="BodyText"/>
        <w:shd w:val="clear" w:color="auto" w:fill="auto"/>
        <w:tabs>
          <w:tab w:val="left" w:pos="365"/>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1. </w:t>
      </w:r>
      <w:r w:rsidR="00C87E13" w:rsidRPr="00093639">
        <w:rPr>
          <w:rStyle w:val="BodyTextChar1"/>
          <w:rFonts w:ascii="Arial" w:hAnsi="Arial" w:cs="Arial"/>
          <w:color w:val="000000"/>
          <w:sz w:val="20"/>
          <w:szCs w:val="20"/>
          <w:lang w:eastAsia="vi-VN"/>
        </w:rPr>
        <w:t>Từ ngày 01 tháng 01 năm 2021, điều kiện hưởng lương hưu khi suy giảm khả năng lao động của người lao động được thực hiện theo quy định tại Điều 55 của Luật Bảo hiểm xã hội được sửa đổi, bổ sung tại điểm b khoản 1 Điều 219 của Bộ luật Lao động năm 2019.</w:t>
      </w:r>
    </w:p>
    <w:p w14:paraId="6EC369D7" w14:textId="77777777" w:rsidR="00C87E13" w:rsidRPr="00093639" w:rsidRDefault="00ED3BEC" w:rsidP="006C7B0D">
      <w:pPr>
        <w:pStyle w:val="BodyText"/>
        <w:shd w:val="clear" w:color="auto" w:fill="auto"/>
        <w:tabs>
          <w:tab w:val="left" w:pos="1058"/>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2. </w:t>
      </w:r>
      <w:r w:rsidR="00C87E13" w:rsidRPr="00093639">
        <w:rPr>
          <w:rStyle w:val="BodyTextChar1"/>
          <w:rFonts w:ascii="Arial" w:hAnsi="Arial" w:cs="Arial"/>
          <w:color w:val="000000"/>
          <w:sz w:val="20"/>
          <w:szCs w:val="20"/>
          <w:lang w:eastAsia="vi-VN"/>
        </w:rPr>
        <w:t xml:space="preserve">Việc xác định mốc </w:t>
      </w:r>
      <w:r w:rsidRPr="00093639">
        <w:rPr>
          <w:rStyle w:val="BodyTextChar1"/>
          <w:rFonts w:ascii="Arial" w:hAnsi="Arial" w:cs="Arial"/>
          <w:color w:val="000000"/>
          <w:sz w:val="20"/>
          <w:szCs w:val="20"/>
          <w:lang w:eastAsia="vi-VN"/>
        </w:rPr>
        <w:t>tuổi để</w:t>
      </w:r>
      <w:r w:rsidR="00C87E13" w:rsidRPr="00093639">
        <w:rPr>
          <w:rStyle w:val="BodyTextChar1"/>
          <w:rFonts w:ascii="Arial" w:hAnsi="Arial" w:cs="Arial"/>
          <w:color w:val="000000"/>
          <w:sz w:val="20"/>
          <w:szCs w:val="20"/>
          <w:lang w:eastAsia="vi-VN"/>
        </w:rPr>
        <w:t xml:space="preserve"> tính số năm nghỉ hưu trước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làm </w:t>
      </w:r>
      <w:r w:rsidRPr="00093639">
        <w:rPr>
          <w:rStyle w:val="BodyTextChar1"/>
          <w:rFonts w:ascii="Arial" w:hAnsi="Arial" w:cs="Arial"/>
          <w:color w:val="000000"/>
          <w:sz w:val="20"/>
          <w:szCs w:val="20"/>
          <w:lang w:eastAsia="vi-VN"/>
        </w:rPr>
        <w:t>cơ sở</w:t>
      </w:r>
      <w:r w:rsidR="00C87E13" w:rsidRPr="00093639">
        <w:rPr>
          <w:rStyle w:val="BodyTextChar1"/>
          <w:rFonts w:ascii="Arial" w:hAnsi="Arial" w:cs="Arial"/>
          <w:color w:val="000000"/>
          <w:sz w:val="20"/>
          <w:szCs w:val="20"/>
          <w:lang w:eastAsia="vi-VN"/>
        </w:rPr>
        <w:t xml:space="preserve"> tính giảm tỷ lệ hưởng </w:t>
      </w:r>
      <w:r w:rsidRPr="00093639">
        <w:rPr>
          <w:rStyle w:val="BodyTextChar1"/>
          <w:rFonts w:ascii="Arial" w:hAnsi="Arial" w:cs="Arial"/>
          <w:color w:val="000000"/>
          <w:sz w:val="20"/>
          <w:szCs w:val="20"/>
          <w:lang w:val="en-US" w:eastAsia="vi-VN"/>
        </w:rPr>
        <w:t>lương</w:t>
      </w:r>
      <w:r w:rsidR="00C87E13" w:rsidRPr="00093639">
        <w:rPr>
          <w:rStyle w:val="BodyTextChar1"/>
          <w:rFonts w:ascii="Arial" w:hAnsi="Arial" w:cs="Arial"/>
          <w:color w:val="000000"/>
          <w:sz w:val="20"/>
          <w:szCs w:val="20"/>
          <w:lang w:eastAsia="vi-VN"/>
        </w:rPr>
        <w:t xml:space="preserve"> hưu quy định tại khoản 3 Điều 56 của Luật Bảo hiểm xã hội được thực hiện theo quy định tại khoản 3 Điều 7 của Nghị định số 135/2020/NĐ-CP ngày 18 tháng 11 năm 2020 của Chính phủ quy định về tuổi nghỉ hưu (sau đây viết tắt là Nghị định số 135/2020/NĐ-CP), trong đó căn cứ vào thời </w:t>
      </w:r>
      <w:r w:rsidR="00F375A3" w:rsidRPr="00093639">
        <w:rPr>
          <w:rStyle w:val="BodyTextChar1"/>
          <w:rFonts w:ascii="Arial" w:hAnsi="Arial" w:cs="Arial"/>
          <w:color w:val="000000"/>
          <w:sz w:val="20"/>
          <w:szCs w:val="20"/>
          <w:lang w:eastAsia="vi-VN"/>
        </w:rPr>
        <w:t>điểm</w:t>
      </w:r>
      <w:r w:rsidR="00C87E13" w:rsidRPr="00093639">
        <w:rPr>
          <w:rStyle w:val="BodyTextChar1"/>
          <w:rFonts w:ascii="Arial" w:hAnsi="Arial" w:cs="Arial"/>
          <w:color w:val="000000"/>
          <w:sz w:val="20"/>
          <w:szCs w:val="20"/>
          <w:lang w:eastAsia="vi-VN"/>
        </w:rPr>
        <w:t xml:space="preserve"> nghỉ </w:t>
      </w:r>
      <w:r w:rsidRPr="00093639">
        <w:rPr>
          <w:rStyle w:val="BodyTextChar1"/>
          <w:rFonts w:ascii="Arial" w:hAnsi="Arial" w:cs="Arial"/>
          <w:color w:val="000000"/>
          <w:sz w:val="20"/>
          <w:szCs w:val="20"/>
          <w:lang w:eastAsia="vi-VN"/>
        </w:rPr>
        <w:t>hưu</w:t>
      </w:r>
      <w:r w:rsidR="00C87E13" w:rsidRPr="00093639">
        <w:rPr>
          <w:rStyle w:val="BodyTextChar1"/>
          <w:rFonts w:ascii="Arial" w:hAnsi="Arial" w:cs="Arial"/>
          <w:color w:val="000000"/>
          <w:sz w:val="20"/>
          <w:szCs w:val="20"/>
          <w:lang w:eastAsia="vi-VN"/>
        </w:rPr>
        <w:t xml:space="preserve"> trước </w:t>
      </w:r>
      <w:r w:rsidRPr="00093639">
        <w:rPr>
          <w:rStyle w:val="BodyTextChar1"/>
          <w:rFonts w:ascii="Arial" w:hAnsi="Arial" w:cs="Arial"/>
          <w:color w:val="000000"/>
          <w:sz w:val="20"/>
          <w:szCs w:val="20"/>
          <w:lang w:eastAsia="vi-VN"/>
        </w:rPr>
        <w:t>tuổi của người lao động để</w:t>
      </w:r>
      <w:r w:rsidR="00C87E13" w:rsidRPr="00093639">
        <w:rPr>
          <w:rStyle w:val="BodyTextChar1"/>
          <w:rFonts w:ascii="Arial" w:hAnsi="Arial" w:cs="Arial"/>
          <w:color w:val="000000"/>
          <w:sz w:val="20"/>
          <w:szCs w:val="20"/>
          <w:lang w:eastAsia="vi-VN"/>
        </w:rPr>
        <w:t xml:space="preserve"> xác định mốc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theo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nghỉ hưu đã được quy định tại khoản 2 Điều 4 và khoản 2 Điều 5 của Nghị định số 135/2020/NĐ-CP.</w:t>
      </w:r>
    </w:p>
    <w:p w14:paraId="59C047CD" w14:textId="77777777" w:rsidR="00C87E13" w:rsidRPr="00093639" w:rsidRDefault="00ED3BEC"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i/>
          <w:color w:val="000000"/>
          <w:sz w:val="20"/>
          <w:szCs w:val="20"/>
          <w:lang w:eastAsia="vi-VN"/>
        </w:rPr>
        <w:lastRenderedPageBreak/>
        <w:t>1</w:t>
      </w:r>
      <w:r w:rsidR="00C87E13" w:rsidRPr="00093639">
        <w:rPr>
          <w:rStyle w:val="BodyTextChar1"/>
          <w:rFonts w:ascii="Arial" w:hAnsi="Arial" w:cs="Arial"/>
          <w:i/>
          <w:color w:val="000000"/>
          <w:sz w:val="20"/>
          <w:szCs w:val="20"/>
          <w:lang w:eastAsia="vi-VN"/>
        </w:rPr>
        <w:t>5.</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khoản 1 Điều 17 như sau:</w:t>
      </w:r>
    </w:p>
    <w:p w14:paraId="408F767D"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“1. Mức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hưu hằng tháng của người lao động đủ điều kiện quy định tại Điều 16 của Thông tư này được tính như quy định tại khoản 1 và khoản 2 Điều 7 Nghị định số 115/2015/NĐ-CP, sau đó cứ mỗi năm nghỉ hưu trước tuổi quy định thì giảm 2%.</w:t>
      </w:r>
    </w:p>
    <w:p w14:paraId="5AC16C48"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Ví dụ 24: Bà </w:t>
      </w:r>
      <w:r w:rsidRPr="00093639">
        <w:rPr>
          <w:rStyle w:val="BodyTextChar1"/>
          <w:rFonts w:ascii="Arial" w:hAnsi="Arial" w:cs="Arial"/>
          <w:color w:val="000000"/>
          <w:sz w:val="20"/>
          <w:szCs w:val="20"/>
          <w:lang w:val="en-US"/>
        </w:rPr>
        <w:t xml:space="preserve">A </w:t>
      </w:r>
      <w:r w:rsidRPr="00093639">
        <w:rPr>
          <w:rStyle w:val="BodyTextChar1"/>
          <w:rFonts w:ascii="Arial" w:hAnsi="Arial" w:cs="Arial"/>
          <w:color w:val="000000"/>
          <w:sz w:val="20"/>
          <w:szCs w:val="20"/>
          <w:lang w:eastAsia="vi-VN"/>
        </w:rPr>
        <w:t>53 tuổi, làm việc trong điều kiện bình thường, bị suy giảm khả năng lao động 61%, có 26 năm 04 tháng đóng bảo hiểm xã hội, nghỉ việc hưởng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hưu từ ngày 01/6/2016. Tỷ lệ hưởng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hưu của bà A được tính như sau:</w:t>
      </w:r>
    </w:p>
    <w:p w14:paraId="4963DBF3" w14:textId="77777777" w:rsidR="00C87E13" w:rsidRPr="00093639" w:rsidRDefault="00ED3BEC" w:rsidP="006C7B0D">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15 năm đầu được tính bằng </w:t>
      </w:r>
      <w:proofErr w:type="gramStart"/>
      <w:r w:rsidR="00C87E13" w:rsidRPr="00093639">
        <w:rPr>
          <w:rStyle w:val="BodyTextChar1"/>
          <w:rFonts w:ascii="Arial" w:hAnsi="Arial" w:cs="Arial"/>
          <w:color w:val="000000"/>
          <w:sz w:val="20"/>
          <w:szCs w:val="20"/>
          <w:lang w:eastAsia="vi-VN"/>
        </w:rPr>
        <w:t>45%;</w:t>
      </w:r>
      <w:proofErr w:type="gramEnd"/>
    </w:p>
    <w:p w14:paraId="16F9D24C" w14:textId="77777777" w:rsidR="00C87E13" w:rsidRPr="00093639" w:rsidRDefault="00ED3BEC" w:rsidP="006C7B0D">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Từ năm thứ 16 đến năm t</w:t>
      </w:r>
      <w:r w:rsidRPr="00093639">
        <w:rPr>
          <w:rStyle w:val="BodyTextChar1"/>
          <w:rFonts w:ascii="Arial" w:hAnsi="Arial" w:cs="Arial"/>
          <w:color w:val="000000"/>
          <w:sz w:val="20"/>
          <w:szCs w:val="20"/>
          <w:lang w:eastAsia="vi-VN"/>
        </w:rPr>
        <w:t>hứ 26 là 11 năm, tính thêm: 11 x</w:t>
      </w:r>
      <w:r w:rsidR="00C87E13" w:rsidRPr="00093639">
        <w:rPr>
          <w:rStyle w:val="BodyTextChar1"/>
          <w:rFonts w:ascii="Arial" w:hAnsi="Arial" w:cs="Arial"/>
          <w:color w:val="000000"/>
          <w:sz w:val="20"/>
          <w:szCs w:val="20"/>
          <w:lang w:eastAsia="vi-VN"/>
        </w:rPr>
        <w:t xml:space="preserve"> 3% = </w:t>
      </w:r>
      <w:proofErr w:type="gramStart"/>
      <w:r w:rsidR="00C87E13" w:rsidRPr="00093639">
        <w:rPr>
          <w:rStyle w:val="BodyTextChar1"/>
          <w:rFonts w:ascii="Arial" w:hAnsi="Arial" w:cs="Arial"/>
          <w:color w:val="000000"/>
          <w:sz w:val="20"/>
          <w:szCs w:val="20"/>
          <w:lang w:eastAsia="vi-VN"/>
        </w:rPr>
        <w:t>33%;</w:t>
      </w:r>
      <w:proofErr w:type="gramEnd"/>
    </w:p>
    <w:p w14:paraId="090558FF" w14:textId="77777777" w:rsidR="00C87E13" w:rsidRPr="00093639" w:rsidRDefault="00ED3BEC" w:rsidP="006C7B0D">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04 tháng được tính là 1/2 năm, tính thêm: 0,5 </w:t>
      </w:r>
      <w:r w:rsidRPr="00093639">
        <w:rPr>
          <w:rStyle w:val="BodyTextChar1"/>
          <w:rFonts w:ascii="Arial" w:hAnsi="Arial" w:cs="Arial"/>
          <w:color w:val="000000"/>
          <w:sz w:val="20"/>
          <w:szCs w:val="20"/>
          <w:lang w:val="en-US" w:eastAsia="vi-VN"/>
        </w:rPr>
        <w:t xml:space="preserve">x </w:t>
      </w:r>
      <w:r w:rsidR="00C87E13" w:rsidRPr="00093639">
        <w:rPr>
          <w:rStyle w:val="BodyTextChar1"/>
          <w:rFonts w:ascii="Arial" w:hAnsi="Arial" w:cs="Arial"/>
          <w:color w:val="000000"/>
          <w:sz w:val="20"/>
          <w:szCs w:val="20"/>
          <w:lang w:eastAsia="vi-VN"/>
        </w:rPr>
        <w:t>3% = 1,5%</w:t>
      </w:r>
    </w:p>
    <w:p w14:paraId="2D33E8A2" w14:textId="77777777" w:rsidR="00C87E13" w:rsidRPr="00093639" w:rsidRDefault="00ED3BEC" w:rsidP="006C7B0D">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Tổng các tỷ lệ trên là: 45% + 33% + 1,5% = 79,5% (chỉ tính tối đa bằng 75%</w:t>
      </w:r>
      <w:proofErr w:type="gramStart"/>
      <w:r w:rsidR="00C87E13" w:rsidRPr="00093639">
        <w:rPr>
          <w:rStyle w:val="BodyTextChar1"/>
          <w:rFonts w:ascii="Arial" w:hAnsi="Arial" w:cs="Arial"/>
          <w:color w:val="000000"/>
          <w:sz w:val="20"/>
          <w:szCs w:val="20"/>
          <w:lang w:eastAsia="vi-VN"/>
        </w:rPr>
        <w:t>);</w:t>
      </w:r>
      <w:proofErr w:type="gramEnd"/>
    </w:p>
    <w:p w14:paraId="3B7058F5" w14:textId="77777777" w:rsidR="00C87E13" w:rsidRPr="00093639" w:rsidRDefault="00ED3BEC" w:rsidP="006C7B0D">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Bà A nghỉ hưu trước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55 theo quy định là 2 năm nên tỷ lệ hưởng l</w:t>
      </w:r>
      <w:r w:rsidRPr="00093639">
        <w:rPr>
          <w:rStyle w:val="BodyTextChar1"/>
          <w:rFonts w:ascii="Arial" w:hAnsi="Arial" w:cs="Arial"/>
          <w:color w:val="000000"/>
          <w:sz w:val="20"/>
          <w:szCs w:val="20"/>
          <w:lang w:eastAsia="vi-VN"/>
        </w:rPr>
        <w:t>ương</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color w:val="000000"/>
          <w:sz w:val="20"/>
          <w:szCs w:val="20"/>
          <w:lang w:eastAsia="vi-VN"/>
        </w:rPr>
        <w:t>hưu tính giảm: 2 x</w:t>
      </w:r>
      <w:r w:rsidR="00C87E13" w:rsidRPr="00093639">
        <w:rPr>
          <w:rStyle w:val="BodyTextChar1"/>
          <w:rFonts w:ascii="Arial" w:hAnsi="Arial" w:cs="Arial"/>
          <w:color w:val="000000"/>
          <w:sz w:val="20"/>
          <w:szCs w:val="20"/>
          <w:lang w:eastAsia="vi-VN"/>
        </w:rPr>
        <w:t xml:space="preserve"> 2% = </w:t>
      </w:r>
      <w:proofErr w:type="gramStart"/>
      <w:r w:rsidR="00C87E13" w:rsidRPr="00093639">
        <w:rPr>
          <w:rStyle w:val="BodyTextChar1"/>
          <w:rFonts w:ascii="Arial" w:hAnsi="Arial" w:cs="Arial"/>
          <w:color w:val="000000"/>
          <w:sz w:val="20"/>
          <w:szCs w:val="20"/>
          <w:lang w:eastAsia="vi-VN"/>
        </w:rPr>
        <w:t>4%;</w:t>
      </w:r>
      <w:proofErr w:type="gramEnd"/>
    </w:p>
    <w:p w14:paraId="60117B21"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Như vậy, tỷ lệ hưởng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hưu hằng tháng của bà A là 75% - 4% = 71%. Ngoài ra, do bà A có thời gian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cao </w:t>
      </w:r>
      <w:r w:rsidR="00ED3BEC" w:rsidRPr="00093639">
        <w:rPr>
          <w:rStyle w:val="BodyTextChar1"/>
          <w:rFonts w:ascii="Arial" w:hAnsi="Arial" w:cs="Arial"/>
          <w:color w:val="000000"/>
          <w:sz w:val="20"/>
          <w:szCs w:val="20"/>
          <w:lang w:eastAsia="vi-VN"/>
        </w:rPr>
        <w:t>hơn</w:t>
      </w:r>
      <w:r w:rsidRPr="00093639">
        <w:rPr>
          <w:rStyle w:val="BodyTextChar1"/>
          <w:rFonts w:ascii="Arial" w:hAnsi="Arial" w:cs="Arial"/>
          <w:color w:val="000000"/>
          <w:sz w:val="20"/>
          <w:szCs w:val="20"/>
          <w:lang w:eastAsia="vi-VN"/>
        </w:rPr>
        <w:t xml:space="preserve"> số năm t</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ứng 75% (cao </w:t>
      </w:r>
      <w:r w:rsidR="00ED3BEC" w:rsidRPr="00093639">
        <w:rPr>
          <w:rStyle w:val="BodyTextChar1"/>
          <w:rFonts w:ascii="Arial" w:hAnsi="Arial" w:cs="Arial"/>
          <w:color w:val="000000"/>
          <w:sz w:val="20"/>
          <w:szCs w:val="20"/>
          <w:lang w:eastAsia="vi-VN"/>
        </w:rPr>
        <w:t>hơn</w:t>
      </w:r>
      <w:r w:rsidRPr="00093639">
        <w:rPr>
          <w:rStyle w:val="BodyTextChar1"/>
          <w:rFonts w:ascii="Arial" w:hAnsi="Arial" w:cs="Arial"/>
          <w:color w:val="000000"/>
          <w:sz w:val="20"/>
          <w:szCs w:val="20"/>
          <w:lang w:eastAsia="vi-VN"/>
        </w:rPr>
        <w:t xml:space="preserve"> 25 năm) nên còn được </w:t>
      </w:r>
      <w:r w:rsidR="00ED3BEC"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w:t>
      </w:r>
      <w:r w:rsidR="00ED3BEC" w:rsidRPr="00093639">
        <w:rPr>
          <w:rStyle w:val="BodyTextChar1"/>
          <w:rFonts w:ascii="Arial" w:hAnsi="Arial" w:cs="Arial"/>
          <w:color w:val="000000"/>
          <w:sz w:val="20"/>
          <w:szCs w:val="20"/>
          <w:lang w:eastAsia="vi-VN"/>
        </w:rPr>
        <w:t>trợ cấp</w:t>
      </w:r>
      <w:r w:rsidRPr="00093639">
        <w:rPr>
          <w:rStyle w:val="BodyTextChar1"/>
          <w:rFonts w:ascii="Arial" w:hAnsi="Arial" w:cs="Arial"/>
          <w:color w:val="000000"/>
          <w:sz w:val="20"/>
          <w:szCs w:val="20"/>
          <w:lang w:eastAsia="vi-VN"/>
        </w:rPr>
        <w:t xml:space="preserve"> mộ</w:t>
      </w:r>
      <w:r w:rsidR="00ED3BEC" w:rsidRPr="00093639">
        <w:rPr>
          <w:rStyle w:val="BodyTextChar1"/>
          <w:rFonts w:ascii="Arial" w:hAnsi="Arial" w:cs="Arial"/>
          <w:color w:val="000000"/>
          <w:sz w:val="20"/>
          <w:szCs w:val="20"/>
          <w:lang w:eastAsia="vi-VN"/>
        </w:rPr>
        <w:t>t lần khi nghỉ hưu là: 1,5 năm x</w:t>
      </w:r>
      <w:r w:rsidRPr="00093639">
        <w:rPr>
          <w:rStyle w:val="BodyTextChar1"/>
          <w:rFonts w:ascii="Arial" w:hAnsi="Arial" w:cs="Arial"/>
          <w:color w:val="000000"/>
          <w:sz w:val="20"/>
          <w:szCs w:val="20"/>
          <w:lang w:eastAsia="vi-VN"/>
        </w:rPr>
        <w:t xml:space="preserve"> 0,5 tháng mức bình quân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tháng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w:t>
      </w:r>
    </w:p>
    <w:p w14:paraId="19AD8FCF" w14:textId="77777777" w:rsidR="00C87E13" w:rsidRPr="00093639" w:rsidRDefault="00ED3BEC" w:rsidP="006C7B0D">
      <w:pPr>
        <w:pStyle w:val="BodyText"/>
        <w:shd w:val="clear" w:color="auto" w:fill="auto"/>
        <w:tabs>
          <w:tab w:val="left" w:pos="1083"/>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a) </w:t>
      </w:r>
      <w:r w:rsidR="00F375A3" w:rsidRPr="00093639">
        <w:rPr>
          <w:rStyle w:val="BodyTextChar1"/>
          <w:rFonts w:ascii="Arial" w:hAnsi="Arial" w:cs="Arial"/>
          <w:color w:val="000000"/>
          <w:sz w:val="20"/>
          <w:szCs w:val="20"/>
          <w:lang w:eastAsia="vi-VN"/>
        </w:rPr>
        <w:t>Trường hợp</w:t>
      </w:r>
      <w:r w:rsidR="00C87E13" w:rsidRPr="00093639">
        <w:rPr>
          <w:rStyle w:val="BodyTextChar1"/>
          <w:rFonts w:ascii="Arial" w:hAnsi="Arial" w:cs="Arial"/>
          <w:color w:val="000000"/>
          <w:sz w:val="20"/>
          <w:szCs w:val="20"/>
          <w:lang w:eastAsia="vi-VN"/>
        </w:rPr>
        <w:t xml:space="preserve"> thời gian nghỉ hưu trước tuổi có thời gian lẻ dưới 6 tháng thì không giảm tỷ lệ phần trăm hưởng l</w:t>
      </w:r>
      <w:r w:rsidRPr="00093639">
        <w:rPr>
          <w:rStyle w:val="BodyTextChar1"/>
          <w:rFonts w:ascii="Arial" w:hAnsi="Arial" w:cs="Arial"/>
          <w:color w:val="000000"/>
          <w:sz w:val="20"/>
          <w:szCs w:val="20"/>
          <w:lang w:eastAsia="vi-VN"/>
        </w:rPr>
        <w:t>ương</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color w:val="000000"/>
          <w:sz w:val="20"/>
          <w:szCs w:val="20"/>
          <w:lang w:eastAsia="vi-VN"/>
        </w:rPr>
        <w:t>hưu</w:t>
      </w:r>
      <w:r w:rsidR="00C87E13" w:rsidRPr="00093639">
        <w:rPr>
          <w:rStyle w:val="BodyTextChar1"/>
          <w:rFonts w:ascii="Arial" w:hAnsi="Arial" w:cs="Arial"/>
          <w:color w:val="000000"/>
          <w:sz w:val="20"/>
          <w:szCs w:val="20"/>
          <w:lang w:eastAsia="vi-VN"/>
        </w:rPr>
        <w:t>, thời gian lẻ từ 6 tháng trở lên thì tính mức giảm là 1%.</w:t>
      </w:r>
    </w:p>
    <w:p w14:paraId="3272C47A" w14:textId="77777777" w:rsidR="00C87E13" w:rsidRPr="00093639" w:rsidRDefault="00ED3BEC" w:rsidP="006C7B0D">
      <w:pPr>
        <w:pStyle w:val="BodyText"/>
        <w:shd w:val="clear" w:color="auto" w:fill="auto"/>
        <w:tabs>
          <w:tab w:val="left" w:pos="11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b) </w:t>
      </w:r>
      <w:r w:rsidR="00C87E13" w:rsidRPr="00093639">
        <w:rPr>
          <w:rStyle w:val="BodyTextChar1"/>
          <w:rFonts w:ascii="Arial" w:hAnsi="Arial" w:cs="Arial"/>
          <w:color w:val="000000"/>
          <w:sz w:val="20"/>
          <w:szCs w:val="20"/>
          <w:lang w:eastAsia="vi-VN"/>
        </w:rPr>
        <w:t xml:space="preserve">Mốc </w:t>
      </w:r>
      <w:r w:rsidRPr="00093639">
        <w:rPr>
          <w:rStyle w:val="BodyTextChar1"/>
          <w:rFonts w:ascii="Arial" w:hAnsi="Arial" w:cs="Arial"/>
          <w:color w:val="000000"/>
          <w:sz w:val="20"/>
          <w:szCs w:val="20"/>
          <w:lang w:eastAsia="vi-VN"/>
        </w:rPr>
        <w:t>tuổi để</w:t>
      </w:r>
      <w:r w:rsidR="00C87E13" w:rsidRPr="00093639">
        <w:rPr>
          <w:rStyle w:val="BodyTextChar1"/>
          <w:rFonts w:ascii="Arial" w:hAnsi="Arial" w:cs="Arial"/>
          <w:color w:val="000000"/>
          <w:sz w:val="20"/>
          <w:szCs w:val="20"/>
          <w:lang w:eastAsia="vi-VN"/>
        </w:rPr>
        <w:t xml:space="preserve"> tính số năm </w:t>
      </w:r>
      <w:r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trước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làm cơ sở tính giảm tỷ lệ hưởng lương hưu thực hiện theo quy định tại khoản 3 Điều 7 Nghị định số 115/2015/NĐ-CP.</w:t>
      </w:r>
    </w:p>
    <w:p w14:paraId="77E852B6"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Từ ngày 01 tháng 01 năm 2021 trở đi, mốc </w:t>
      </w:r>
      <w:r w:rsidR="00ED3BEC" w:rsidRPr="00093639">
        <w:rPr>
          <w:rStyle w:val="BodyTextChar1"/>
          <w:rFonts w:ascii="Arial" w:hAnsi="Arial" w:cs="Arial"/>
          <w:color w:val="000000"/>
          <w:sz w:val="20"/>
          <w:szCs w:val="20"/>
          <w:lang w:eastAsia="vi-VN"/>
        </w:rPr>
        <w:t>tuổi để</w:t>
      </w:r>
      <w:r w:rsidRPr="00093639">
        <w:rPr>
          <w:rStyle w:val="BodyTextChar1"/>
          <w:rFonts w:ascii="Arial" w:hAnsi="Arial" w:cs="Arial"/>
          <w:color w:val="000000"/>
          <w:sz w:val="20"/>
          <w:szCs w:val="20"/>
          <w:lang w:eastAsia="vi-VN"/>
        </w:rPr>
        <w:t xml:space="preserve"> tính số năm </w:t>
      </w:r>
      <w:r w:rsidR="00ED3BEC" w:rsidRPr="00093639">
        <w:rPr>
          <w:rStyle w:val="BodyTextChar1"/>
          <w:rFonts w:ascii="Arial" w:hAnsi="Arial" w:cs="Arial"/>
          <w:color w:val="000000"/>
          <w:sz w:val="20"/>
          <w:szCs w:val="20"/>
          <w:lang w:eastAsia="vi-VN"/>
        </w:rPr>
        <w:t>nghỉ hưu</w:t>
      </w:r>
      <w:r w:rsidRPr="00093639">
        <w:rPr>
          <w:rStyle w:val="BodyTextChar1"/>
          <w:rFonts w:ascii="Arial" w:hAnsi="Arial" w:cs="Arial"/>
          <w:color w:val="000000"/>
          <w:sz w:val="20"/>
          <w:szCs w:val="20"/>
          <w:lang w:eastAsia="vi-VN"/>
        </w:rPr>
        <w:t xml:space="preserve"> trước tuổi làm cơ sở tính giảm tỷ lệ hưởng lương </w:t>
      </w:r>
      <w:r w:rsidR="00ED3BEC" w:rsidRPr="00093639">
        <w:rPr>
          <w:rStyle w:val="BodyTextChar1"/>
          <w:rFonts w:ascii="Arial" w:hAnsi="Arial" w:cs="Arial"/>
          <w:color w:val="000000"/>
          <w:sz w:val="20"/>
          <w:szCs w:val="20"/>
          <w:lang w:val="en-US" w:eastAsia="vi-VN"/>
        </w:rPr>
        <w:t>hưu</w:t>
      </w:r>
      <w:r w:rsidRPr="00093639">
        <w:rPr>
          <w:rStyle w:val="BodyTextChar1"/>
          <w:rFonts w:ascii="Arial" w:hAnsi="Arial" w:cs="Arial"/>
          <w:color w:val="000000"/>
          <w:sz w:val="20"/>
          <w:szCs w:val="20"/>
          <w:lang w:eastAsia="vi-VN"/>
        </w:rPr>
        <w:t xml:space="preserve"> thực hiện theo quy định tại khoản 3 Điều 7 Nghị định số 135/2020/NĐ-CP.</w:t>
      </w:r>
    </w:p>
    <w:p w14:paraId="26B9FA8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Ví dụ 25: Bà K làm việc trong điều kiện lao động bình thường bị suy giảm khả năng lao độn</w:t>
      </w:r>
      <w:r w:rsidR="00ED3BEC" w:rsidRPr="00093639">
        <w:rPr>
          <w:rStyle w:val="BodyTextChar1"/>
          <w:rFonts w:ascii="Arial" w:hAnsi="Arial" w:cs="Arial"/>
          <w:color w:val="000000"/>
          <w:sz w:val="20"/>
          <w:szCs w:val="20"/>
          <w:lang w:eastAsia="vi-VN"/>
        </w:rPr>
        <w:t>g 61%, nghỉ việc hưởng lương hưu</w:t>
      </w:r>
      <w:r w:rsidRPr="00093639">
        <w:rPr>
          <w:rStyle w:val="BodyTextChar1"/>
          <w:rFonts w:ascii="Arial" w:hAnsi="Arial" w:cs="Arial"/>
          <w:color w:val="000000"/>
          <w:sz w:val="20"/>
          <w:szCs w:val="20"/>
          <w:lang w:eastAsia="vi-VN"/>
        </w:rPr>
        <w:t xml:space="preserve"> tháng 4/2021 khi đủ 50 </w:t>
      </w:r>
      <w:r w:rsidR="00ED3BEC" w:rsidRPr="00093639">
        <w:rPr>
          <w:rStyle w:val="BodyTextChar1"/>
          <w:rFonts w:ascii="Arial" w:hAnsi="Arial" w:cs="Arial"/>
          <w:color w:val="000000"/>
          <w:sz w:val="20"/>
          <w:szCs w:val="20"/>
          <w:lang w:eastAsia="vi-VN"/>
        </w:rPr>
        <w:t>tuổi</w:t>
      </w:r>
      <w:r w:rsidRPr="00093639">
        <w:rPr>
          <w:rStyle w:val="BodyTextChar1"/>
          <w:rFonts w:ascii="Arial" w:hAnsi="Arial" w:cs="Arial"/>
          <w:color w:val="000000"/>
          <w:sz w:val="20"/>
          <w:szCs w:val="20"/>
          <w:lang w:eastAsia="vi-VN"/>
        </w:rPr>
        <w:t xml:space="preserve"> 5 tháng, có 28 năm đóng bảo hiểm xã hội, tỷ lệ </w:t>
      </w:r>
      <w:r w:rsidR="00BA536F" w:rsidRPr="00093639">
        <w:rPr>
          <w:rStyle w:val="BodyTextChar1"/>
          <w:rFonts w:ascii="Arial" w:hAnsi="Arial" w:cs="Arial"/>
          <w:color w:val="000000"/>
          <w:sz w:val="20"/>
          <w:szCs w:val="20"/>
          <w:lang w:eastAsia="vi-VN"/>
        </w:rPr>
        <w:t>hưở</w:t>
      </w:r>
      <w:r w:rsidRPr="00093639">
        <w:rPr>
          <w:rStyle w:val="BodyTextChar1"/>
          <w:rFonts w:ascii="Arial" w:hAnsi="Arial" w:cs="Arial"/>
          <w:color w:val="000000"/>
          <w:sz w:val="20"/>
          <w:szCs w:val="20"/>
          <w:lang w:eastAsia="vi-VN"/>
        </w:rPr>
        <w:t>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w:t>
      </w:r>
      <w:r w:rsidR="00BA536F" w:rsidRPr="00093639">
        <w:rPr>
          <w:rStyle w:val="BodyTextChar1"/>
          <w:rFonts w:ascii="Arial" w:hAnsi="Arial" w:cs="Arial"/>
          <w:color w:val="000000"/>
          <w:sz w:val="20"/>
          <w:szCs w:val="20"/>
          <w:lang w:val="en-US" w:eastAsia="vi-VN"/>
        </w:rPr>
        <w:t>hưu</w:t>
      </w:r>
      <w:r w:rsidRPr="00093639">
        <w:rPr>
          <w:rStyle w:val="BodyTextChar1"/>
          <w:rFonts w:ascii="Arial" w:hAnsi="Arial" w:cs="Arial"/>
          <w:color w:val="000000"/>
          <w:sz w:val="20"/>
          <w:szCs w:val="20"/>
          <w:lang w:eastAsia="vi-VN"/>
        </w:rPr>
        <w:t xml:space="preserve"> được tính như sau:</w:t>
      </w:r>
    </w:p>
    <w:p w14:paraId="47CC7118"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15 năm đầu được tính bằng </w:t>
      </w:r>
      <w:proofErr w:type="gramStart"/>
      <w:r w:rsidR="00C87E13" w:rsidRPr="00093639">
        <w:rPr>
          <w:rStyle w:val="BodyTextChar1"/>
          <w:rFonts w:ascii="Arial" w:hAnsi="Arial" w:cs="Arial"/>
          <w:color w:val="000000"/>
          <w:sz w:val="20"/>
          <w:szCs w:val="20"/>
          <w:lang w:eastAsia="vi-VN"/>
        </w:rPr>
        <w:t>45%;</w:t>
      </w:r>
      <w:proofErr w:type="gramEnd"/>
    </w:p>
    <w:p w14:paraId="091B8914"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Từ năm thứ 16 đến năm t</w:t>
      </w:r>
      <w:r w:rsidRPr="00093639">
        <w:rPr>
          <w:rStyle w:val="BodyTextChar1"/>
          <w:rFonts w:ascii="Arial" w:hAnsi="Arial" w:cs="Arial"/>
          <w:color w:val="000000"/>
          <w:sz w:val="20"/>
          <w:szCs w:val="20"/>
          <w:lang w:eastAsia="vi-VN"/>
        </w:rPr>
        <w:t>hứ 28 là 13 năm, tính thêm: 13 x</w:t>
      </w:r>
      <w:r w:rsidR="00C87E13" w:rsidRPr="00093639">
        <w:rPr>
          <w:rStyle w:val="BodyTextChar1"/>
          <w:rFonts w:ascii="Arial" w:hAnsi="Arial" w:cs="Arial"/>
          <w:color w:val="000000"/>
          <w:sz w:val="20"/>
          <w:szCs w:val="20"/>
          <w:lang w:eastAsia="vi-VN"/>
        </w:rPr>
        <w:t xml:space="preserve"> 2% = </w:t>
      </w:r>
      <w:proofErr w:type="gramStart"/>
      <w:r w:rsidR="00C87E13" w:rsidRPr="00093639">
        <w:rPr>
          <w:rStyle w:val="BodyTextChar1"/>
          <w:rFonts w:ascii="Arial" w:hAnsi="Arial" w:cs="Arial"/>
          <w:color w:val="000000"/>
          <w:sz w:val="20"/>
          <w:szCs w:val="20"/>
          <w:lang w:eastAsia="vi-VN"/>
        </w:rPr>
        <w:t>26%;</w:t>
      </w:r>
      <w:proofErr w:type="gramEnd"/>
    </w:p>
    <w:p w14:paraId="00667233"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Tổng 2 tỷ lệ trên là: 45% + 26% = </w:t>
      </w:r>
      <w:proofErr w:type="gramStart"/>
      <w:r w:rsidR="00C87E13" w:rsidRPr="00093639">
        <w:rPr>
          <w:rStyle w:val="BodyTextChar1"/>
          <w:rFonts w:ascii="Arial" w:hAnsi="Arial" w:cs="Arial"/>
          <w:color w:val="000000"/>
          <w:sz w:val="20"/>
          <w:szCs w:val="20"/>
          <w:lang w:eastAsia="vi-VN"/>
        </w:rPr>
        <w:t>71%;</w:t>
      </w:r>
      <w:proofErr w:type="gramEnd"/>
    </w:p>
    <w:p w14:paraId="7537CF43" w14:textId="77777777" w:rsidR="00C87E13" w:rsidRPr="00093639" w:rsidRDefault="00BA536F" w:rsidP="006C7B0D">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Tại thời điểm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bà K 50 tuổi 5 tháng (thời gian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trước </w:t>
      </w:r>
      <w:r w:rsidR="00ED3BEC"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55 tuổi 4 tháng là 4 năm 11 tháng) nên tỷ lệ giảm trừ do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trước </w:t>
      </w:r>
      <w:r w:rsidR="00ED3BEC"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là 9% (4x2%+ 1% = 9%</w:t>
      </w:r>
      <w:proofErr w:type="gramStart"/>
      <w:r w:rsidR="00C87E13" w:rsidRPr="00093639">
        <w:rPr>
          <w:rStyle w:val="BodyTextChar1"/>
          <w:rFonts w:ascii="Arial" w:hAnsi="Arial" w:cs="Arial"/>
          <w:color w:val="000000"/>
          <w:sz w:val="20"/>
          <w:szCs w:val="20"/>
          <w:lang w:eastAsia="vi-VN"/>
        </w:rPr>
        <w:t>);</w:t>
      </w:r>
      <w:proofErr w:type="gramEnd"/>
    </w:p>
    <w:p w14:paraId="79173B25"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Như vậy, tỷ lệ hưởng lương </w:t>
      </w:r>
      <w:r w:rsidR="00BA536F" w:rsidRPr="00093639">
        <w:rPr>
          <w:rStyle w:val="BodyTextChar1"/>
          <w:rFonts w:ascii="Arial" w:hAnsi="Arial" w:cs="Arial"/>
          <w:color w:val="000000"/>
          <w:sz w:val="20"/>
          <w:szCs w:val="20"/>
          <w:lang w:val="en-US" w:eastAsia="vi-VN"/>
        </w:rPr>
        <w:t>hưu</w:t>
      </w:r>
      <w:r w:rsidRPr="00093639">
        <w:rPr>
          <w:rStyle w:val="BodyTextChar1"/>
          <w:rFonts w:ascii="Arial" w:hAnsi="Arial" w:cs="Arial"/>
          <w:color w:val="000000"/>
          <w:sz w:val="20"/>
          <w:szCs w:val="20"/>
          <w:lang w:eastAsia="vi-VN"/>
        </w:rPr>
        <w:t xml:space="preserve"> hằng tháng của bà K sẽ là 71% - 9% = 62%.</w:t>
      </w:r>
    </w:p>
    <w:p w14:paraId="0B44E1C5"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Ví dụ 26: Ông Q sin</w:t>
      </w:r>
      <w:r w:rsidR="00BA536F" w:rsidRPr="00093639">
        <w:rPr>
          <w:rStyle w:val="BodyTextChar1"/>
          <w:rFonts w:ascii="Arial" w:hAnsi="Arial" w:cs="Arial"/>
          <w:color w:val="000000"/>
          <w:sz w:val="20"/>
          <w:szCs w:val="20"/>
          <w:lang w:eastAsia="vi-VN"/>
        </w:rPr>
        <w:t>h ngày 14/01/1967, nghỉ việc hưở</w:t>
      </w:r>
      <w:r w:rsidRPr="00093639">
        <w:rPr>
          <w:rStyle w:val="BodyTextChar1"/>
          <w:rFonts w:ascii="Arial" w:hAnsi="Arial" w:cs="Arial"/>
          <w:color w:val="000000"/>
          <w:sz w:val="20"/>
          <w:szCs w:val="20"/>
          <w:lang w:eastAsia="vi-VN"/>
        </w:rPr>
        <w:t>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w:t>
      </w:r>
      <w:r w:rsidR="00BA536F" w:rsidRPr="00093639">
        <w:rPr>
          <w:rStyle w:val="BodyTextChar1"/>
          <w:rFonts w:ascii="Arial" w:hAnsi="Arial" w:cs="Arial"/>
          <w:color w:val="000000"/>
          <w:sz w:val="20"/>
          <w:szCs w:val="20"/>
          <w:lang w:val="en-US" w:eastAsia="vi-VN"/>
        </w:rPr>
        <w:t>hưu</w:t>
      </w:r>
      <w:r w:rsidRPr="00093639">
        <w:rPr>
          <w:rStyle w:val="BodyTextChar1"/>
          <w:rFonts w:ascii="Arial" w:hAnsi="Arial" w:cs="Arial"/>
          <w:color w:val="000000"/>
          <w:sz w:val="20"/>
          <w:szCs w:val="20"/>
          <w:lang w:eastAsia="vi-VN"/>
        </w:rPr>
        <w:t xml:space="preserve"> từ ngày 01/11/2021 với thời gian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là 34 năm, trong đó có 15 năm làm nghề, công việc đặc b</w:t>
      </w:r>
      <w:r w:rsidR="00BA536F" w:rsidRPr="00093639">
        <w:rPr>
          <w:rStyle w:val="BodyTextChar1"/>
          <w:rFonts w:ascii="Arial" w:hAnsi="Arial" w:cs="Arial"/>
          <w:color w:val="000000"/>
          <w:sz w:val="20"/>
          <w:szCs w:val="20"/>
          <w:lang w:eastAsia="vi-VN"/>
        </w:rPr>
        <w:t>iệt nặng nhọc, độc hại, nguy hiể</w:t>
      </w:r>
      <w:r w:rsidRPr="00093639">
        <w:rPr>
          <w:rStyle w:val="BodyTextChar1"/>
          <w:rFonts w:ascii="Arial" w:hAnsi="Arial" w:cs="Arial"/>
          <w:color w:val="000000"/>
          <w:sz w:val="20"/>
          <w:szCs w:val="20"/>
          <w:lang w:eastAsia="vi-VN"/>
        </w:rPr>
        <w:t xml:space="preserve">m; bị suy giảm </w:t>
      </w:r>
      <w:r w:rsidR="00BA536F" w:rsidRPr="00093639">
        <w:rPr>
          <w:rStyle w:val="BodyTextChar1"/>
          <w:rFonts w:ascii="Arial" w:hAnsi="Arial" w:cs="Arial"/>
          <w:color w:val="000000"/>
          <w:sz w:val="20"/>
          <w:szCs w:val="20"/>
          <w:lang w:eastAsia="vi-VN"/>
        </w:rPr>
        <w:t>khả năng lao động 61%. Tỷ lệ hưở</w:t>
      </w:r>
      <w:r w:rsidRPr="00093639">
        <w:rPr>
          <w:rStyle w:val="BodyTextChar1"/>
          <w:rFonts w:ascii="Arial" w:hAnsi="Arial" w:cs="Arial"/>
          <w:color w:val="000000"/>
          <w:sz w:val="20"/>
          <w:szCs w:val="20"/>
          <w:lang w:eastAsia="vi-VN"/>
        </w:rPr>
        <w:t>ng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w:t>
      </w:r>
      <w:r w:rsidR="00BA536F" w:rsidRPr="00093639">
        <w:rPr>
          <w:rStyle w:val="BodyTextChar1"/>
          <w:rFonts w:ascii="Arial" w:hAnsi="Arial" w:cs="Arial"/>
          <w:color w:val="000000"/>
          <w:sz w:val="20"/>
          <w:szCs w:val="20"/>
          <w:lang w:val="en-US" w:eastAsia="vi-VN"/>
        </w:rPr>
        <w:t>hưu</w:t>
      </w:r>
      <w:r w:rsidRPr="00093639">
        <w:rPr>
          <w:rStyle w:val="BodyTextChar1"/>
          <w:rFonts w:ascii="Arial" w:hAnsi="Arial" w:cs="Arial"/>
          <w:color w:val="000000"/>
          <w:sz w:val="20"/>
          <w:szCs w:val="20"/>
          <w:lang w:eastAsia="vi-VN"/>
        </w:rPr>
        <w:t xml:space="preserve"> của ông Q được tính như sau:</w:t>
      </w:r>
    </w:p>
    <w:p w14:paraId="6C96089F"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19 năm đầu được tính bằng </w:t>
      </w:r>
      <w:proofErr w:type="gramStart"/>
      <w:r w:rsidR="00C87E13" w:rsidRPr="00093639">
        <w:rPr>
          <w:rStyle w:val="BodyTextChar1"/>
          <w:rFonts w:ascii="Arial" w:hAnsi="Arial" w:cs="Arial"/>
          <w:color w:val="000000"/>
          <w:sz w:val="20"/>
          <w:szCs w:val="20"/>
          <w:lang w:eastAsia="vi-VN"/>
        </w:rPr>
        <w:t>45%;</w:t>
      </w:r>
      <w:proofErr w:type="gramEnd"/>
    </w:p>
    <w:p w14:paraId="52D5B598"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Từ năm thứ 20 đến năm thứ 34 là 15 năm, tính thêm:</w:t>
      </w:r>
      <w:r w:rsidRPr="00093639">
        <w:rPr>
          <w:rStyle w:val="BodyTextChar1"/>
          <w:rFonts w:ascii="Arial" w:hAnsi="Arial" w:cs="Arial"/>
          <w:color w:val="000000"/>
          <w:sz w:val="20"/>
          <w:szCs w:val="20"/>
          <w:lang w:eastAsia="vi-VN"/>
        </w:rPr>
        <w:t xml:space="preserve"> 15 x</w:t>
      </w:r>
      <w:r w:rsidR="00C87E13" w:rsidRPr="00093639">
        <w:rPr>
          <w:rStyle w:val="BodyTextChar1"/>
          <w:rFonts w:ascii="Arial" w:hAnsi="Arial" w:cs="Arial"/>
          <w:color w:val="000000"/>
          <w:sz w:val="20"/>
          <w:szCs w:val="20"/>
          <w:lang w:eastAsia="vi-VN"/>
        </w:rPr>
        <w:t xml:space="preserve"> 2% = </w:t>
      </w:r>
      <w:proofErr w:type="gramStart"/>
      <w:r w:rsidR="00C87E13" w:rsidRPr="00093639">
        <w:rPr>
          <w:rStyle w:val="BodyTextChar1"/>
          <w:rFonts w:ascii="Arial" w:hAnsi="Arial" w:cs="Arial"/>
          <w:color w:val="000000"/>
          <w:sz w:val="20"/>
          <w:szCs w:val="20"/>
          <w:lang w:eastAsia="vi-VN"/>
        </w:rPr>
        <w:t>30%;</w:t>
      </w:r>
      <w:proofErr w:type="gramEnd"/>
    </w:p>
    <w:p w14:paraId="6BA46F8B" w14:textId="77777777" w:rsidR="00C87E13" w:rsidRPr="00093639" w:rsidRDefault="00BA536F" w:rsidP="006C7B0D">
      <w:pPr>
        <w:pStyle w:val="BodyText"/>
        <w:shd w:val="clear" w:color="auto" w:fill="auto"/>
        <w:tabs>
          <w:tab w:val="left" w:pos="101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Tổng 2 tỷ lệ trên là: 45% + 30% = </w:t>
      </w:r>
      <w:proofErr w:type="gramStart"/>
      <w:r w:rsidR="00C87E13" w:rsidRPr="00093639">
        <w:rPr>
          <w:rStyle w:val="BodyTextChar1"/>
          <w:rFonts w:ascii="Arial" w:hAnsi="Arial" w:cs="Arial"/>
          <w:color w:val="000000"/>
          <w:sz w:val="20"/>
          <w:szCs w:val="20"/>
          <w:lang w:eastAsia="vi-VN"/>
        </w:rPr>
        <w:t>75%;</w:t>
      </w:r>
      <w:proofErr w:type="gramEnd"/>
    </w:p>
    <w:p w14:paraId="1E5813D8" w14:textId="77777777" w:rsidR="00C87E13" w:rsidRPr="00093639" w:rsidRDefault="00BA536F" w:rsidP="006C7B0D">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Tại thời điểm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ông Q 54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9 tháng 17 ngày, thời gian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trước </w:t>
      </w:r>
      <w:r w:rsidR="00ED3BEC"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(55 </w:t>
      </w:r>
      <w:r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3 tháng) là dưới 6 tháng nên không giảm tỷ lệ phần trăm </w:t>
      </w:r>
      <w:r w:rsidRPr="00093639">
        <w:rPr>
          <w:rStyle w:val="BodyTextChar1"/>
          <w:rFonts w:ascii="Arial" w:hAnsi="Arial" w:cs="Arial"/>
          <w:color w:val="000000"/>
          <w:sz w:val="20"/>
          <w:szCs w:val="20"/>
          <w:lang w:eastAsia="vi-VN"/>
        </w:rPr>
        <w:t>hưởng</w:t>
      </w:r>
      <w:r w:rsidR="00C87E13" w:rsidRPr="00093639">
        <w:rPr>
          <w:rStyle w:val="BodyTextChar1"/>
          <w:rFonts w:ascii="Arial" w:hAnsi="Arial" w:cs="Arial"/>
          <w:color w:val="000000"/>
          <w:sz w:val="20"/>
          <w:szCs w:val="20"/>
          <w:lang w:eastAsia="vi-VN"/>
        </w:rPr>
        <w:t xml:space="preserve"> </w:t>
      </w:r>
      <w:r w:rsidRPr="00093639">
        <w:rPr>
          <w:rStyle w:val="BodyTextChar1"/>
          <w:rFonts w:ascii="Arial" w:hAnsi="Arial" w:cs="Arial"/>
          <w:color w:val="000000"/>
          <w:sz w:val="20"/>
          <w:szCs w:val="20"/>
          <w:lang w:eastAsia="vi-VN"/>
        </w:rPr>
        <w:t xml:space="preserve">lương </w:t>
      </w:r>
      <w:proofErr w:type="gramStart"/>
      <w:r w:rsidRPr="00093639">
        <w:rPr>
          <w:rStyle w:val="BodyTextChar1"/>
          <w:rFonts w:ascii="Arial" w:hAnsi="Arial" w:cs="Arial"/>
          <w:color w:val="000000"/>
          <w:sz w:val="20"/>
          <w:szCs w:val="20"/>
          <w:lang w:eastAsia="vi-VN"/>
        </w:rPr>
        <w:t>hưu</w:t>
      </w:r>
      <w:r w:rsidR="00C87E13" w:rsidRPr="00093639">
        <w:rPr>
          <w:rStyle w:val="BodyTextChar1"/>
          <w:rFonts w:ascii="Arial" w:hAnsi="Arial" w:cs="Arial"/>
          <w:color w:val="000000"/>
          <w:sz w:val="20"/>
          <w:szCs w:val="20"/>
          <w:lang w:eastAsia="vi-VN"/>
        </w:rPr>
        <w:t>;</w:t>
      </w:r>
      <w:proofErr w:type="gramEnd"/>
    </w:p>
    <w:p w14:paraId="33FE121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Như vậy, tỷ lệ hưởng </w:t>
      </w:r>
      <w:r w:rsidR="00BA536F" w:rsidRPr="00093639">
        <w:rPr>
          <w:rStyle w:val="BodyTextChar1"/>
          <w:rFonts w:ascii="Arial" w:hAnsi="Arial" w:cs="Arial"/>
          <w:color w:val="000000"/>
          <w:sz w:val="20"/>
          <w:szCs w:val="20"/>
          <w:lang w:eastAsia="vi-VN"/>
        </w:rPr>
        <w:t>lương hưu</w:t>
      </w:r>
      <w:r w:rsidRPr="00093639">
        <w:rPr>
          <w:rStyle w:val="BodyTextChar1"/>
          <w:rFonts w:ascii="Arial" w:hAnsi="Arial" w:cs="Arial"/>
          <w:color w:val="000000"/>
          <w:sz w:val="20"/>
          <w:szCs w:val="20"/>
          <w:lang w:eastAsia="vi-VN"/>
        </w:rPr>
        <w:t xml:space="preserve"> hằng tháng của ông Q là 75%.”</w:t>
      </w:r>
    </w:p>
    <w:p w14:paraId="350A0222" w14:textId="77777777" w:rsidR="00C87E13" w:rsidRPr="00093639" w:rsidRDefault="00BA536F" w:rsidP="006C7B0D">
      <w:pPr>
        <w:pStyle w:val="BodyText"/>
        <w:shd w:val="clear" w:color="auto" w:fill="auto"/>
        <w:tabs>
          <w:tab w:val="left" w:pos="1239"/>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16.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3 và khoản 4 vào Điều 17 như sau:</w:t>
      </w:r>
    </w:p>
    <w:p w14:paraId="5C00A825"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“3. Người hoạt động không chuyên trách ở xã, phường, thị trấn mà có từ đủ 20 năm trở lên đóng bảo hiểm xã hội bắt buộc không theo đối tượng người hoạt động không chuyên trách ở xã, phường, thị trấn khi </w:t>
      </w:r>
      <w:r w:rsidR="00ED3BEC" w:rsidRPr="00093639">
        <w:rPr>
          <w:rStyle w:val="BodyTextChar1"/>
          <w:rFonts w:ascii="Arial" w:hAnsi="Arial" w:cs="Arial"/>
          <w:color w:val="000000"/>
          <w:sz w:val="20"/>
          <w:szCs w:val="20"/>
          <w:lang w:eastAsia="vi-VN"/>
        </w:rPr>
        <w:t>nghỉ hưu</w:t>
      </w:r>
      <w:r w:rsidRPr="00093639">
        <w:rPr>
          <w:rStyle w:val="BodyTextChar1"/>
          <w:rFonts w:ascii="Arial" w:hAnsi="Arial" w:cs="Arial"/>
          <w:color w:val="000000"/>
          <w:sz w:val="20"/>
          <w:szCs w:val="20"/>
          <w:lang w:eastAsia="vi-VN"/>
        </w:rPr>
        <w:t xml:space="preserve"> có mức </w:t>
      </w:r>
      <w:r w:rsidR="00BA536F" w:rsidRPr="00093639">
        <w:rPr>
          <w:rStyle w:val="BodyTextChar1"/>
          <w:rFonts w:ascii="Arial" w:hAnsi="Arial" w:cs="Arial"/>
          <w:color w:val="000000"/>
          <w:sz w:val="20"/>
          <w:szCs w:val="20"/>
          <w:lang w:eastAsia="vi-VN"/>
        </w:rPr>
        <w:t>lương hưu</w:t>
      </w:r>
      <w:r w:rsidRPr="00093639">
        <w:rPr>
          <w:rStyle w:val="BodyTextChar1"/>
          <w:rFonts w:ascii="Arial" w:hAnsi="Arial" w:cs="Arial"/>
          <w:color w:val="000000"/>
          <w:sz w:val="20"/>
          <w:szCs w:val="20"/>
          <w:lang w:eastAsia="vi-VN"/>
        </w:rPr>
        <w:t xml:space="preserve"> thấp hơn mức lương cơ sở tại thời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hưởng </w:t>
      </w:r>
      <w:r w:rsidR="00BA536F" w:rsidRPr="00093639">
        <w:rPr>
          <w:rStyle w:val="BodyTextChar1"/>
          <w:rFonts w:ascii="Arial" w:hAnsi="Arial" w:cs="Arial"/>
          <w:color w:val="000000"/>
          <w:sz w:val="20"/>
          <w:szCs w:val="20"/>
          <w:lang w:eastAsia="vi-VN"/>
        </w:rPr>
        <w:lastRenderedPageBreak/>
        <w:t>lương hưu</w:t>
      </w:r>
      <w:r w:rsidRPr="00093639">
        <w:rPr>
          <w:rStyle w:val="BodyTextChar1"/>
          <w:rFonts w:ascii="Arial" w:hAnsi="Arial" w:cs="Arial"/>
          <w:color w:val="000000"/>
          <w:sz w:val="20"/>
          <w:szCs w:val="20"/>
          <w:lang w:eastAsia="vi-VN"/>
        </w:rPr>
        <w:t xml:space="preserve"> thì được áp dụng quy định mức </w:t>
      </w:r>
      <w:r w:rsidR="00BA536F" w:rsidRPr="00093639">
        <w:rPr>
          <w:rStyle w:val="BodyTextChar1"/>
          <w:rFonts w:ascii="Arial" w:hAnsi="Arial" w:cs="Arial"/>
          <w:color w:val="000000"/>
          <w:sz w:val="20"/>
          <w:szCs w:val="20"/>
          <w:lang w:eastAsia="vi-VN"/>
        </w:rPr>
        <w:t>lương hưu</w:t>
      </w:r>
      <w:r w:rsidRPr="00093639">
        <w:rPr>
          <w:rStyle w:val="BodyTextChar1"/>
          <w:rFonts w:ascii="Arial" w:hAnsi="Arial" w:cs="Arial"/>
          <w:color w:val="000000"/>
          <w:sz w:val="20"/>
          <w:szCs w:val="20"/>
          <w:lang w:eastAsia="vi-VN"/>
        </w:rPr>
        <w:t xml:space="preserve"> hằng tháng thấp nhất bằng mức lương cơ sở.</w:t>
      </w:r>
    </w:p>
    <w:p w14:paraId="203F6C75"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rPr>
        <w:t xml:space="preserve">4. </w:t>
      </w:r>
      <w:r w:rsidRPr="00093639">
        <w:rPr>
          <w:rStyle w:val="BodyTextChar1"/>
          <w:rFonts w:ascii="Arial" w:hAnsi="Arial" w:cs="Arial"/>
          <w:color w:val="000000"/>
          <w:sz w:val="20"/>
          <w:szCs w:val="20"/>
          <w:lang w:eastAsia="vi-VN"/>
        </w:rPr>
        <w:t xml:space="preserve">Việc xác định số năm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tương ứng với tỷ lệ hưởng lương hưu bằng 45% được căn cứ vào thời điểm bắt đầu hưởng lương hưu hằng tháng của người lao động.”</w:t>
      </w:r>
    </w:p>
    <w:p w14:paraId="3C309640" w14:textId="77777777" w:rsidR="00C87E13" w:rsidRPr="00093639" w:rsidRDefault="00BA536F" w:rsidP="006C7B0D">
      <w:pPr>
        <w:pStyle w:val="BodyText"/>
        <w:shd w:val="clear" w:color="auto" w:fill="auto"/>
        <w:tabs>
          <w:tab w:val="left" w:pos="1206"/>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17. </w:t>
      </w:r>
      <w:r w:rsidR="00F375A3"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khoản 5 Điều 18 như sau:</w:t>
      </w:r>
    </w:p>
    <w:p w14:paraId="2F00F59C"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“5. Thời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hưởng lương hưu đối với trường hợp không còn hồ sơ gốc quy định tại điểm b khoản 2 Điều 3 của Nghị định số 89/2020/NĐ-CP ngày 04 tháng 8 năm 2020 của Chính phủ quy định chức năng, nhiệm vụ, quyền hạn và cơ cấu tổ chức của Bảo hiểm xã hội Việt Nam là thời điểm ghi trong văn bản giải quyết của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Việt Nam.”</w:t>
      </w:r>
    </w:p>
    <w:p w14:paraId="52DB2BC6" w14:textId="77777777" w:rsidR="00C87E13" w:rsidRPr="00093639" w:rsidRDefault="00BA536F" w:rsidP="006C7B0D">
      <w:pPr>
        <w:pStyle w:val="BodyText"/>
        <w:shd w:val="clear" w:color="auto" w:fill="auto"/>
        <w:tabs>
          <w:tab w:val="left" w:pos="1206"/>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18. </w:t>
      </w:r>
      <w:r w:rsidR="00F375A3" w:rsidRPr="00093639">
        <w:rPr>
          <w:rStyle w:val="BodyTextChar1"/>
          <w:rFonts w:ascii="Arial" w:hAnsi="Arial" w:cs="Arial"/>
          <w:i/>
          <w:iCs/>
          <w:color w:val="000000"/>
          <w:sz w:val="20"/>
          <w:szCs w:val="20"/>
          <w:lang w:eastAsia="vi-VN"/>
        </w:rPr>
        <w:t>Sửa đổi</w:t>
      </w:r>
      <w:r w:rsidRPr="00093639">
        <w:rPr>
          <w:rStyle w:val="BodyTextChar1"/>
          <w:rFonts w:ascii="Arial" w:hAnsi="Arial" w:cs="Arial"/>
          <w:i/>
          <w:iCs/>
          <w:color w:val="000000"/>
          <w:sz w:val="20"/>
          <w:szCs w:val="20"/>
          <w:lang w:eastAsia="vi-VN"/>
        </w:rPr>
        <w:t xml:space="preserve"> khổ</w:t>
      </w:r>
      <w:r w:rsidR="00C87E13" w:rsidRPr="00093639">
        <w:rPr>
          <w:rStyle w:val="BodyTextChar1"/>
          <w:rFonts w:ascii="Arial" w:hAnsi="Arial" w:cs="Arial"/>
          <w:i/>
          <w:iCs/>
          <w:color w:val="000000"/>
          <w:sz w:val="20"/>
          <w:szCs w:val="20"/>
          <w:lang w:eastAsia="vi-VN"/>
        </w:rPr>
        <w:t xml:space="preserve"> cuối khoản 1 Điều 20 như sau:</w:t>
      </w:r>
    </w:p>
    <w:p w14:paraId="3D2B3D6C"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“Tiền lương tháng đóng bảo hiểm xã hội là tiền lương đã được điều chỉnh theo quy định tại khoản 1 Điều 63 của Luật Bảo hiểm xã hội.”</w:t>
      </w:r>
    </w:p>
    <w:p w14:paraId="3EE020B1" w14:textId="77777777" w:rsidR="00C87E13" w:rsidRPr="00093639" w:rsidRDefault="00BA536F" w:rsidP="006C7B0D">
      <w:pPr>
        <w:pStyle w:val="BodyText"/>
        <w:shd w:val="clear" w:color="auto" w:fill="auto"/>
        <w:tabs>
          <w:tab w:val="left" w:pos="1206"/>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19.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3a sau khoản 3 Điều 20 như sau:</w:t>
      </w:r>
    </w:p>
    <w:p w14:paraId="3752F29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“3a. Khi tính mức bình quân tiền lương tháng đóng bảo hiểm xã hội để tính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hưu, trợ cấp một lần mà có thời gian đóng bảo hiểm xã hội trước ngày 01 tháng 10 năm 2004 theo chế độ tiền lương do Nhà nước quy định thì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tháng đóng bảo hiểm xã hội của thời gian này được </w:t>
      </w:r>
      <w:r w:rsidR="00BA536F" w:rsidRPr="00093639">
        <w:rPr>
          <w:rStyle w:val="BodyTextChar1"/>
          <w:rFonts w:ascii="Arial" w:hAnsi="Arial" w:cs="Arial"/>
          <w:color w:val="000000"/>
          <w:sz w:val="20"/>
          <w:szCs w:val="20"/>
          <w:lang w:eastAsia="vi-VN"/>
        </w:rPr>
        <w:t>chuyển đổi</w:t>
      </w:r>
      <w:r w:rsidRPr="00093639">
        <w:rPr>
          <w:rStyle w:val="BodyTextChar1"/>
          <w:rFonts w:ascii="Arial" w:hAnsi="Arial" w:cs="Arial"/>
          <w:color w:val="000000"/>
          <w:sz w:val="20"/>
          <w:szCs w:val="20"/>
          <w:lang w:eastAsia="vi-VN"/>
        </w:rPr>
        <w:t xml:space="preserve"> theo chế độ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tại thời điểm hưởng chế độ hưu trí, tử tuất. Riêng đối với người lao động có thời gian làm việc trong các doanh nghiệp đóng bảo hiểm xã hội theo chế độ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do Nhà nước quy định mà hưởng bảo hiểm xã hội từ ngày 01 tháng 01 năm 2016 trở đi thì tiền lương tháng đóng bảo hiểm xã hội trước ngày 01 tháng 10 năm 2004 nêu trên được chuyển đổi theo tiền lương quy định tại Nghị định số 205/2004/NĐ-CP ngày 14 tháng 12 năm 2004 của Chính phủ.”</w:t>
      </w:r>
    </w:p>
    <w:p w14:paraId="0430EE29" w14:textId="77777777" w:rsidR="00C87E13" w:rsidRPr="00093639" w:rsidRDefault="00BA536F" w:rsidP="006C7B0D">
      <w:pPr>
        <w:pStyle w:val="BodyText"/>
        <w:shd w:val="clear" w:color="auto" w:fill="auto"/>
        <w:tabs>
          <w:tab w:val="left" w:pos="1213"/>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20. </w:t>
      </w:r>
      <w:r w:rsidR="00F375A3" w:rsidRPr="00093639">
        <w:rPr>
          <w:rStyle w:val="BodyTextChar1"/>
          <w:rFonts w:ascii="Arial" w:hAnsi="Arial" w:cs="Arial"/>
          <w:i/>
          <w:iCs/>
          <w:color w:val="000000"/>
          <w:sz w:val="20"/>
          <w:szCs w:val="20"/>
          <w:lang w:eastAsia="vi-VN"/>
        </w:rPr>
        <w:t>Sửa đổi</w:t>
      </w:r>
      <w:r w:rsidR="00C87E13" w:rsidRPr="00093639">
        <w:rPr>
          <w:rStyle w:val="BodyTextChar1"/>
          <w:rFonts w:ascii="Arial" w:hAnsi="Arial" w:cs="Arial"/>
          <w:i/>
          <w:iCs/>
          <w:color w:val="000000"/>
          <w:sz w:val="20"/>
          <w:szCs w:val="20"/>
          <w:lang w:eastAsia="vi-VN"/>
        </w:rPr>
        <w:t xml:space="preserve"> khoản 4 </w:t>
      </w:r>
      <w:r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20 như sau:</w:t>
      </w:r>
    </w:p>
    <w:p w14:paraId="642D5EED"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"4. Lương </w:t>
      </w:r>
      <w:r w:rsidR="00ED3BEC" w:rsidRPr="00093639">
        <w:rPr>
          <w:rStyle w:val="BodyTextChar1"/>
          <w:rFonts w:ascii="Arial" w:hAnsi="Arial" w:cs="Arial"/>
          <w:color w:val="000000"/>
          <w:sz w:val="20"/>
          <w:szCs w:val="20"/>
          <w:lang w:eastAsia="vi-VN"/>
        </w:rPr>
        <w:t>hưu</w:t>
      </w:r>
      <w:r w:rsidRPr="00093639">
        <w:rPr>
          <w:rStyle w:val="BodyTextChar1"/>
          <w:rFonts w:ascii="Arial" w:hAnsi="Arial" w:cs="Arial"/>
          <w:color w:val="000000"/>
          <w:sz w:val="20"/>
          <w:szCs w:val="20"/>
          <w:lang w:eastAsia="vi-VN"/>
        </w:rPr>
        <w:t xml:space="preserve"> của người lao động thuộc đối tượng thực hiện chế độ tiền lương do Nhà nước quy định đã đóng bảo hiểm xã hội bao gồm phụ</w:t>
      </w:r>
      <w:r w:rsidR="00BA536F" w:rsidRPr="00093639">
        <w:rPr>
          <w:rStyle w:val="BodyTextChar1"/>
          <w:rFonts w:ascii="Arial" w:hAnsi="Arial" w:cs="Arial"/>
          <w:color w:val="000000"/>
          <w:sz w:val="20"/>
          <w:szCs w:val="20"/>
          <w:lang w:eastAsia="vi-VN"/>
        </w:rPr>
        <w:t xml:space="preserve"> cấp thâm niên nghề sau đó chuyể</w:t>
      </w:r>
      <w:r w:rsidRPr="00093639">
        <w:rPr>
          <w:rStyle w:val="BodyTextChar1"/>
          <w:rFonts w:ascii="Arial" w:hAnsi="Arial" w:cs="Arial"/>
          <w:color w:val="000000"/>
          <w:sz w:val="20"/>
          <w:szCs w:val="20"/>
          <w:lang w:eastAsia="vi-VN"/>
        </w:rPr>
        <w:t xml:space="preserve">n sang ngành nghề có hoặc không có phụ cấp thâm niên nghề rồi mới nghỉ </w:t>
      </w:r>
      <w:r w:rsidR="00ED3BEC" w:rsidRPr="00093639">
        <w:rPr>
          <w:rStyle w:val="BodyTextChar1"/>
          <w:rFonts w:ascii="Arial" w:hAnsi="Arial" w:cs="Arial"/>
          <w:color w:val="000000"/>
          <w:sz w:val="20"/>
          <w:szCs w:val="20"/>
          <w:lang w:eastAsia="vi-VN"/>
        </w:rPr>
        <w:t>hưu</w:t>
      </w:r>
      <w:r w:rsidRPr="00093639">
        <w:rPr>
          <w:rStyle w:val="BodyTextChar1"/>
          <w:rFonts w:ascii="Arial" w:hAnsi="Arial" w:cs="Arial"/>
          <w:color w:val="000000"/>
          <w:sz w:val="20"/>
          <w:szCs w:val="20"/>
          <w:lang w:eastAsia="vi-VN"/>
        </w:rPr>
        <w:t>, được thực hiện theo quy định tại khoản 6 Điều 9 của Nghị định số 115/2015/NĐ-CP và được hướng dẫn cụ thể như sau:</w:t>
      </w:r>
    </w:p>
    <w:p w14:paraId="3B9FA79A"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a) Đối với trường hợp trong tiền lương tháng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w:t>
      </w:r>
      <w:r w:rsidR="00BA536F" w:rsidRPr="00093639">
        <w:rPr>
          <w:rStyle w:val="BodyTextChar1"/>
          <w:rFonts w:ascii="Arial" w:hAnsi="Arial" w:cs="Arial"/>
          <w:color w:val="000000"/>
          <w:sz w:val="20"/>
          <w:szCs w:val="20"/>
          <w:lang w:eastAsia="vi-VN"/>
        </w:rPr>
        <w:t>ội của toàn bộ những năm cuối để</w:t>
      </w:r>
      <w:r w:rsidRPr="00093639">
        <w:rPr>
          <w:rStyle w:val="BodyTextChar1"/>
          <w:rFonts w:ascii="Arial" w:hAnsi="Arial" w:cs="Arial"/>
          <w:color w:val="000000"/>
          <w:sz w:val="20"/>
          <w:szCs w:val="20"/>
          <w:lang w:eastAsia="vi-VN"/>
        </w:rPr>
        <w:t xml:space="preserve"> làm căn cứ tính </w:t>
      </w:r>
      <w:r w:rsidR="00BA536F" w:rsidRPr="00093639">
        <w:rPr>
          <w:rStyle w:val="BodyTextChar1"/>
          <w:rFonts w:ascii="Arial" w:hAnsi="Arial" w:cs="Arial"/>
          <w:color w:val="000000"/>
          <w:sz w:val="20"/>
          <w:szCs w:val="20"/>
          <w:lang w:eastAsia="vi-VN"/>
        </w:rPr>
        <w:t>lương hưu</w:t>
      </w:r>
      <w:r w:rsidRPr="00093639">
        <w:rPr>
          <w:rStyle w:val="BodyTextChar1"/>
          <w:rFonts w:ascii="Arial" w:hAnsi="Arial" w:cs="Arial"/>
          <w:color w:val="000000"/>
          <w:sz w:val="20"/>
          <w:szCs w:val="20"/>
          <w:lang w:eastAsia="vi-VN"/>
        </w:rPr>
        <w:t xml:space="preserve"> không có phụ cấp thâm niên nghề thì được lấy mức bình quân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tháng đóng bảo hiểm xã hội của những năm cuối trước khi nghỉ hưu, cộng thêm khoản phụ cấp thâm niên nghề cao nhất (nếu đã được hưởng) tính theo thời gian đã đóng bảo hiểm xã hội bao gồm phụ cấp thâm niên nghề, được </w:t>
      </w:r>
      <w:r w:rsidR="00BA536F" w:rsidRPr="00093639">
        <w:rPr>
          <w:rStyle w:val="BodyTextChar1"/>
          <w:rFonts w:ascii="Arial" w:hAnsi="Arial" w:cs="Arial"/>
          <w:color w:val="000000"/>
          <w:sz w:val="20"/>
          <w:szCs w:val="20"/>
          <w:lang w:eastAsia="vi-VN"/>
        </w:rPr>
        <w:t>chuyển đổi</w:t>
      </w:r>
      <w:r w:rsidRPr="00093639">
        <w:rPr>
          <w:rStyle w:val="BodyTextChar1"/>
          <w:rFonts w:ascii="Arial" w:hAnsi="Arial" w:cs="Arial"/>
          <w:color w:val="000000"/>
          <w:sz w:val="20"/>
          <w:szCs w:val="20"/>
          <w:lang w:eastAsia="vi-VN"/>
        </w:rPr>
        <w:t xml:space="preserve"> theo chế độ tiền lương quy định tại thời điểm hưởng chế độ hưu trí để làm cơ sở tính lương hưu.</w:t>
      </w:r>
    </w:p>
    <w:p w14:paraId="76EDA24C" w14:textId="77777777" w:rsidR="00C87E13" w:rsidRPr="00093639" w:rsidRDefault="00BA536F" w:rsidP="006C7B0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b) </w:t>
      </w:r>
      <w:r w:rsidR="00C87E13" w:rsidRPr="00093639">
        <w:rPr>
          <w:rStyle w:val="BodyTextChar1"/>
          <w:rFonts w:ascii="Arial" w:hAnsi="Arial" w:cs="Arial"/>
          <w:color w:val="000000"/>
          <w:sz w:val="20"/>
          <w:szCs w:val="20"/>
          <w:lang w:eastAsia="vi-VN"/>
        </w:rPr>
        <w:t xml:space="preserve">Đối với trường hợp trong tiền lương tháng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của toàn bộ những năm cuối để làm căn cứ tính lương hưu đã có phụ cấp thâm niên nghề thì mức bình quân tiền lương tháng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để</w:t>
      </w:r>
      <w:r w:rsidR="00C87E13" w:rsidRPr="00093639">
        <w:rPr>
          <w:rStyle w:val="BodyTextChar1"/>
          <w:rFonts w:ascii="Arial" w:hAnsi="Arial" w:cs="Arial"/>
          <w:color w:val="000000"/>
          <w:sz w:val="20"/>
          <w:szCs w:val="20"/>
          <w:lang w:eastAsia="vi-VN"/>
        </w:rPr>
        <w:t xml:space="preserve"> tính lương hưu thực hiện theo quy định tại khoản 1 Điều 9 Nghị định số 115/2015/NĐ-CP và khoản 1 Điều này.</w:t>
      </w:r>
    </w:p>
    <w:p w14:paraId="15783845" w14:textId="77777777" w:rsidR="00C87E13" w:rsidRPr="00093639" w:rsidRDefault="00BA536F" w:rsidP="006C7B0D">
      <w:pPr>
        <w:pStyle w:val="BodyText"/>
        <w:shd w:val="clear" w:color="auto" w:fill="auto"/>
        <w:tabs>
          <w:tab w:val="left" w:pos="1076"/>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c) </w:t>
      </w:r>
      <w:r w:rsidR="00C87E13" w:rsidRPr="00093639">
        <w:rPr>
          <w:rStyle w:val="BodyTextChar1"/>
          <w:rFonts w:ascii="Arial" w:hAnsi="Arial" w:cs="Arial"/>
          <w:color w:val="000000"/>
          <w:sz w:val="20"/>
          <w:szCs w:val="20"/>
          <w:lang w:eastAsia="vi-VN"/>
        </w:rPr>
        <w:t xml:space="preserve">Đối với trường hợp trong tiền lương tháng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của những năm cuối đ</w:t>
      </w:r>
      <w:r w:rsidRPr="00093639">
        <w:rPr>
          <w:rStyle w:val="BodyTextChar1"/>
          <w:rFonts w:ascii="Arial" w:hAnsi="Arial" w:cs="Arial"/>
          <w:color w:val="000000"/>
          <w:sz w:val="20"/>
          <w:szCs w:val="20"/>
          <w:lang w:val="en-US" w:eastAsia="vi-VN"/>
        </w:rPr>
        <w:t>ể</w:t>
      </w:r>
      <w:r w:rsidR="00C87E13" w:rsidRPr="00093639">
        <w:rPr>
          <w:rStyle w:val="BodyTextChar1"/>
          <w:rFonts w:ascii="Arial" w:hAnsi="Arial" w:cs="Arial"/>
          <w:color w:val="000000"/>
          <w:sz w:val="20"/>
          <w:szCs w:val="20"/>
          <w:lang w:eastAsia="vi-VN"/>
        </w:rPr>
        <w:t xml:space="preserve"> tính lương hưu vừa có thời gian đóng có phụ cấp thâm niên nghề, vừa có thời gian đóng không có phụ cấp thâm niên nghề thì tính theo quy định tại </w:t>
      </w:r>
      <w:r w:rsidR="00F375A3" w:rsidRPr="00093639">
        <w:rPr>
          <w:rStyle w:val="BodyTextChar1"/>
          <w:rFonts w:ascii="Arial" w:hAnsi="Arial" w:cs="Arial"/>
          <w:color w:val="000000"/>
          <w:sz w:val="20"/>
          <w:szCs w:val="20"/>
          <w:lang w:eastAsia="vi-VN"/>
        </w:rPr>
        <w:t>điểm</w:t>
      </w:r>
      <w:r w:rsidR="00C87E13" w:rsidRPr="00093639">
        <w:rPr>
          <w:rStyle w:val="BodyTextChar1"/>
          <w:rFonts w:ascii="Arial" w:hAnsi="Arial" w:cs="Arial"/>
          <w:color w:val="000000"/>
          <w:sz w:val="20"/>
          <w:szCs w:val="20"/>
          <w:lang w:eastAsia="vi-VN"/>
        </w:rPr>
        <w:t xml:space="preserve"> b khoản này. Trường hợp trong quá trình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có khoảng thời gian đóng bao gồm phụ cấp thâm niên nghề liền kề cao hơn tiền lương tháng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của những năm cuối thì được lấy tiền lương tháng đóng bảo hiểm xã hội bao gồm phụ cấp thâm niên nghề liền kề </w:t>
      </w:r>
      <w:r w:rsidRPr="00093639">
        <w:rPr>
          <w:rStyle w:val="BodyTextChar1"/>
          <w:rFonts w:ascii="Arial" w:hAnsi="Arial" w:cs="Arial"/>
          <w:color w:val="000000"/>
          <w:sz w:val="20"/>
          <w:szCs w:val="20"/>
          <w:lang w:eastAsia="vi-VN"/>
        </w:rPr>
        <w:t>tương ứng</w:t>
      </w:r>
      <w:r w:rsidR="00C87E13" w:rsidRPr="00093639">
        <w:rPr>
          <w:rStyle w:val="BodyTextChar1"/>
          <w:rFonts w:ascii="Arial" w:hAnsi="Arial" w:cs="Arial"/>
          <w:color w:val="000000"/>
          <w:sz w:val="20"/>
          <w:szCs w:val="20"/>
          <w:lang w:eastAsia="vi-VN"/>
        </w:rPr>
        <w:t xml:space="preserve"> với số năm quy định tại khoản 1 Điều này (được </w:t>
      </w:r>
      <w:r w:rsidRPr="00093639">
        <w:rPr>
          <w:rStyle w:val="BodyTextChar1"/>
          <w:rFonts w:ascii="Arial" w:hAnsi="Arial" w:cs="Arial"/>
          <w:color w:val="000000"/>
          <w:sz w:val="20"/>
          <w:szCs w:val="20"/>
          <w:lang w:eastAsia="vi-VN"/>
        </w:rPr>
        <w:t>chuyển đổi</w:t>
      </w:r>
      <w:r w:rsidR="00C87E13" w:rsidRPr="00093639">
        <w:rPr>
          <w:rStyle w:val="BodyTextChar1"/>
          <w:rFonts w:ascii="Arial" w:hAnsi="Arial" w:cs="Arial"/>
          <w:color w:val="000000"/>
          <w:sz w:val="20"/>
          <w:szCs w:val="20"/>
          <w:lang w:eastAsia="vi-VN"/>
        </w:rPr>
        <w:t xml:space="preserve"> theo chế độ tiền lương quy định tại thời điểm hưởng chế độ hưu trí) để tính mức bình quân tiền lương tháng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w:t>
      </w:r>
    </w:p>
    <w:p w14:paraId="40136FE1" w14:textId="77777777" w:rsidR="00C87E13" w:rsidRPr="00093639" w:rsidRDefault="00BA536F"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Ví dụ 40: </w:t>
      </w:r>
      <w:r w:rsidRPr="00093639">
        <w:rPr>
          <w:rStyle w:val="BodyTextChar1"/>
          <w:rFonts w:ascii="Arial" w:hAnsi="Arial" w:cs="Arial"/>
          <w:color w:val="000000"/>
          <w:sz w:val="20"/>
          <w:szCs w:val="20"/>
          <w:lang w:val="en-US" w:eastAsia="vi-VN"/>
        </w:rPr>
        <w:t>Ô</w:t>
      </w:r>
      <w:r w:rsidRPr="00093639">
        <w:rPr>
          <w:rStyle w:val="BodyTextChar1"/>
          <w:rFonts w:ascii="Arial" w:hAnsi="Arial" w:cs="Arial"/>
          <w:color w:val="000000"/>
          <w:sz w:val="20"/>
          <w:szCs w:val="20"/>
          <w:lang w:eastAsia="vi-VN"/>
        </w:rPr>
        <w:t xml:space="preserve">ng </w:t>
      </w:r>
      <w:r w:rsidRPr="00093639">
        <w:rPr>
          <w:rStyle w:val="BodyTextChar1"/>
          <w:rFonts w:ascii="Arial" w:hAnsi="Arial" w:cs="Arial"/>
          <w:color w:val="000000"/>
          <w:sz w:val="20"/>
          <w:szCs w:val="20"/>
          <w:lang w:val="en-US" w:eastAsia="vi-VN"/>
        </w:rPr>
        <w:t>P</w:t>
      </w:r>
      <w:r w:rsidR="00C87E13" w:rsidRPr="00093639">
        <w:rPr>
          <w:rStyle w:val="BodyTextChar1"/>
          <w:rFonts w:ascii="Arial" w:hAnsi="Arial" w:cs="Arial"/>
          <w:color w:val="000000"/>
          <w:sz w:val="20"/>
          <w:szCs w:val="20"/>
          <w:lang w:eastAsia="vi-VN"/>
        </w:rPr>
        <w:t>, nguyên là Giảng viên cao cấp, bắt đầu tham gia công tác từ trước năm 1995, có thời gian làm công việc có phụ cấp thâm niên nghề, có thời gian làm công việc không được hưởng phụ cấp thâm niên ngh</w:t>
      </w:r>
      <w:r w:rsidRPr="00093639">
        <w:rPr>
          <w:rStyle w:val="BodyTextChar1"/>
          <w:rFonts w:ascii="Arial" w:hAnsi="Arial" w:cs="Arial"/>
          <w:color w:val="000000"/>
          <w:sz w:val="20"/>
          <w:szCs w:val="20"/>
          <w:lang w:eastAsia="vi-VN"/>
        </w:rPr>
        <w:t xml:space="preserve">ề. </w:t>
      </w:r>
      <w:r w:rsidRPr="00093639">
        <w:rPr>
          <w:rStyle w:val="BodyTextChar1"/>
          <w:rFonts w:ascii="Arial" w:hAnsi="Arial" w:cs="Arial"/>
          <w:color w:val="000000"/>
          <w:sz w:val="20"/>
          <w:szCs w:val="20"/>
          <w:lang w:val="en-US" w:eastAsia="vi-VN"/>
        </w:rPr>
        <w:t>Ô</w:t>
      </w:r>
      <w:r w:rsidRPr="00093639">
        <w:rPr>
          <w:rStyle w:val="BodyTextChar1"/>
          <w:rFonts w:ascii="Arial" w:hAnsi="Arial" w:cs="Arial"/>
          <w:color w:val="000000"/>
          <w:sz w:val="20"/>
          <w:szCs w:val="20"/>
          <w:lang w:eastAsia="vi-VN"/>
        </w:rPr>
        <w:t xml:space="preserve">ng </w:t>
      </w:r>
      <w:r w:rsidRPr="00093639">
        <w:rPr>
          <w:rStyle w:val="BodyTextChar1"/>
          <w:rFonts w:ascii="Arial" w:hAnsi="Arial" w:cs="Arial"/>
          <w:color w:val="000000"/>
          <w:sz w:val="20"/>
          <w:szCs w:val="20"/>
          <w:lang w:val="en-US" w:eastAsia="vi-VN"/>
        </w:rPr>
        <w:t>P</w:t>
      </w:r>
      <w:r w:rsidR="00C87E13" w:rsidRPr="00093639">
        <w:rPr>
          <w:rStyle w:val="BodyTextChar1"/>
          <w:rFonts w:ascii="Arial" w:hAnsi="Arial" w:cs="Arial"/>
          <w:color w:val="000000"/>
          <w:sz w:val="20"/>
          <w:szCs w:val="20"/>
          <w:lang w:eastAsia="vi-VN"/>
        </w:rPr>
        <w:t xml:space="preserve"> nghỉ việc hưởng chế độ hưu trí kể từ ngày 01/4/2021, có tổng thời gian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là 36 năm 6 tháng, trong đó có 32 năm</w:t>
      </w:r>
      <w:r w:rsidRPr="00093639">
        <w:rPr>
          <w:rStyle w:val="BodyTextChar1"/>
          <w:rFonts w:ascii="Arial" w:hAnsi="Arial" w:cs="Arial"/>
          <w:color w:val="000000"/>
          <w:sz w:val="20"/>
          <w:szCs w:val="20"/>
          <w:lang w:eastAsia="vi-VN"/>
        </w:rPr>
        <w:t xml:space="preserve"> được tính thâm niên nghề. Ông </w:t>
      </w:r>
      <w:r w:rsidRPr="00093639">
        <w:rPr>
          <w:rStyle w:val="BodyTextChar1"/>
          <w:rFonts w:ascii="Arial" w:hAnsi="Arial" w:cs="Arial"/>
          <w:color w:val="000000"/>
          <w:sz w:val="20"/>
          <w:szCs w:val="20"/>
          <w:lang w:val="en-US" w:eastAsia="vi-VN"/>
        </w:rPr>
        <w:t>P</w:t>
      </w:r>
      <w:r w:rsidR="00C87E13" w:rsidRPr="00093639">
        <w:rPr>
          <w:rStyle w:val="BodyTextChar1"/>
          <w:rFonts w:ascii="Arial" w:hAnsi="Arial" w:cs="Arial"/>
          <w:color w:val="000000"/>
          <w:sz w:val="20"/>
          <w:szCs w:val="20"/>
          <w:lang w:eastAsia="vi-VN"/>
        </w:rPr>
        <w:t xml:space="preserve"> có diễn biến tiền lương đóng bảo hiểm xã hội một số năm cuối trước khi </w:t>
      </w:r>
      <w:r w:rsidR="00ED3BEC" w:rsidRPr="00093639">
        <w:rPr>
          <w:rStyle w:val="BodyTextChar1"/>
          <w:rFonts w:ascii="Arial" w:hAnsi="Arial" w:cs="Arial"/>
          <w:color w:val="000000"/>
          <w:sz w:val="20"/>
          <w:szCs w:val="20"/>
          <w:lang w:eastAsia="vi-VN"/>
        </w:rPr>
        <w:t>nghỉ hưu</w:t>
      </w:r>
      <w:r w:rsidR="00C87E13" w:rsidRPr="00093639">
        <w:rPr>
          <w:rStyle w:val="BodyTextChar1"/>
          <w:rFonts w:ascii="Arial" w:hAnsi="Arial" w:cs="Arial"/>
          <w:color w:val="000000"/>
          <w:sz w:val="20"/>
          <w:szCs w:val="20"/>
          <w:lang w:eastAsia="vi-VN"/>
        </w:rPr>
        <w:t xml:space="preserve"> như sau:</w:t>
      </w:r>
    </w:p>
    <w:p w14:paraId="44B7E926" w14:textId="77777777" w:rsidR="00C87E13" w:rsidRPr="00093639" w:rsidRDefault="00BA536F" w:rsidP="006C7B0D">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4/2011 đến tháng 8/2011 = 5 tháng, hệ số lương là 6,2, không có phụ cấp thâm </w:t>
      </w:r>
      <w:proofErr w:type="gramStart"/>
      <w:r w:rsidR="00C87E13" w:rsidRPr="00093639">
        <w:rPr>
          <w:rStyle w:val="BodyTextChar1"/>
          <w:rFonts w:ascii="Arial" w:hAnsi="Arial" w:cs="Arial"/>
          <w:color w:val="000000"/>
          <w:sz w:val="20"/>
          <w:szCs w:val="20"/>
          <w:lang w:eastAsia="vi-VN"/>
        </w:rPr>
        <w:t>niên;</w:t>
      </w:r>
      <w:proofErr w:type="gramEnd"/>
    </w:p>
    <w:p w14:paraId="5E782B8C" w14:textId="77777777" w:rsidR="00C87E13" w:rsidRPr="00093639" w:rsidRDefault="00BA536F" w:rsidP="006C7B0D">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9/2011 đến tháng 3/2012 = 7 tháng, hệ số lương là 6,2, phụ cấp thâm niên nghề là </w:t>
      </w:r>
      <w:proofErr w:type="gramStart"/>
      <w:r w:rsidR="00C87E13" w:rsidRPr="00093639">
        <w:rPr>
          <w:rStyle w:val="BodyTextChar1"/>
          <w:rFonts w:ascii="Arial" w:hAnsi="Arial" w:cs="Arial"/>
          <w:color w:val="000000"/>
          <w:sz w:val="20"/>
          <w:szCs w:val="20"/>
          <w:lang w:eastAsia="vi-VN"/>
        </w:rPr>
        <w:t>26%;</w:t>
      </w:r>
      <w:proofErr w:type="gramEnd"/>
    </w:p>
    <w:p w14:paraId="432B8468" w14:textId="77777777" w:rsidR="00C87E13" w:rsidRPr="00093639" w:rsidRDefault="00BA536F" w:rsidP="006C7B0D">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lastRenderedPageBreak/>
        <w:t xml:space="preserve">- </w:t>
      </w:r>
      <w:r w:rsidR="00C87E13" w:rsidRPr="00093639">
        <w:rPr>
          <w:rStyle w:val="BodyTextChar1"/>
          <w:rFonts w:ascii="Arial" w:hAnsi="Arial" w:cs="Arial"/>
          <w:color w:val="000000"/>
          <w:sz w:val="20"/>
          <w:szCs w:val="20"/>
          <w:lang w:eastAsia="vi-VN"/>
        </w:rPr>
        <w:t xml:space="preserve">Từ tháng 4/2012 đến tháng 3/2013 = 12 tháng, hệ số lương là 6,2, phụ cấp thâm niên nghề là </w:t>
      </w:r>
      <w:proofErr w:type="gramStart"/>
      <w:r w:rsidR="00C87E13" w:rsidRPr="00093639">
        <w:rPr>
          <w:rStyle w:val="BodyTextChar1"/>
          <w:rFonts w:ascii="Arial" w:hAnsi="Arial" w:cs="Arial"/>
          <w:color w:val="000000"/>
          <w:sz w:val="20"/>
          <w:szCs w:val="20"/>
          <w:lang w:eastAsia="vi-VN"/>
        </w:rPr>
        <w:t>27%;</w:t>
      </w:r>
      <w:proofErr w:type="gramEnd"/>
    </w:p>
    <w:p w14:paraId="77836EDB" w14:textId="77777777" w:rsidR="00C87E13" w:rsidRPr="00093639" w:rsidRDefault="00BA536F" w:rsidP="006C7B0D">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4/2013 đến tháng 3/2014 = 12 tháng, hệ số lương là 6,2, phụ cấp thâm niên nghề là </w:t>
      </w:r>
      <w:proofErr w:type="gramStart"/>
      <w:r w:rsidR="00C87E13" w:rsidRPr="00093639">
        <w:rPr>
          <w:rStyle w:val="BodyTextChar1"/>
          <w:rFonts w:ascii="Arial" w:hAnsi="Arial" w:cs="Arial"/>
          <w:color w:val="000000"/>
          <w:sz w:val="20"/>
          <w:szCs w:val="20"/>
          <w:lang w:eastAsia="vi-VN"/>
        </w:rPr>
        <w:t>28%;</w:t>
      </w:r>
      <w:proofErr w:type="gramEnd"/>
    </w:p>
    <w:p w14:paraId="0840C90A" w14:textId="77777777" w:rsidR="00C87E13" w:rsidRPr="00093639" w:rsidRDefault="00BA536F" w:rsidP="006C7B0D">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4/2014 đến tháng 3/2015 = 12 tháng, hệ số lương là 6,56, phụ cấp thâm niên nghề là </w:t>
      </w:r>
      <w:proofErr w:type="gramStart"/>
      <w:r w:rsidR="00C87E13" w:rsidRPr="00093639">
        <w:rPr>
          <w:rStyle w:val="BodyTextChar1"/>
          <w:rFonts w:ascii="Arial" w:hAnsi="Arial" w:cs="Arial"/>
          <w:color w:val="000000"/>
          <w:sz w:val="20"/>
          <w:szCs w:val="20"/>
          <w:lang w:eastAsia="vi-VN"/>
        </w:rPr>
        <w:t>29%;</w:t>
      </w:r>
      <w:proofErr w:type="gramEnd"/>
    </w:p>
    <w:p w14:paraId="386D3350" w14:textId="77777777" w:rsidR="00C87E13" w:rsidRPr="00093639" w:rsidRDefault="00BA536F" w:rsidP="006C7B0D">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4/2015 đến tháng 3/2016 = 12 tháng, hệ số lương là 6,56, phụ cấp thâm niên nghề là </w:t>
      </w:r>
      <w:proofErr w:type="gramStart"/>
      <w:r w:rsidR="00C87E13" w:rsidRPr="00093639">
        <w:rPr>
          <w:rStyle w:val="BodyTextChar1"/>
          <w:rFonts w:ascii="Arial" w:hAnsi="Arial" w:cs="Arial"/>
          <w:color w:val="000000"/>
          <w:sz w:val="20"/>
          <w:szCs w:val="20"/>
          <w:lang w:eastAsia="vi-VN"/>
        </w:rPr>
        <w:t>30%;</w:t>
      </w:r>
      <w:proofErr w:type="gramEnd"/>
    </w:p>
    <w:p w14:paraId="5056641F" w14:textId="77777777" w:rsidR="00C87E13" w:rsidRPr="00093639" w:rsidRDefault="00BA536F" w:rsidP="006C7B0D">
      <w:pPr>
        <w:pStyle w:val="BodyText"/>
        <w:shd w:val="clear" w:color="auto" w:fill="auto"/>
        <w:tabs>
          <w:tab w:val="left" w:pos="945"/>
        </w:tabs>
        <w:spacing w:after="120" w:line="240" w:lineRule="auto"/>
        <w:ind w:firstLine="720"/>
        <w:jc w:val="both"/>
        <w:rPr>
          <w:rFonts w:ascii="Arial" w:hAnsi="Arial" w:cs="Arial"/>
          <w:color w:val="000000"/>
          <w:sz w:val="20"/>
          <w:szCs w:val="20"/>
          <w:lang w:val="en-US"/>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4/2016 đến tháng 3/2019 = 36 tháng, hệ số lương là 6,92, không có phụ cấp thâm </w:t>
      </w:r>
      <w:proofErr w:type="gramStart"/>
      <w:r w:rsidR="00C87E13" w:rsidRPr="00093639">
        <w:rPr>
          <w:rStyle w:val="BodyTextChar1"/>
          <w:rFonts w:ascii="Arial" w:hAnsi="Arial" w:cs="Arial"/>
          <w:color w:val="000000"/>
          <w:sz w:val="20"/>
          <w:szCs w:val="20"/>
          <w:lang w:eastAsia="vi-VN"/>
        </w:rPr>
        <w:t>niên;</w:t>
      </w:r>
      <w:proofErr w:type="gramEnd"/>
    </w:p>
    <w:p w14:paraId="1D4BCDDC" w14:textId="77777777" w:rsidR="00C87E13" w:rsidRPr="00093639" w:rsidRDefault="00BA536F" w:rsidP="006C7B0D">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4/2019 đến tháng 3/2020 = 12 tháng, hệ số lương là 7,28, phụ cấp thâm niên nghề là </w:t>
      </w:r>
      <w:proofErr w:type="gramStart"/>
      <w:r w:rsidR="00C87E13" w:rsidRPr="00093639">
        <w:rPr>
          <w:rStyle w:val="BodyTextChar1"/>
          <w:rFonts w:ascii="Arial" w:hAnsi="Arial" w:cs="Arial"/>
          <w:color w:val="000000"/>
          <w:sz w:val="20"/>
          <w:szCs w:val="20"/>
          <w:lang w:eastAsia="vi-VN"/>
        </w:rPr>
        <w:t>31 %;</w:t>
      </w:r>
      <w:proofErr w:type="gramEnd"/>
    </w:p>
    <w:p w14:paraId="0025272D" w14:textId="77777777" w:rsidR="00C87E13" w:rsidRPr="00093639" w:rsidRDefault="00BA536F" w:rsidP="006C7B0D">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 </w:t>
      </w:r>
      <w:r w:rsidR="00C87E13" w:rsidRPr="00093639">
        <w:rPr>
          <w:rStyle w:val="BodyTextChar1"/>
          <w:rFonts w:ascii="Arial" w:hAnsi="Arial" w:cs="Arial"/>
          <w:color w:val="000000"/>
          <w:sz w:val="20"/>
          <w:szCs w:val="20"/>
          <w:lang w:eastAsia="vi-VN"/>
        </w:rPr>
        <w:t xml:space="preserve">Từ tháng 4/2020 đến tháng 3/2021 = 12 tháng, hệ số lương là 7,28, phụ cấp thâm niên nghề là </w:t>
      </w:r>
      <w:proofErr w:type="gramStart"/>
      <w:r w:rsidR="00C87E13" w:rsidRPr="00093639">
        <w:rPr>
          <w:rStyle w:val="BodyTextChar1"/>
          <w:rFonts w:ascii="Arial" w:hAnsi="Arial" w:cs="Arial"/>
          <w:color w:val="000000"/>
          <w:sz w:val="20"/>
          <w:szCs w:val="20"/>
          <w:lang w:eastAsia="vi-VN"/>
        </w:rPr>
        <w:t>32%;</w:t>
      </w:r>
      <w:proofErr w:type="gramEnd"/>
    </w:p>
    <w:p w14:paraId="2C5C89F1" w14:textId="77777777" w:rsidR="00C87E13" w:rsidRPr="00093639" w:rsidRDefault="00F375A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Trường hợp</w:t>
      </w:r>
      <w:r w:rsidR="00BA536F" w:rsidRPr="00093639">
        <w:rPr>
          <w:rStyle w:val="BodyTextChar1"/>
          <w:rFonts w:ascii="Arial" w:hAnsi="Arial" w:cs="Arial"/>
          <w:color w:val="000000"/>
          <w:sz w:val="20"/>
          <w:szCs w:val="20"/>
          <w:lang w:eastAsia="vi-VN"/>
        </w:rPr>
        <w:t xml:space="preserve"> ông </w:t>
      </w:r>
      <w:r w:rsidR="00BA536F" w:rsidRPr="00093639">
        <w:rPr>
          <w:rStyle w:val="BodyTextChar1"/>
          <w:rFonts w:ascii="Arial" w:hAnsi="Arial" w:cs="Arial"/>
          <w:color w:val="000000"/>
          <w:sz w:val="20"/>
          <w:szCs w:val="20"/>
          <w:lang w:val="en-US" w:eastAsia="vi-VN"/>
        </w:rPr>
        <w:t>P</w:t>
      </w:r>
      <w:r w:rsidR="00C87E13" w:rsidRPr="00093639">
        <w:rPr>
          <w:rStyle w:val="BodyTextChar1"/>
          <w:rFonts w:ascii="Arial" w:hAnsi="Arial" w:cs="Arial"/>
          <w:color w:val="000000"/>
          <w:sz w:val="20"/>
          <w:szCs w:val="20"/>
          <w:lang w:eastAsia="vi-VN"/>
        </w:rPr>
        <w:t xml:space="preserve"> mức lương hưu tính theo mức bình quân của tiền lương tháng đóng </w:t>
      </w:r>
      <w:r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của 05 năm cuối trước khi nghỉ </w:t>
      </w:r>
      <w:r w:rsidR="00ED3BEC" w:rsidRPr="00093639">
        <w:rPr>
          <w:rStyle w:val="BodyTextChar1"/>
          <w:rFonts w:ascii="Arial" w:hAnsi="Arial" w:cs="Arial"/>
          <w:color w:val="000000"/>
          <w:sz w:val="20"/>
          <w:szCs w:val="20"/>
          <w:lang w:eastAsia="vi-VN"/>
        </w:rPr>
        <w:t>hưu</w:t>
      </w:r>
      <w:r w:rsidR="00C87E13" w:rsidRPr="00093639">
        <w:rPr>
          <w:rStyle w:val="BodyTextChar1"/>
          <w:rFonts w:ascii="Arial" w:hAnsi="Arial" w:cs="Arial"/>
          <w:color w:val="000000"/>
          <w:sz w:val="20"/>
          <w:szCs w:val="20"/>
          <w:lang w:eastAsia="vi-VN"/>
        </w:rPr>
        <w:t xml:space="preserve"> (từ tháng 4/2016 đến tháng 3/2021) thấp </w:t>
      </w:r>
      <w:r w:rsidR="00ED3BEC" w:rsidRPr="00093639">
        <w:rPr>
          <w:rStyle w:val="BodyTextChar1"/>
          <w:rFonts w:ascii="Arial" w:hAnsi="Arial" w:cs="Arial"/>
          <w:color w:val="000000"/>
          <w:sz w:val="20"/>
          <w:szCs w:val="20"/>
          <w:lang w:eastAsia="vi-VN"/>
        </w:rPr>
        <w:t>hơn</w:t>
      </w:r>
      <w:r w:rsidR="00C87E13" w:rsidRPr="00093639">
        <w:rPr>
          <w:rStyle w:val="BodyTextChar1"/>
          <w:rFonts w:ascii="Arial" w:hAnsi="Arial" w:cs="Arial"/>
          <w:color w:val="000000"/>
          <w:sz w:val="20"/>
          <w:szCs w:val="20"/>
          <w:lang w:eastAsia="vi-VN"/>
        </w:rPr>
        <w:t xml:space="preserve"> so với mức lương hưu tính theo mức bình quân của tiền lương tháng đóng </w:t>
      </w:r>
      <w:r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của 05 năm liền kề có hưởng phụ cấp thâm niên (từ tháng 4/2011 đến tháng 3/2016). Do vậy, m</w:t>
      </w:r>
      <w:r w:rsidR="00BA536F" w:rsidRPr="00093639">
        <w:rPr>
          <w:rStyle w:val="BodyTextChar1"/>
          <w:rFonts w:ascii="Arial" w:hAnsi="Arial" w:cs="Arial"/>
          <w:color w:val="000000"/>
          <w:sz w:val="20"/>
          <w:szCs w:val="20"/>
          <w:lang w:eastAsia="vi-VN"/>
        </w:rPr>
        <w:t>ức bình quân tiền lương tháng để</w:t>
      </w:r>
      <w:r w:rsidR="00C87E13" w:rsidRPr="00093639">
        <w:rPr>
          <w:rStyle w:val="BodyTextChar1"/>
          <w:rFonts w:ascii="Arial" w:hAnsi="Arial" w:cs="Arial"/>
          <w:color w:val="000000"/>
          <w:sz w:val="20"/>
          <w:szCs w:val="20"/>
          <w:lang w:eastAsia="vi-VN"/>
        </w:rPr>
        <w:t xml:space="preserve"> tính lương </w:t>
      </w:r>
      <w:r w:rsidR="00ED3BEC" w:rsidRPr="00093639">
        <w:rPr>
          <w:rStyle w:val="BodyTextChar1"/>
          <w:rFonts w:ascii="Arial" w:hAnsi="Arial" w:cs="Arial"/>
          <w:color w:val="000000"/>
          <w:sz w:val="20"/>
          <w:szCs w:val="20"/>
          <w:lang w:eastAsia="vi-VN"/>
        </w:rPr>
        <w:t>hưu</w:t>
      </w:r>
      <w:r w:rsidR="00C87E13" w:rsidRPr="00093639">
        <w:rPr>
          <w:rStyle w:val="BodyTextChar1"/>
          <w:rFonts w:ascii="Arial" w:hAnsi="Arial" w:cs="Arial"/>
          <w:color w:val="000000"/>
          <w:sz w:val="20"/>
          <w:szCs w:val="20"/>
          <w:lang w:eastAsia="vi-VN"/>
        </w:rPr>
        <w:t xml:space="preserve"> của ông </w:t>
      </w:r>
      <w:r w:rsidR="00BA536F" w:rsidRPr="00093639">
        <w:rPr>
          <w:rStyle w:val="BodyTextChar1"/>
          <w:rFonts w:ascii="Arial" w:hAnsi="Arial" w:cs="Arial"/>
          <w:color w:val="000000"/>
          <w:sz w:val="20"/>
          <w:szCs w:val="20"/>
          <w:lang w:val="en-US" w:eastAsia="vi-VN"/>
        </w:rPr>
        <w:t xml:space="preserve">P </w:t>
      </w:r>
      <w:r w:rsidR="00C87E13" w:rsidRPr="00093639">
        <w:rPr>
          <w:rStyle w:val="BodyTextChar1"/>
          <w:rFonts w:ascii="Arial" w:hAnsi="Arial" w:cs="Arial"/>
          <w:color w:val="000000"/>
          <w:sz w:val="20"/>
          <w:szCs w:val="20"/>
          <w:lang w:eastAsia="vi-VN"/>
        </w:rPr>
        <w:t>được tính theo mức bình quân của tiền lương tháng đóng bảo hiểm xã hội của 05 năm từ tháng 4/2011 đến tháng 3/2016.”</w:t>
      </w:r>
    </w:p>
    <w:p w14:paraId="7524BCEA" w14:textId="77777777" w:rsidR="00C87E13" w:rsidRPr="00093639" w:rsidRDefault="00BA536F" w:rsidP="006C7B0D">
      <w:pPr>
        <w:pStyle w:val="BodyText"/>
        <w:shd w:val="clear" w:color="auto" w:fill="auto"/>
        <w:tabs>
          <w:tab w:val="left" w:pos="1201"/>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21.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6 vào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20 như sau:</w:t>
      </w:r>
    </w:p>
    <w:p w14:paraId="1D70477C"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“6. Đối với người lao động có thời gian công tác trước ngày 01 tháng 01 năm 1995 được tính là thời gian đã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nhưng thời gian đó người lao động không được </w:t>
      </w:r>
      <w:r w:rsidR="00ED3BEC" w:rsidRPr="00093639">
        <w:rPr>
          <w:rStyle w:val="BodyTextChar1"/>
          <w:rFonts w:ascii="Arial" w:hAnsi="Arial" w:cs="Arial"/>
          <w:color w:val="000000"/>
          <w:sz w:val="20"/>
          <w:szCs w:val="20"/>
          <w:lang w:eastAsia="vi-VN"/>
        </w:rPr>
        <w:t>hưởng</w:t>
      </w:r>
      <w:r w:rsidRPr="00093639">
        <w:rPr>
          <w:rStyle w:val="BodyTextChar1"/>
          <w:rFonts w:ascii="Arial" w:hAnsi="Arial" w:cs="Arial"/>
          <w:color w:val="000000"/>
          <w:sz w:val="20"/>
          <w:szCs w:val="20"/>
          <w:lang w:eastAsia="vi-VN"/>
        </w:rPr>
        <w:t xml:space="preserve"> tiền lương (được trả thù lao bằng công điểm hoặc lương thực như giáo viên mầm non, chủ nhiệm hợp tác xã có quy mô toàn xã,..) thì chỉ tính thời gian đã đóng bảo hiểm xã hội để tính hưởng chế độ (tỷ lệ hưởng lương hưu,...); mức bình quân tiền lương tháng đóng </w:t>
      </w:r>
      <w:r w:rsidR="00F375A3" w:rsidRPr="00093639">
        <w:rPr>
          <w:rStyle w:val="BodyTextChar1"/>
          <w:rFonts w:ascii="Arial" w:hAnsi="Arial" w:cs="Arial"/>
          <w:color w:val="000000"/>
          <w:sz w:val="20"/>
          <w:szCs w:val="20"/>
          <w:lang w:eastAsia="vi-VN"/>
        </w:rPr>
        <w:t>bảo hiểm</w:t>
      </w:r>
      <w:r w:rsidR="00820E97" w:rsidRPr="00093639">
        <w:rPr>
          <w:rStyle w:val="BodyTextChar1"/>
          <w:rFonts w:ascii="Arial" w:hAnsi="Arial" w:cs="Arial"/>
          <w:color w:val="000000"/>
          <w:sz w:val="20"/>
          <w:szCs w:val="20"/>
          <w:lang w:eastAsia="vi-VN"/>
        </w:rPr>
        <w:t xml:space="preserve"> xã hội để</w:t>
      </w:r>
      <w:r w:rsidRPr="00093639">
        <w:rPr>
          <w:rStyle w:val="BodyTextChar1"/>
          <w:rFonts w:ascii="Arial" w:hAnsi="Arial" w:cs="Arial"/>
          <w:color w:val="000000"/>
          <w:sz w:val="20"/>
          <w:szCs w:val="20"/>
          <w:lang w:eastAsia="vi-VN"/>
        </w:rPr>
        <w:t xml:space="preserve"> tính lương hưu, trợ cấp </w:t>
      </w:r>
      <w:r w:rsidR="00A614BC"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không bao gồm thời gian được tính là thời gian đã đóng bảo hiểm xã hội nhưng không được hưởng tiền lương.”</w:t>
      </w:r>
    </w:p>
    <w:p w14:paraId="777317DE" w14:textId="77777777" w:rsidR="00C87E13" w:rsidRPr="00093639" w:rsidRDefault="00820E97" w:rsidP="006C7B0D">
      <w:pPr>
        <w:pStyle w:val="BodyText"/>
        <w:shd w:val="clear" w:color="auto" w:fill="auto"/>
        <w:tabs>
          <w:tab w:val="left" w:pos="1185"/>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22. </w:t>
      </w:r>
      <w:r w:rsidR="008247E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sau </w:t>
      </w:r>
      <w:r w:rsidRPr="00093639">
        <w:rPr>
          <w:rStyle w:val="BodyTextChar1"/>
          <w:rFonts w:ascii="Arial" w:hAnsi="Arial" w:cs="Arial"/>
          <w:i/>
          <w:iCs/>
          <w:color w:val="000000"/>
          <w:sz w:val="20"/>
          <w:szCs w:val="20"/>
          <w:lang w:eastAsia="vi-VN"/>
        </w:rPr>
        <w:t>khổ</w:t>
      </w:r>
      <w:r w:rsidR="00C87E13" w:rsidRPr="00093639">
        <w:rPr>
          <w:rStyle w:val="BodyTextChar1"/>
          <w:rFonts w:ascii="Arial" w:hAnsi="Arial" w:cs="Arial"/>
          <w:i/>
          <w:iCs/>
          <w:color w:val="000000"/>
          <w:sz w:val="20"/>
          <w:szCs w:val="20"/>
          <w:lang w:eastAsia="vi-VN"/>
        </w:rPr>
        <w:t xml:space="preserve"> thứ nhất khoản 2 Điều 21 như sau:</w:t>
      </w:r>
    </w:p>
    <w:p w14:paraId="156785D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“Trường hợp thời gian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có tháng lẻ thì thực hiện theo quy định tại khoản 4 Điều 19 của Thông tư này.”</w:t>
      </w:r>
    </w:p>
    <w:p w14:paraId="3F86CCBE" w14:textId="77777777" w:rsidR="00C87E13" w:rsidRPr="00093639" w:rsidRDefault="00820E97" w:rsidP="006C7B0D">
      <w:pPr>
        <w:pStyle w:val="BodyText"/>
        <w:shd w:val="clear" w:color="auto" w:fill="auto"/>
        <w:tabs>
          <w:tab w:val="left" w:pos="1205"/>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23.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cuối khoản 1 Điều 25 như sau:</w:t>
      </w:r>
    </w:p>
    <w:p w14:paraId="316978F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“Thời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xem xét </w:t>
      </w:r>
      <w:r w:rsidR="00ED3BEC" w:rsidRPr="00093639">
        <w:rPr>
          <w:rStyle w:val="BodyTextChar1"/>
          <w:rFonts w:ascii="Arial" w:hAnsi="Arial" w:cs="Arial"/>
          <w:color w:val="000000"/>
          <w:sz w:val="20"/>
          <w:szCs w:val="20"/>
          <w:lang w:eastAsia="vi-VN"/>
        </w:rPr>
        <w:t>tuổi</w:t>
      </w:r>
      <w:r w:rsidRPr="00093639">
        <w:rPr>
          <w:rStyle w:val="BodyTextChar1"/>
          <w:rFonts w:ascii="Arial" w:hAnsi="Arial" w:cs="Arial"/>
          <w:color w:val="000000"/>
          <w:sz w:val="20"/>
          <w:szCs w:val="20"/>
          <w:lang w:eastAsia="vi-VN"/>
        </w:rPr>
        <w:t xml:space="preserve"> đối với thân nhân của người lao động theo quy định tại khoản 2 Điều 67 của Luật Bảo hiểm xã hội là kết thúc ngày cuối cùng của tháng người lao động chết.</w:t>
      </w:r>
    </w:p>
    <w:p w14:paraId="3652F480"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Khi giải quyết chế độ tử tuất nếu hồ sơ của thân nhân người lao động không xác định được ngày, tháng sinh thì lấy ngày 01 tháng 01 của n</w:t>
      </w:r>
      <w:r w:rsidR="00820E97" w:rsidRPr="00093639">
        <w:rPr>
          <w:rStyle w:val="BodyTextChar1"/>
          <w:rFonts w:ascii="Arial" w:hAnsi="Arial" w:cs="Arial"/>
          <w:color w:val="000000"/>
          <w:sz w:val="20"/>
          <w:szCs w:val="20"/>
          <w:lang w:eastAsia="vi-VN"/>
        </w:rPr>
        <w:t>ăm sinh để</w:t>
      </w:r>
      <w:r w:rsidRPr="00093639">
        <w:rPr>
          <w:rStyle w:val="BodyTextChar1"/>
          <w:rFonts w:ascii="Arial" w:hAnsi="Arial" w:cs="Arial"/>
          <w:color w:val="000000"/>
          <w:sz w:val="20"/>
          <w:szCs w:val="20"/>
          <w:lang w:eastAsia="vi-VN"/>
        </w:rPr>
        <w:t xml:space="preserve"> tính </w:t>
      </w:r>
      <w:r w:rsidR="00ED3BEC" w:rsidRPr="00093639">
        <w:rPr>
          <w:rStyle w:val="BodyTextChar1"/>
          <w:rFonts w:ascii="Arial" w:hAnsi="Arial" w:cs="Arial"/>
          <w:color w:val="000000"/>
          <w:sz w:val="20"/>
          <w:szCs w:val="20"/>
          <w:lang w:eastAsia="vi-VN"/>
        </w:rPr>
        <w:t>tuổi</w:t>
      </w:r>
      <w:r w:rsidRPr="00093639">
        <w:rPr>
          <w:rStyle w:val="BodyTextChar1"/>
          <w:rFonts w:ascii="Arial" w:hAnsi="Arial" w:cs="Arial"/>
          <w:color w:val="000000"/>
          <w:sz w:val="20"/>
          <w:szCs w:val="20"/>
          <w:lang w:eastAsia="vi-VN"/>
        </w:rPr>
        <w:t xml:space="preserve"> làm cơ sở giải quyết chế độ tử tuất.</w:t>
      </w:r>
    </w:p>
    <w:p w14:paraId="277A98A2"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Việc xác định mức thu nhập</w:t>
      </w:r>
      <w:r w:rsidR="00820E97" w:rsidRPr="00093639">
        <w:rPr>
          <w:rStyle w:val="BodyTextChar1"/>
          <w:rFonts w:ascii="Arial" w:hAnsi="Arial" w:cs="Arial"/>
          <w:color w:val="000000"/>
          <w:sz w:val="20"/>
          <w:szCs w:val="20"/>
          <w:lang w:eastAsia="vi-VN"/>
        </w:rPr>
        <w:t xml:space="preserve"> của thân nhân người lao động để</w:t>
      </w:r>
      <w:r w:rsidRPr="00093639">
        <w:rPr>
          <w:rStyle w:val="BodyTextChar1"/>
          <w:rFonts w:ascii="Arial" w:hAnsi="Arial" w:cs="Arial"/>
          <w:color w:val="000000"/>
          <w:sz w:val="20"/>
          <w:szCs w:val="20"/>
          <w:lang w:eastAsia="vi-VN"/>
        </w:rPr>
        <w:t xml:space="preserve"> làm căn cứ giải quyết trợ cấp tuất hằng tháng theo quy định tại khoản 3 Điều 67 của Luật Bảo hiểm xã hội được xác định tại tháng người lao động chết. Thân nhân đã được giải quyết hưởng trợ cấp tuất hằng tháng theo đúng quy định mà sau đó có thu nhập cao hơn mức lương cơ sở thì vẫn hưởng trợ cấp tuất hằng tháng.”</w:t>
      </w:r>
    </w:p>
    <w:p w14:paraId="253E594B" w14:textId="77777777" w:rsidR="00C87E13" w:rsidRPr="00093639" w:rsidRDefault="00820E97" w:rsidP="006C7B0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24.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Điều 27a sau Điều 27 như sau:</w:t>
      </w:r>
    </w:p>
    <w:p w14:paraId="63F44EF0"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“Điều 27a. Lựa chọn hưởng trợ cấp tuất một lần</w:t>
      </w:r>
    </w:p>
    <w:p w14:paraId="2E852BF9" w14:textId="77777777" w:rsidR="00C87E13" w:rsidRPr="00093639" w:rsidRDefault="00820E97" w:rsidP="006C7B0D">
      <w:pPr>
        <w:pStyle w:val="BodyText"/>
        <w:shd w:val="clear" w:color="auto" w:fill="auto"/>
        <w:tabs>
          <w:tab w:val="left" w:pos="1040"/>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1. </w:t>
      </w:r>
      <w:r w:rsidR="00C87E13" w:rsidRPr="00093639">
        <w:rPr>
          <w:rStyle w:val="BodyTextChar1"/>
          <w:rFonts w:ascii="Arial" w:hAnsi="Arial" w:cs="Arial"/>
          <w:color w:val="000000"/>
          <w:sz w:val="20"/>
          <w:szCs w:val="20"/>
          <w:lang w:eastAsia="vi-VN"/>
        </w:rPr>
        <w:t xml:space="preserve">Khi xác định tuổi của con để làm căn cứ giải quyết chế độ tử tuất trong </w:t>
      </w:r>
      <w:r w:rsidR="00F375A3" w:rsidRPr="00093639">
        <w:rPr>
          <w:rStyle w:val="BodyTextChar1"/>
          <w:rFonts w:ascii="Arial" w:hAnsi="Arial" w:cs="Arial"/>
          <w:color w:val="000000"/>
          <w:sz w:val="20"/>
          <w:szCs w:val="20"/>
          <w:lang w:eastAsia="vi-VN"/>
        </w:rPr>
        <w:t>trường hợp</w:t>
      </w:r>
      <w:r w:rsidR="00C87E13" w:rsidRPr="00093639">
        <w:rPr>
          <w:rStyle w:val="BodyTextChar1"/>
          <w:rFonts w:ascii="Arial" w:hAnsi="Arial" w:cs="Arial"/>
          <w:color w:val="000000"/>
          <w:sz w:val="20"/>
          <w:szCs w:val="20"/>
          <w:lang w:eastAsia="vi-VN"/>
        </w:rPr>
        <w:t xml:space="preserve"> thân nhân thuộc diện hưởng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tuất hằng tháng mà có nguyện vọng hưởng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tuất một lần thì con dưới 6 </w:t>
      </w:r>
      <w:r w:rsidR="00ED3BEC" w:rsidRPr="00093639">
        <w:rPr>
          <w:rStyle w:val="BodyTextChar1"/>
          <w:rFonts w:ascii="Arial" w:hAnsi="Arial" w:cs="Arial"/>
          <w:color w:val="000000"/>
          <w:sz w:val="20"/>
          <w:szCs w:val="20"/>
          <w:lang w:eastAsia="vi-VN"/>
        </w:rPr>
        <w:t>tuổi</w:t>
      </w:r>
      <w:r w:rsidR="00C87E13" w:rsidRPr="00093639">
        <w:rPr>
          <w:rStyle w:val="BodyTextChar1"/>
          <w:rFonts w:ascii="Arial" w:hAnsi="Arial" w:cs="Arial"/>
          <w:color w:val="000000"/>
          <w:sz w:val="20"/>
          <w:szCs w:val="20"/>
          <w:lang w:eastAsia="vi-VN"/>
        </w:rPr>
        <w:t xml:space="preserve"> được tính đến hết tháng liền kề trước tháng sinh của năm đủ 6 tuổi.</w:t>
      </w:r>
    </w:p>
    <w:p w14:paraId="45F4C0AE" w14:textId="77777777" w:rsidR="00C87E13" w:rsidRPr="00093639" w:rsidRDefault="00820E97" w:rsidP="006C7B0D">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2. </w:t>
      </w:r>
      <w:r w:rsidR="00C87E13" w:rsidRPr="00093639">
        <w:rPr>
          <w:rStyle w:val="BodyTextChar1"/>
          <w:rFonts w:ascii="Arial" w:hAnsi="Arial" w:cs="Arial"/>
          <w:color w:val="000000"/>
          <w:sz w:val="20"/>
          <w:szCs w:val="20"/>
          <w:lang w:eastAsia="vi-VN"/>
        </w:rPr>
        <w:t xml:space="preserve">Các </w:t>
      </w:r>
      <w:r w:rsidR="00F375A3" w:rsidRPr="00093639">
        <w:rPr>
          <w:rStyle w:val="BodyTextChar1"/>
          <w:rFonts w:ascii="Arial" w:hAnsi="Arial" w:cs="Arial"/>
          <w:color w:val="000000"/>
          <w:sz w:val="20"/>
          <w:szCs w:val="20"/>
          <w:lang w:eastAsia="vi-VN"/>
        </w:rPr>
        <w:t>trường hợp</w:t>
      </w:r>
      <w:r w:rsidR="00C87E13" w:rsidRPr="00093639">
        <w:rPr>
          <w:rStyle w:val="BodyTextChar1"/>
          <w:rFonts w:ascii="Arial" w:hAnsi="Arial" w:cs="Arial"/>
          <w:color w:val="000000"/>
          <w:sz w:val="20"/>
          <w:szCs w:val="20"/>
          <w:lang w:eastAsia="vi-VN"/>
        </w:rPr>
        <w:t xml:space="preserve"> đã được giải quyết trợ cấp tuất một lần hoặc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tuất hằng tháng theo đúng quy định của pháp luật thì không được trả lại trợ cấp tuất một lần hoặc </w:t>
      </w:r>
      <w:r w:rsidR="00ED3BEC" w:rsidRPr="00093639">
        <w:rPr>
          <w:rStyle w:val="BodyTextChar1"/>
          <w:rFonts w:ascii="Arial" w:hAnsi="Arial" w:cs="Arial"/>
          <w:color w:val="000000"/>
          <w:sz w:val="20"/>
          <w:szCs w:val="20"/>
          <w:lang w:eastAsia="vi-VN"/>
        </w:rPr>
        <w:t>trợ cấp</w:t>
      </w:r>
      <w:r w:rsidRPr="00093639">
        <w:rPr>
          <w:rStyle w:val="BodyTextChar1"/>
          <w:rFonts w:ascii="Arial" w:hAnsi="Arial" w:cs="Arial"/>
          <w:color w:val="000000"/>
          <w:sz w:val="20"/>
          <w:szCs w:val="20"/>
          <w:lang w:eastAsia="vi-VN"/>
        </w:rPr>
        <w:t xml:space="preserve"> tuất hằng tháng đã nhận để</w:t>
      </w:r>
      <w:r w:rsidR="00C87E13" w:rsidRPr="00093639">
        <w:rPr>
          <w:rStyle w:val="BodyTextChar1"/>
          <w:rFonts w:ascii="Arial" w:hAnsi="Arial" w:cs="Arial"/>
          <w:color w:val="000000"/>
          <w:sz w:val="20"/>
          <w:szCs w:val="20"/>
          <w:lang w:eastAsia="vi-VN"/>
        </w:rPr>
        <w:t xml:space="preserve"> giải quyết hưởng lại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tuất hằng tháng hoặc trợ cấp tuất một lần.”</w:t>
      </w:r>
    </w:p>
    <w:p w14:paraId="5990A927" w14:textId="77777777" w:rsidR="00C87E13" w:rsidRPr="00093639" w:rsidRDefault="00820E97" w:rsidP="006C7B0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25.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Điều 27b sau Điều 27 như sau:</w:t>
      </w:r>
    </w:p>
    <w:p w14:paraId="1DB6241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lastRenderedPageBreak/>
        <w:t>“Điều 27b. Chế độ tử tuất đối với người đang tham gia bảo hiểm xã hội hoặc đang bảo lưu thời gian đóng bảo hiểm xã hội đồng thời là người đang hưởng trợ cấp tai nạn lao động, bệnh nghề nghiệp hằng tháng.</w:t>
      </w:r>
    </w:p>
    <w:p w14:paraId="6F9482C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Người lao động đang tham gia bảo hiểm xã hội hoặc đang bảo lưu thời gian đóng bảo hiểm xã hội đồng thời là người đang hưởng trợ cấp tai nạn lao động, bệnh nghề nghiệp hằng tháng khi chết thì thân nhân của người lao động được lựa chọn giải quyết chế độ tử tuất với mức hưởng cao </w:t>
      </w:r>
      <w:r w:rsidR="00ED3BEC" w:rsidRPr="00093639">
        <w:rPr>
          <w:rStyle w:val="BodyTextChar1"/>
          <w:rFonts w:ascii="Arial" w:hAnsi="Arial" w:cs="Arial"/>
          <w:color w:val="000000"/>
          <w:sz w:val="20"/>
          <w:szCs w:val="20"/>
          <w:lang w:eastAsia="vi-VN"/>
        </w:rPr>
        <w:t>hơn</w:t>
      </w:r>
      <w:r w:rsidRPr="00093639">
        <w:rPr>
          <w:rStyle w:val="BodyTextChar1"/>
          <w:rFonts w:ascii="Arial" w:hAnsi="Arial" w:cs="Arial"/>
          <w:color w:val="000000"/>
          <w:sz w:val="20"/>
          <w:szCs w:val="20"/>
          <w:lang w:eastAsia="vi-VN"/>
        </w:rPr>
        <w:t xml:space="preserve"> theo đối tượng đang hưởng trợ cấp tai nạn lao động, bệnh nghề nghiệp hằng tháng chết hoặc theo đối tượng người đang tham gia bảo hiểm xã hội, đang bảo lưu thời gian đóng bảo hiểm xã hội chết.”</w:t>
      </w:r>
    </w:p>
    <w:p w14:paraId="2F697A50" w14:textId="77777777" w:rsidR="00C87E13" w:rsidRPr="00093639" w:rsidRDefault="00DB4A3F" w:rsidP="006C7B0D">
      <w:pPr>
        <w:pStyle w:val="BodyText"/>
        <w:shd w:val="clear" w:color="auto" w:fill="auto"/>
        <w:tabs>
          <w:tab w:val="left" w:pos="1184"/>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26. </w:t>
      </w:r>
      <w:r w:rsidR="00C87E13" w:rsidRPr="00093639">
        <w:rPr>
          <w:rStyle w:val="BodyTextChar1"/>
          <w:rFonts w:ascii="Arial" w:hAnsi="Arial" w:cs="Arial"/>
          <w:i/>
          <w:iCs/>
          <w:color w:val="000000"/>
          <w:sz w:val="20"/>
          <w:szCs w:val="20"/>
          <w:lang w:eastAsia="vi-VN"/>
        </w:rPr>
        <w:t>Sửa đổi khoản 2 và khoản 3 Điều 30 như sau:</w:t>
      </w:r>
    </w:p>
    <w:p w14:paraId="7C86121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“2. Từ ngày 01 tháng 01 năm 2018 đến ngày 31 tháng 12 năm 2020,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tháng đóng bảo hiểm xã hội là mức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phụ cấp lương theo quy định tại khoản 1 Điều này và các khoản </w:t>
      </w:r>
      <w:r w:rsidR="00F375A3" w:rsidRPr="00093639">
        <w:rPr>
          <w:rStyle w:val="BodyTextChar1"/>
          <w:rFonts w:ascii="Arial" w:hAnsi="Arial" w:cs="Arial"/>
          <w:color w:val="000000"/>
          <w:sz w:val="20"/>
          <w:szCs w:val="20"/>
          <w:lang w:eastAsia="vi-VN"/>
        </w:rPr>
        <w:t>bổ sung</w:t>
      </w:r>
      <w:r w:rsidRPr="00093639">
        <w:rPr>
          <w:rStyle w:val="BodyTextChar1"/>
          <w:rFonts w:ascii="Arial" w:hAnsi="Arial" w:cs="Arial"/>
          <w:color w:val="000000"/>
          <w:sz w:val="20"/>
          <w:szCs w:val="20"/>
          <w:lang w:eastAsia="vi-VN"/>
        </w:rPr>
        <w:t xml:space="preserve"> khác theo quy định tại điểm a khoản 3 Điều 4 của Thông tư số 47/2015/TT-BLĐTBXH.</w:t>
      </w:r>
    </w:p>
    <w:p w14:paraId="3E721EE8"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Từ ngày 01 tháng 01 năm 2021 trở đi, tiền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tháng đóng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là mức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phụ cấp l</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và các khoản </w:t>
      </w:r>
      <w:r w:rsidR="00F375A3" w:rsidRPr="00093639">
        <w:rPr>
          <w:rStyle w:val="BodyTextChar1"/>
          <w:rFonts w:ascii="Arial" w:hAnsi="Arial" w:cs="Arial"/>
          <w:color w:val="000000"/>
          <w:sz w:val="20"/>
          <w:szCs w:val="20"/>
          <w:lang w:eastAsia="vi-VN"/>
        </w:rPr>
        <w:t>bổ sung</w:t>
      </w:r>
      <w:r w:rsidRPr="00093639">
        <w:rPr>
          <w:rStyle w:val="BodyTextChar1"/>
          <w:rFonts w:ascii="Arial" w:hAnsi="Arial" w:cs="Arial"/>
          <w:color w:val="000000"/>
          <w:sz w:val="20"/>
          <w:szCs w:val="20"/>
          <w:lang w:eastAsia="vi-VN"/>
        </w:rPr>
        <w:t xml:space="preserve"> k</w:t>
      </w:r>
      <w:r w:rsidR="00DB4A3F" w:rsidRPr="00093639">
        <w:rPr>
          <w:rStyle w:val="BodyTextChar1"/>
          <w:rFonts w:ascii="Arial" w:hAnsi="Arial" w:cs="Arial"/>
          <w:color w:val="000000"/>
          <w:sz w:val="20"/>
          <w:szCs w:val="20"/>
          <w:lang w:eastAsia="vi-VN"/>
        </w:rPr>
        <w:t>hác quy định tại điểm a, tiết b1 điểm b và tiết c1</w:t>
      </w:r>
      <w:r w:rsidRPr="00093639">
        <w:rPr>
          <w:rStyle w:val="BodyTextChar1"/>
          <w:rFonts w:ascii="Arial" w:hAnsi="Arial" w:cs="Arial"/>
          <w:color w:val="000000"/>
          <w:sz w:val="20"/>
          <w:szCs w:val="20"/>
          <w:lang w:eastAsia="vi-VN"/>
        </w:rPr>
        <w:t xml:space="preserve"> điểm c khoản 5 Điều 3 của Thông tư số 10/20</w:t>
      </w:r>
      <w:r w:rsidR="00DB4A3F" w:rsidRPr="00093639">
        <w:rPr>
          <w:rStyle w:val="BodyTextChar1"/>
          <w:rFonts w:ascii="Arial" w:hAnsi="Arial" w:cs="Arial"/>
          <w:color w:val="000000"/>
          <w:sz w:val="20"/>
          <w:szCs w:val="20"/>
          <w:lang w:eastAsia="vi-VN"/>
        </w:rPr>
        <w:t>20/TT-</w:t>
      </w:r>
      <w:r w:rsidRPr="00093639">
        <w:rPr>
          <w:rStyle w:val="BodyTextChar1"/>
          <w:rFonts w:ascii="Arial" w:hAnsi="Arial" w:cs="Arial"/>
          <w:color w:val="000000"/>
          <w:sz w:val="20"/>
          <w:szCs w:val="20"/>
          <w:lang w:eastAsia="vi-VN"/>
        </w:rPr>
        <w:t>BLĐTBXH ngày 12 tháng 11 năm 2020 của Bộ Lao động - Th</w:t>
      </w:r>
      <w:r w:rsidR="00ED3BEC" w:rsidRPr="00093639">
        <w:rPr>
          <w:rStyle w:val="BodyTextChar1"/>
          <w:rFonts w:ascii="Arial" w:hAnsi="Arial" w:cs="Arial"/>
          <w:color w:val="000000"/>
          <w:sz w:val="20"/>
          <w:szCs w:val="20"/>
          <w:lang w:eastAsia="vi-VN"/>
        </w:rPr>
        <w:t>ương</w:t>
      </w:r>
      <w:r w:rsidRPr="00093639">
        <w:rPr>
          <w:rStyle w:val="BodyTextChar1"/>
          <w:rFonts w:ascii="Arial" w:hAnsi="Arial" w:cs="Arial"/>
          <w:color w:val="000000"/>
          <w:sz w:val="20"/>
          <w:szCs w:val="20"/>
          <w:lang w:eastAsia="vi-VN"/>
        </w:rPr>
        <w:t xml:space="preserve"> binh và Xã hội quy định chi tiết và hướng dẫn thi hành một số điều của Bộ luật Lao động về nội dung của </w:t>
      </w:r>
      <w:r w:rsidR="00802B31" w:rsidRPr="00093639">
        <w:rPr>
          <w:rStyle w:val="BodyTextChar1"/>
          <w:rFonts w:ascii="Arial" w:hAnsi="Arial" w:cs="Arial"/>
          <w:color w:val="000000"/>
          <w:sz w:val="20"/>
          <w:szCs w:val="20"/>
          <w:lang w:eastAsia="vi-VN"/>
        </w:rPr>
        <w:t>hợp đồng</w:t>
      </w:r>
      <w:r w:rsidRPr="00093639">
        <w:rPr>
          <w:rStyle w:val="BodyTextChar1"/>
          <w:rFonts w:ascii="Arial" w:hAnsi="Arial" w:cs="Arial"/>
          <w:color w:val="000000"/>
          <w:sz w:val="20"/>
          <w:szCs w:val="20"/>
          <w:lang w:eastAsia="vi-VN"/>
        </w:rPr>
        <w:t xml:space="preserve"> lao độn</w:t>
      </w:r>
      <w:r w:rsidR="00DB4A3F" w:rsidRPr="00093639">
        <w:rPr>
          <w:rStyle w:val="BodyTextChar1"/>
          <w:rFonts w:ascii="Arial" w:hAnsi="Arial" w:cs="Arial"/>
          <w:color w:val="000000"/>
          <w:sz w:val="20"/>
          <w:szCs w:val="20"/>
          <w:lang w:eastAsia="vi-VN"/>
        </w:rPr>
        <w:t>g, Hội đồng thương lượng tập thể</w:t>
      </w:r>
      <w:r w:rsidRPr="00093639">
        <w:rPr>
          <w:rStyle w:val="BodyTextChar1"/>
          <w:rFonts w:ascii="Arial" w:hAnsi="Arial" w:cs="Arial"/>
          <w:color w:val="000000"/>
          <w:sz w:val="20"/>
          <w:szCs w:val="20"/>
          <w:lang w:eastAsia="vi-VN"/>
        </w:rPr>
        <w:t xml:space="preserve"> và nghề, công việc có ảnh hưởng xấu tới chức năng sinh sản, nuôi con (sau đây viết tắt là Thông tư số 10/2020/TT-BLĐTBXH).</w:t>
      </w:r>
    </w:p>
    <w:p w14:paraId="3B1876A2" w14:textId="77777777" w:rsidR="00C87E13" w:rsidRPr="00093639" w:rsidRDefault="00DB4A3F" w:rsidP="006C7B0D">
      <w:pPr>
        <w:pStyle w:val="BodyText"/>
        <w:shd w:val="clear" w:color="auto" w:fill="auto"/>
        <w:tabs>
          <w:tab w:val="left" w:pos="1051"/>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3. </w:t>
      </w:r>
      <w:r w:rsidR="00C87E13" w:rsidRPr="00093639">
        <w:rPr>
          <w:rStyle w:val="BodyTextChar1"/>
          <w:rFonts w:ascii="Arial" w:hAnsi="Arial" w:cs="Arial"/>
          <w:color w:val="000000"/>
          <w:sz w:val="20"/>
          <w:szCs w:val="20"/>
          <w:lang w:eastAsia="vi-VN"/>
        </w:rPr>
        <w:t xml:space="preserve">Tiền lương tháng đóng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bắt buộc không bao gồm các chế độ và phúc lợi khác như thưởng theo quy định tại Điều 104 của Bộ luật Lao động, tiền thưởng sáng kiến; tiền ăn giữa ca; các khoản hỗ trợ xăng xe, điện thoại, đi lại, tiền nhà ở, ti</w:t>
      </w:r>
      <w:r w:rsidR="006C7B0D" w:rsidRPr="00093639">
        <w:rPr>
          <w:rStyle w:val="BodyTextChar1"/>
          <w:rFonts w:ascii="Arial" w:hAnsi="Arial" w:cs="Arial"/>
          <w:color w:val="000000"/>
          <w:sz w:val="20"/>
          <w:szCs w:val="20"/>
          <w:lang w:eastAsia="vi-VN"/>
        </w:rPr>
        <w:t>ền giữ trẻ, nuôi con nhỏ; hỗ trợ</w:t>
      </w:r>
      <w:r w:rsidR="00C87E13" w:rsidRPr="00093639">
        <w:rPr>
          <w:rStyle w:val="BodyTextChar1"/>
          <w:rFonts w:ascii="Arial" w:hAnsi="Arial" w:cs="Arial"/>
          <w:color w:val="000000"/>
          <w:sz w:val="20"/>
          <w:szCs w:val="20"/>
          <w:lang w:eastAsia="vi-VN"/>
        </w:rPr>
        <w:t xml:space="preserve"> khi người lao động có thân nhân bị chết, người lao động có người thân kết hôn, sinh nhật của người lao động,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cho người lao động gặp hoàn cảnh khó khăn khi bị tai nạn lao động, bệnh nghề nghiệp và các khoản </w:t>
      </w:r>
      <w:r w:rsidR="006C7B0D" w:rsidRPr="00093639">
        <w:rPr>
          <w:rStyle w:val="BodyTextChar1"/>
          <w:rFonts w:ascii="Arial" w:hAnsi="Arial" w:cs="Arial"/>
          <w:color w:val="000000"/>
          <w:sz w:val="20"/>
          <w:szCs w:val="20"/>
          <w:lang w:eastAsia="vi-VN"/>
        </w:rPr>
        <w:t>hỗ trợ</w:t>
      </w:r>
      <w:r w:rsidR="00C87E13" w:rsidRPr="00093639">
        <w:rPr>
          <w:rStyle w:val="BodyTextChar1"/>
          <w:rFonts w:ascii="Arial" w:hAnsi="Arial" w:cs="Arial"/>
          <w:color w:val="000000"/>
          <w:sz w:val="20"/>
          <w:szCs w:val="20"/>
          <w:lang w:eastAsia="vi-VN"/>
        </w:rPr>
        <w:t xml:space="preserve">, </w:t>
      </w:r>
      <w:r w:rsidR="00ED3BEC" w:rsidRPr="00093639">
        <w:rPr>
          <w:rStyle w:val="BodyTextChar1"/>
          <w:rFonts w:ascii="Arial" w:hAnsi="Arial" w:cs="Arial"/>
          <w:color w:val="000000"/>
          <w:sz w:val="20"/>
          <w:szCs w:val="20"/>
          <w:lang w:eastAsia="vi-VN"/>
        </w:rPr>
        <w:t>trợ cấp</w:t>
      </w:r>
      <w:r w:rsidR="00C87E13" w:rsidRPr="00093639">
        <w:rPr>
          <w:rStyle w:val="BodyTextChar1"/>
          <w:rFonts w:ascii="Arial" w:hAnsi="Arial" w:cs="Arial"/>
          <w:color w:val="000000"/>
          <w:sz w:val="20"/>
          <w:szCs w:val="20"/>
          <w:lang w:eastAsia="vi-VN"/>
        </w:rPr>
        <w:t xml:space="preserve"> khác ghi thành mục riêng trong hợp đồng lao động quy định tại tiết c2 </w:t>
      </w:r>
      <w:r w:rsidR="00F375A3" w:rsidRPr="00093639">
        <w:rPr>
          <w:rStyle w:val="BodyTextChar1"/>
          <w:rFonts w:ascii="Arial" w:hAnsi="Arial" w:cs="Arial"/>
          <w:color w:val="000000"/>
          <w:sz w:val="20"/>
          <w:szCs w:val="20"/>
          <w:lang w:eastAsia="vi-VN"/>
        </w:rPr>
        <w:t>điểm</w:t>
      </w:r>
      <w:r w:rsidR="00C87E13" w:rsidRPr="00093639">
        <w:rPr>
          <w:rStyle w:val="BodyTextChar1"/>
          <w:rFonts w:ascii="Arial" w:hAnsi="Arial" w:cs="Arial"/>
          <w:color w:val="000000"/>
          <w:sz w:val="20"/>
          <w:szCs w:val="20"/>
          <w:lang w:eastAsia="vi-VN"/>
        </w:rPr>
        <w:t xml:space="preserve"> c khoản 5 Điều 3 của Thông tư </w:t>
      </w:r>
      <w:r w:rsidR="006C7B0D" w:rsidRPr="00093639">
        <w:rPr>
          <w:rStyle w:val="BodyTextChar1"/>
          <w:rFonts w:ascii="Arial" w:hAnsi="Arial" w:cs="Arial"/>
          <w:color w:val="000000"/>
          <w:sz w:val="20"/>
          <w:szCs w:val="20"/>
          <w:lang w:val="en-US"/>
        </w:rPr>
        <w:t>số 10</w:t>
      </w:r>
      <w:r w:rsidR="00C87E13" w:rsidRPr="00093639">
        <w:rPr>
          <w:rStyle w:val="BodyTextChar1"/>
          <w:rFonts w:ascii="Arial" w:hAnsi="Arial" w:cs="Arial"/>
          <w:color w:val="000000"/>
          <w:sz w:val="20"/>
          <w:szCs w:val="20"/>
          <w:lang w:eastAsia="vi-VN"/>
        </w:rPr>
        <w:t>/2020/TT-BLĐTBXH.”.</w:t>
      </w:r>
    </w:p>
    <w:p w14:paraId="348C0237" w14:textId="77777777" w:rsidR="00C87E13" w:rsidRPr="00093639" w:rsidRDefault="006C7B0D" w:rsidP="006C7B0D">
      <w:pPr>
        <w:pStyle w:val="BodyText"/>
        <w:shd w:val="clear" w:color="auto" w:fill="auto"/>
        <w:tabs>
          <w:tab w:val="left" w:pos="1197"/>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27.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vào </w:t>
      </w:r>
      <w:r w:rsidR="00F375A3"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a khoản 2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31 như sau:</w:t>
      </w:r>
    </w:p>
    <w:p w14:paraId="7A3DB7E4"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“Đối với người lao động có thời gian công tác tại chiến trường B đồng thời địa danh đó cũng được quy định phụ cấp khu v</w:t>
      </w:r>
      <w:r w:rsidR="006C7B0D" w:rsidRPr="00093639">
        <w:rPr>
          <w:rStyle w:val="BodyTextChar1"/>
          <w:rFonts w:ascii="Arial" w:hAnsi="Arial" w:cs="Arial"/>
          <w:color w:val="000000"/>
          <w:sz w:val="20"/>
          <w:szCs w:val="20"/>
          <w:lang w:eastAsia="vi-VN"/>
        </w:rPr>
        <w:t>ực tại Thông tư liên tịch số 11</w:t>
      </w:r>
      <w:r w:rsidRPr="00093639">
        <w:rPr>
          <w:rStyle w:val="BodyTextChar1"/>
          <w:rFonts w:ascii="Arial" w:hAnsi="Arial" w:cs="Arial"/>
          <w:color w:val="000000"/>
          <w:sz w:val="20"/>
          <w:szCs w:val="20"/>
          <w:lang w:eastAsia="vi-VN"/>
        </w:rPr>
        <w:t>/2005/TTLT-BNV-BLĐTBXH-BTC-</w:t>
      </w:r>
      <w:r w:rsidR="00802B31" w:rsidRPr="00093639">
        <w:rPr>
          <w:rStyle w:val="BodyTextChar1"/>
          <w:rFonts w:ascii="Arial" w:hAnsi="Arial" w:cs="Arial"/>
          <w:color w:val="000000"/>
          <w:sz w:val="20"/>
          <w:szCs w:val="20"/>
          <w:lang w:eastAsia="vi-VN"/>
        </w:rPr>
        <w:t>UBDT</w:t>
      </w:r>
      <w:r w:rsidRPr="00093639">
        <w:rPr>
          <w:rStyle w:val="BodyTextChar1"/>
          <w:rFonts w:ascii="Arial" w:hAnsi="Arial" w:cs="Arial"/>
          <w:color w:val="000000"/>
          <w:sz w:val="20"/>
          <w:szCs w:val="20"/>
          <w:lang w:eastAsia="vi-VN"/>
        </w:rPr>
        <w:t xml:space="preserve"> thì được tính hương phụ cấp khu vực theo mức cao hơn.”</w:t>
      </w:r>
    </w:p>
    <w:p w14:paraId="2CC4A3B6" w14:textId="77777777" w:rsidR="00C87E13" w:rsidRPr="00093639" w:rsidRDefault="006C7B0D" w:rsidP="006C7B0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28. </w:t>
      </w:r>
      <w:r w:rsidR="00F375A3" w:rsidRPr="00093639">
        <w:rPr>
          <w:rStyle w:val="BodyTextChar1"/>
          <w:rFonts w:ascii="Arial" w:hAnsi="Arial" w:cs="Arial"/>
          <w:i/>
          <w:iCs/>
          <w:color w:val="000000"/>
          <w:sz w:val="20"/>
          <w:szCs w:val="20"/>
          <w:lang w:eastAsia="vi-VN"/>
        </w:rPr>
        <w:t>Bổ</w:t>
      </w:r>
      <w:r w:rsidR="00C87E13" w:rsidRPr="00093639">
        <w:rPr>
          <w:rStyle w:val="BodyTextChar1"/>
          <w:rFonts w:ascii="Arial" w:hAnsi="Arial" w:cs="Arial"/>
          <w:i/>
          <w:iCs/>
          <w:color w:val="000000"/>
          <w:sz w:val="20"/>
          <w:szCs w:val="20"/>
          <w:lang w:eastAsia="vi-VN"/>
        </w:rPr>
        <w:t xml:space="preserve"> sung </w:t>
      </w:r>
      <w:r w:rsidR="00F375A3" w:rsidRPr="00093639">
        <w:rPr>
          <w:rStyle w:val="BodyTextChar1"/>
          <w:rFonts w:ascii="Arial" w:hAnsi="Arial" w:cs="Arial"/>
          <w:i/>
          <w:iCs/>
          <w:color w:val="000000"/>
          <w:sz w:val="20"/>
          <w:szCs w:val="20"/>
          <w:lang w:eastAsia="vi-VN"/>
        </w:rPr>
        <w:t>điểm</w:t>
      </w:r>
      <w:r w:rsidR="00C87E13" w:rsidRPr="00093639">
        <w:rPr>
          <w:rStyle w:val="BodyTextChar1"/>
          <w:rFonts w:ascii="Arial" w:hAnsi="Arial" w:cs="Arial"/>
          <w:i/>
          <w:iCs/>
          <w:color w:val="000000"/>
          <w:sz w:val="20"/>
          <w:szCs w:val="20"/>
          <w:lang w:eastAsia="vi-VN"/>
        </w:rPr>
        <w:t xml:space="preserve"> c vào khoản 2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35 như sau:</w:t>
      </w:r>
    </w:p>
    <w:p w14:paraId="0EC93697"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“c) Đối với người lao động trước khi đi </w:t>
      </w:r>
      <w:r w:rsidR="006C7B0D" w:rsidRPr="00093639">
        <w:rPr>
          <w:rStyle w:val="BodyTextChar1"/>
          <w:rFonts w:ascii="Arial" w:hAnsi="Arial" w:cs="Arial"/>
          <w:color w:val="000000"/>
          <w:sz w:val="20"/>
          <w:szCs w:val="20"/>
          <w:lang w:eastAsia="vi-VN"/>
        </w:rPr>
        <w:t>hợp tác</w:t>
      </w:r>
      <w:r w:rsidRPr="00093639">
        <w:rPr>
          <w:rStyle w:val="BodyTextChar1"/>
          <w:rFonts w:ascii="Arial" w:hAnsi="Arial" w:cs="Arial"/>
          <w:color w:val="000000"/>
          <w:sz w:val="20"/>
          <w:szCs w:val="20"/>
          <w:lang w:eastAsia="vi-VN"/>
        </w:rPr>
        <w:t xml:space="preserve"> lao động đang hưởng tiền lương do Nhà nư</w:t>
      </w:r>
      <w:r w:rsidR="006C7B0D" w:rsidRPr="00093639">
        <w:rPr>
          <w:rStyle w:val="BodyTextChar1"/>
          <w:rFonts w:ascii="Arial" w:hAnsi="Arial" w:cs="Arial"/>
          <w:color w:val="000000"/>
          <w:sz w:val="20"/>
          <w:szCs w:val="20"/>
          <w:lang w:eastAsia="vi-VN"/>
        </w:rPr>
        <w:t>ớc quy định mà có số năm cuối để</w:t>
      </w:r>
      <w:r w:rsidRPr="00093639">
        <w:rPr>
          <w:rStyle w:val="BodyTextChar1"/>
          <w:rFonts w:ascii="Arial" w:hAnsi="Arial" w:cs="Arial"/>
          <w:color w:val="000000"/>
          <w:sz w:val="20"/>
          <w:szCs w:val="20"/>
          <w:lang w:eastAsia="vi-VN"/>
        </w:rPr>
        <w:t xml:space="preserve"> tính mức bình quân tiền lương tháng đóng bảo hiểm xã hội bao gồm cả thời gian đi làm việc ở nước ngoài thì tiền lương tháng đóng bảo hiểm xã hội của thời gian đi làm việc ở nước ngoài được lấy theo tiền lương tại thời điểm trước khi đi nước ngoài để làm cơ sở tính lương hưu, trợ cấp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w:t>
      </w:r>
    </w:p>
    <w:p w14:paraId="583FFE8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Đối với </w:t>
      </w:r>
      <w:r w:rsidR="00F375A3" w:rsidRPr="00093639">
        <w:rPr>
          <w:rStyle w:val="BodyTextChar1"/>
          <w:rFonts w:ascii="Arial" w:hAnsi="Arial" w:cs="Arial"/>
          <w:color w:val="000000"/>
          <w:sz w:val="20"/>
          <w:szCs w:val="20"/>
          <w:lang w:eastAsia="vi-VN"/>
        </w:rPr>
        <w:t>những</w:t>
      </w:r>
      <w:r w:rsidRPr="00093639">
        <w:rPr>
          <w:rStyle w:val="BodyTextChar1"/>
          <w:rFonts w:ascii="Arial" w:hAnsi="Arial" w:cs="Arial"/>
          <w:color w:val="000000"/>
          <w:sz w:val="20"/>
          <w:szCs w:val="20"/>
          <w:lang w:eastAsia="vi-VN"/>
        </w:rPr>
        <w:t xml:space="preserve"> người là lao động xã hội được tính thời gian đi </w:t>
      </w:r>
      <w:r w:rsidR="006C7B0D" w:rsidRPr="00093639">
        <w:rPr>
          <w:rStyle w:val="BodyTextChar1"/>
          <w:rFonts w:ascii="Arial" w:hAnsi="Arial" w:cs="Arial"/>
          <w:color w:val="000000"/>
          <w:sz w:val="20"/>
          <w:szCs w:val="20"/>
          <w:lang w:eastAsia="vi-VN"/>
        </w:rPr>
        <w:t>hợp tác</w:t>
      </w:r>
      <w:r w:rsidRPr="00093639">
        <w:rPr>
          <w:rStyle w:val="BodyTextChar1"/>
          <w:rFonts w:ascii="Arial" w:hAnsi="Arial" w:cs="Arial"/>
          <w:color w:val="000000"/>
          <w:sz w:val="20"/>
          <w:szCs w:val="20"/>
          <w:lang w:eastAsia="vi-VN"/>
        </w:rPr>
        <w:t xml:space="preserve"> lao động để tính hưởng chế độ hưu trí, tử tuất quy định tại khoản 5 Điều 23 của Nghị định số 115/2015/NĐ-CP thì tiền lương tháng đóng bảo hiểm xã hội của thời gian đi </w:t>
      </w:r>
      <w:r w:rsidR="006C7B0D" w:rsidRPr="00093639">
        <w:rPr>
          <w:rStyle w:val="BodyTextChar1"/>
          <w:rFonts w:ascii="Arial" w:hAnsi="Arial" w:cs="Arial"/>
          <w:color w:val="000000"/>
          <w:sz w:val="20"/>
          <w:szCs w:val="20"/>
          <w:lang w:eastAsia="vi-VN"/>
        </w:rPr>
        <w:t>hợp tác</w:t>
      </w:r>
      <w:r w:rsidRPr="00093639">
        <w:rPr>
          <w:rStyle w:val="BodyTextChar1"/>
          <w:rFonts w:ascii="Arial" w:hAnsi="Arial" w:cs="Arial"/>
          <w:color w:val="000000"/>
          <w:sz w:val="20"/>
          <w:szCs w:val="20"/>
          <w:lang w:eastAsia="vi-VN"/>
        </w:rPr>
        <w:t xml:space="preserve"> lao động làm căn cứ tính mức bình quân tiền lương tháng đóng bảo hiểm xã hội được tính bằng hai lần mức lương cơ sở tại thời điểm hưởng bảo hiểm xã hội.”</w:t>
      </w:r>
    </w:p>
    <w:p w14:paraId="2A150379" w14:textId="77777777" w:rsidR="00C87E13" w:rsidRPr="00093639" w:rsidRDefault="006C7B0D" w:rsidP="006C7B0D">
      <w:pPr>
        <w:pStyle w:val="BodyText"/>
        <w:shd w:val="clear" w:color="auto" w:fill="auto"/>
        <w:tabs>
          <w:tab w:val="left" w:pos="1117"/>
        </w:tabs>
        <w:spacing w:after="120" w:line="240" w:lineRule="auto"/>
        <w:ind w:firstLine="720"/>
        <w:jc w:val="both"/>
        <w:rPr>
          <w:rFonts w:ascii="Arial" w:hAnsi="Arial" w:cs="Arial"/>
          <w:color w:val="000000"/>
          <w:sz w:val="20"/>
          <w:szCs w:val="20"/>
        </w:rPr>
      </w:pPr>
      <w:r w:rsidRPr="00093639">
        <w:rPr>
          <w:rStyle w:val="BodyTextChar1"/>
          <w:rFonts w:ascii="Arial" w:hAnsi="Arial" w:cs="Arial"/>
          <w:i/>
          <w:iCs/>
          <w:color w:val="000000"/>
          <w:sz w:val="20"/>
          <w:szCs w:val="20"/>
          <w:lang w:val="en-US" w:eastAsia="vi-VN"/>
        </w:rPr>
        <w:t xml:space="preserve">29. </w:t>
      </w:r>
      <w:r w:rsidR="00F375A3" w:rsidRPr="00093639">
        <w:rPr>
          <w:rStyle w:val="BodyTextChar1"/>
          <w:rFonts w:ascii="Arial" w:hAnsi="Arial" w:cs="Arial"/>
          <w:i/>
          <w:iCs/>
          <w:color w:val="000000"/>
          <w:sz w:val="20"/>
          <w:szCs w:val="20"/>
          <w:lang w:eastAsia="vi-VN"/>
        </w:rPr>
        <w:t>Bổ sung</w:t>
      </w:r>
      <w:r w:rsidR="00C87E13" w:rsidRPr="00093639">
        <w:rPr>
          <w:rStyle w:val="BodyTextChar1"/>
          <w:rFonts w:ascii="Arial" w:hAnsi="Arial" w:cs="Arial"/>
          <w:i/>
          <w:iCs/>
          <w:color w:val="000000"/>
          <w:sz w:val="20"/>
          <w:szCs w:val="20"/>
          <w:lang w:eastAsia="vi-VN"/>
        </w:rPr>
        <w:t xml:space="preserve"> khoản 3 vào </w:t>
      </w:r>
      <w:r w:rsidR="00F375A3" w:rsidRPr="00093639">
        <w:rPr>
          <w:rStyle w:val="BodyTextChar1"/>
          <w:rFonts w:ascii="Arial" w:hAnsi="Arial" w:cs="Arial"/>
          <w:i/>
          <w:iCs/>
          <w:color w:val="000000"/>
          <w:sz w:val="20"/>
          <w:szCs w:val="20"/>
          <w:lang w:eastAsia="vi-VN"/>
        </w:rPr>
        <w:t>Điều</w:t>
      </w:r>
      <w:r w:rsidR="00C87E13" w:rsidRPr="00093639">
        <w:rPr>
          <w:rStyle w:val="BodyTextChar1"/>
          <w:rFonts w:ascii="Arial" w:hAnsi="Arial" w:cs="Arial"/>
          <w:i/>
          <w:iCs/>
          <w:color w:val="000000"/>
          <w:sz w:val="20"/>
          <w:szCs w:val="20"/>
          <w:lang w:eastAsia="vi-VN"/>
        </w:rPr>
        <w:t xml:space="preserve"> 38 như sau:</w:t>
      </w:r>
    </w:p>
    <w:p w14:paraId="0332FECB"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eastAsia="vi-VN"/>
        </w:rPr>
        <w:t xml:space="preserve">“3. Đối với người lao động đã có quyết định nghỉ việc chờ giải quyết chế độ </w:t>
      </w:r>
      <w:r w:rsidR="00ED3BEC" w:rsidRPr="00093639">
        <w:rPr>
          <w:rStyle w:val="BodyTextChar1"/>
          <w:rFonts w:ascii="Arial" w:hAnsi="Arial" w:cs="Arial"/>
          <w:color w:val="000000"/>
          <w:sz w:val="20"/>
          <w:szCs w:val="20"/>
          <w:lang w:eastAsia="vi-VN"/>
        </w:rPr>
        <w:t>hưu</w:t>
      </w:r>
      <w:r w:rsidRPr="00093639">
        <w:rPr>
          <w:rStyle w:val="BodyTextChar1"/>
          <w:rFonts w:ascii="Arial" w:hAnsi="Arial" w:cs="Arial"/>
          <w:color w:val="000000"/>
          <w:sz w:val="20"/>
          <w:szCs w:val="20"/>
          <w:lang w:eastAsia="vi-VN"/>
        </w:rPr>
        <w:t xml:space="preserve"> trí, trợ cấp hằng tháng mà được tính cộng nối thời gian công tác trước ngày 01 tháng 01 năm 1995 đối với người chờ hưởng lương hưu và trước ngày 01 tháng 01 năm 1998 đối với người</w:t>
      </w:r>
      <w:r w:rsidR="006C7B0D" w:rsidRPr="00093639">
        <w:rPr>
          <w:rStyle w:val="BodyTextChar1"/>
          <w:rFonts w:ascii="Arial" w:hAnsi="Arial" w:cs="Arial"/>
          <w:color w:val="000000"/>
          <w:sz w:val="20"/>
          <w:szCs w:val="20"/>
          <w:lang w:eastAsia="vi-VN"/>
        </w:rPr>
        <w:t xml:space="preserve"> chờ hưởng trợ cấp hằng tháng để</w:t>
      </w:r>
      <w:r w:rsidRPr="00093639">
        <w:rPr>
          <w:rStyle w:val="BodyTextChar1"/>
          <w:rFonts w:ascii="Arial" w:hAnsi="Arial" w:cs="Arial"/>
          <w:color w:val="000000"/>
          <w:sz w:val="20"/>
          <w:szCs w:val="20"/>
          <w:lang w:eastAsia="vi-VN"/>
        </w:rPr>
        <w:t xml:space="preserve"> tính hưởng </w:t>
      </w:r>
      <w:r w:rsidR="00F375A3" w:rsidRPr="00093639">
        <w:rPr>
          <w:rStyle w:val="BodyTextChar1"/>
          <w:rFonts w:ascii="Arial" w:hAnsi="Arial" w:cs="Arial"/>
          <w:color w:val="000000"/>
          <w:sz w:val="20"/>
          <w:szCs w:val="20"/>
          <w:lang w:eastAsia="vi-VN"/>
        </w:rPr>
        <w:t>bảo hiểm</w:t>
      </w:r>
      <w:r w:rsidRPr="00093639">
        <w:rPr>
          <w:rStyle w:val="BodyTextChar1"/>
          <w:rFonts w:ascii="Arial" w:hAnsi="Arial" w:cs="Arial"/>
          <w:color w:val="000000"/>
          <w:sz w:val="20"/>
          <w:szCs w:val="20"/>
          <w:lang w:eastAsia="vi-VN"/>
        </w:rPr>
        <w:t xml:space="preserve"> xã hội thì tỷ lệ hưởng lương </w:t>
      </w:r>
      <w:r w:rsidR="00ED3BEC" w:rsidRPr="00093639">
        <w:rPr>
          <w:rStyle w:val="BodyTextChar1"/>
          <w:rFonts w:ascii="Arial" w:hAnsi="Arial" w:cs="Arial"/>
          <w:color w:val="000000"/>
          <w:sz w:val="20"/>
          <w:szCs w:val="20"/>
          <w:lang w:eastAsia="vi-VN"/>
        </w:rPr>
        <w:t>hưu</w:t>
      </w:r>
      <w:r w:rsidRPr="00093639">
        <w:rPr>
          <w:rStyle w:val="BodyTextChar1"/>
          <w:rFonts w:ascii="Arial" w:hAnsi="Arial" w:cs="Arial"/>
          <w:color w:val="000000"/>
          <w:sz w:val="20"/>
          <w:szCs w:val="20"/>
          <w:lang w:eastAsia="vi-VN"/>
        </w:rPr>
        <w:t xml:space="preserve"> hoặc tỷ lệ hưởng trợ cấp hằng tháng vẫn được tính theo chính sách tại thời </w:t>
      </w:r>
      <w:r w:rsidR="00F375A3" w:rsidRPr="00093639">
        <w:rPr>
          <w:rStyle w:val="BodyTextChar1"/>
          <w:rFonts w:ascii="Arial" w:hAnsi="Arial" w:cs="Arial"/>
          <w:color w:val="000000"/>
          <w:sz w:val="20"/>
          <w:szCs w:val="20"/>
          <w:lang w:eastAsia="vi-VN"/>
        </w:rPr>
        <w:t>điểm</w:t>
      </w:r>
      <w:r w:rsidRPr="00093639">
        <w:rPr>
          <w:rStyle w:val="BodyTextChar1"/>
          <w:rFonts w:ascii="Arial" w:hAnsi="Arial" w:cs="Arial"/>
          <w:color w:val="000000"/>
          <w:sz w:val="20"/>
          <w:szCs w:val="20"/>
          <w:lang w:eastAsia="vi-VN"/>
        </w:rPr>
        <w:t xml:space="preserve"> người lao động nghỉ chờ.”</w:t>
      </w:r>
    </w:p>
    <w:p w14:paraId="5665704F" w14:textId="77777777" w:rsidR="00C87E13" w:rsidRPr="00093639" w:rsidRDefault="00C87E13" w:rsidP="006C7B0D">
      <w:pPr>
        <w:pStyle w:val="BodyText"/>
        <w:shd w:val="clear" w:color="auto" w:fill="auto"/>
        <w:spacing w:after="120" w:line="240" w:lineRule="auto"/>
        <w:ind w:firstLine="720"/>
        <w:jc w:val="both"/>
        <w:rPr>
          <w:rFonts w:ascii="Arial" w:hAnsi="Arial" w:cs="Arial"/>
          <w:color w:val="000000"/>
          <w:sz w:val="20"/>
          <w:szCs w:val="20"/>
        </w:rPr>
      </w:pPr>
      <w:r w:rsidRPr="00093639">
        <w:rPr>
          <w:rStyle w:val="BodyTextChar1"/>
          <w:rFonts w:ascii="Arial" w:hAnsi="Arial" w:cs="Arial"/>
          <w:b/>
          <w:bCs/>
          <w:color w:val="000000"/>
          <w:sz w:val="20"/>
          <w:szCs w:val="20"/>
          <w:lang w:eastAsia="vi-VN"/>
        </w:rPr>
        <w:t>Điều 2. Hiệu lực thi hành</w:t>
      </w:r>
    </w:p>
    <w:p w14:paraId="0C927A3F" w14:textId="77777777" w:rsidR="00C87E13" w:rsidRPr="00093639" w:rsidRDefault="006C7B0D" w:rsidP="006C7B0D">
      <w:pPr>
        <w:pStyle w:val="BodyText"/>
        <w:shd w:val="clear" w:color="auto" w:fill="auto"/>
        <w:tabs>
          <w:tab w:val="left" w:pos="966"/>
        </w:tabs>
        <w:spacing w:after="120" w:line="240" w:lineRule="auto"/>
        <w:ind w:firstLine="720"/>
        <w:jc w:val="both"/>
        <w:rPr>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1. </w:t>
      </w:r>
      <w:r w:rsidR="00C87E13" w:rsidRPr="00093639">
        <w:rPr>
          <w:rStyle w:val="BodyTextChar1"/>
          <w:rFonts w:ascii="Arial" w:hAnsi="Arial" w:cs="Arial"/>
          <w:color w:val="000000"/>
          <w:sz w:val="20"/>
          <w:szCs w:val="20"/>
          <w:lang w:eastAsia="vi-VN"/>
        </w:rPr>
        <w:t>Thông tư này có hiệu lực thi hành từ ngày 01 tháng 9 năm 2021</w:t>
      </w:r>
    </w:p>
    <w:p w14:paraId="6A686A72" w14:textId="77777777" w:rsidR="00A614BC" w:rsidRPr="00093639" w:rsidRDefault="006C7B0D" w:rsidP="006C7B0D">
      <w:pPr>
        <w:pStyle w:val="BodyText"/>
        <w:shd w:val="clear" w:color="auto" w:fill="auto"/>
        <w:tabs>
          <w:tab w:val="left" w:pos="1092"/>
        </w:tabs>
        <w:spacing w:after="120" w:line="240" w:lineRule="auto"/>
        <w:ind w:firstLine="720"/>
        <w:jc w:val="both"/>
        <w:rPr>
          <w:rStyle w:val="BodyTextChar1"/>
          <w:rFonts w:ascii="Arial" w:hAnsi="Arial" w:cs="Arial"/>
          <w:color w:val="000000"/>
          <w:sz w:val="20"/>
          <w:szCs w:val="20"/>
        </w:rPr>
      </w:pPr>
      <w:r w:rsidRPr="00093639">
        <w:rPr>
          <w:rStyle w:val="BodyTextChar1"/>
          <w:rFonts w:ascii="Arial" w:hAnsi="Arial" w:cs="Arial"/>
          <w:color w:val="000000"/>
          <w:sz w:val="20"/>
          <w:szCs w:val="20"/>
          <w:lang w:val="en-US" w:eastAsia="vi-VN"/>
        </w:rPr>
        <w:t xml:space="preserve">2. </w:t>
      </w:r>
      <w:r w:rsidR="00C87E13" w:rsidRPr="00093639">
        <w:rPr>
          <w:rStyle w:val="BodyTextChar1"/>
          <w:rFonts w:ascii="Arial" w:hAnsi="Arial" w:cs="Arial"/>
          <w:color w:val="000000"/>
          <w:sz w:val="20"/>
          <w:szCs w:val="20"/>
          <w:lang w:eastAsia="vi-VN"/>
        </w:rPr>
        <w:t xml:space="preserve">Bãi </w:t>
      </w:r>
      <w:r w:rsidRPr="00093639">
        <w:rPr>
          <w:rStyle w:val="BodyTextChar1"/>
          <w:rFonts w:ascii="Arial" w:hAnsi="Arial" w:cs="Arial"/>
          <w:color w:val="000000"/>
          <w:sz w:val="20"/>
          <w:szCs w:val="20"/>
          <w:lang w:eastAsia="vi-VN"/>
        </w:rPr>
        <w:t>bỏ</w:t>
      </w:r>
      <w:r w:rsidR="00C87E13" w:rsidRPr="00093639">
        <w:rPr>
          <w:rStyle w:val="BodyTextChar1"/>
          <w:rFonts w:ascii="Arial" w:hAnsi="Arial" w:cs="Arial"/>
          <w:color w:val="000000"/>
          <w:sz w:val="20"/>
          <w:szCs w:val="20"/>
          <w:lang w:eastAsia="vi-VN"/>
        </w:rPr>
        <w:t xml:space="preserve"> khoản 1 Điều 15; các khoản 1, 2 Điều 18 của Thông tư số 59/2015/TT-BLĐTBXH ngày 29 tháng 12 năm 2015 của Bộ trưởng Bộ Lao động - Thương binh và Xã hội quy định chi tiết và hướng dẫn thi hành một số điều của Luật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về </w:t>
      </w:r>
      <w:r w:rsidR="00F375A3" w:rsidRPr="00093639">
        <w:rPr>
          <w:rStyle w:val="BodyTextChar1"/>
          <w:rFonts w:ascii="Arial" w:hAnsi="Arial" w:cs="Arial"/>
          <w:color w:val="000000"/>
          <w:sz w:val="20"/>
          <w:szCs w:val="20"/>
          <w:lang w:eastAsia="vi-VN"/>
        </w:rPr>
        <w:t>bảo hiểm</w:t>
      </w:r>
      <w:r w:rsidR="00C87E13" w:rsidRPr="00093639">
        <w:rPr>
          <w:rStyle w:val="BodyTextChar1"/>
          <w:rFonts w:ascii="Arial" w:hAnsi="Arial" w:cs="Arial"/>
          <w:color w:val="000000"/>
          <w:sz w:val="20"/>
          <w:szCs w:val="20"/>
          <w:lang w:eastAsia="vi-VN"/>
        </w:rPr>
        <w:t xml:space="preserve"> xã hội bắt buộc.</w:t>
      </w:r>
    </w:p>
    <w:p w14:paraId="42C89405" w14:textId="77777777" w:rsidR="00C87E13" w:rsidRPr="00093639" w:rsidRDefault="006C7B0D" w:rsidP="001A5351">
      <w:pPr>
        <w:pStyle w:val="BodyText"/>
        <w:shd w:val="clear" w:color="auto" w:fill="auto"/>
        <w:tabs>
          <w:tab w:val="left" w:pos="1093"/>
        </w:tabs>
        <w:spacing w:after="0" w:line="240" w:lineRule="auto"/>
        <w:ind w:firstLine="720"/>
        <w:jc w:val="both"/>
        <w:rPr>
          <w:rStyle w:val="BodyTextChar1"/>
          <w:rFonts w:ascii="Arial" w:hAnsi="Arial" w:cs="Arial"/>
          <w:color w:val="000000"/>
          <w:sz w:val="20"/>
          <w:szCs w:val="20"/>
        </w:rPr>
      </w:pPr>
      <w:r w:rsidRPr="00093639">
        <w:rPr>
          <w:rStyle w:val="BodyTextChar1"/>
          <w:rFonts w:ascii="Arial" w:hAnsi="Arial" w:cs="Arial"/>
          <w:color w:val="000000"/>
          <w:sz w:val="20"/>
          <w:szCs w:val="20"/>
          <w:lang w:val="en-US" w:eastAsia="vi-VN"/>
        </w:rPr>
        <w:lastRenderedPageBreak/>
        <w:t xml:space="preserve">3. </w:t>
      </w:r>
      <w:r w:rsidR="00C87E13" w:rsidRPr="00093639">
        <w:rPr>
          <w:rStyle w:val="BodyTextChar1"/>
          <w:rFonts w:ascii="Arial" w:hAnsi="Arial" w:cs="Arial"/>
          <w:color w:val="000000"/>
          <w:sz w:val="20"/>
          <w:szCs w:val="20"/>
          <w:lang w:eastAsia="vi-VN"/>
        </w:rPr>
        <w:t xml:space="preserve">Trong quá trình thực hiện nếu có </w:t>
      </w:r>
      <w:r w:rsidRPr="00093639">
        <w:rPr>
          <w:rStyle w:val="BodyTextChar1"/>
          <w:rFonts w:ascii="Arial" w:hAnsi="Arial" w:cs="Arial"/>
          <w:color w:val="000000"/>
          <w:sz w:val="20"/>
          <w:szCs w:val="20"/>
          <w:lang w:eastAsia="vi-VN"/>
        </w:rPr>
        <w:t>vướng</w:t>
      </w:r>
      <w:r w:rsidR="00C87E13" w:rsidRPr="00093639">
        <w:rPr>
          <w:rStyle w:val="BodyTextChar1"/>
          <w:rFonts w:ascii="Arial" w:hAnsi="Arial" w:cs="Arial"/>
          <w:color w:val="000000"/>
          <w:sz w:val="20"/>
          <w:szCs w:val="20"/>
          <w:lang w:eastAsia="vi-VN"/>
        </w:rPr>
        <w:t xml:space="preserve"> mắc, đề nghị phản ánh về Bộ Lao động - Thương binh và Xã hội để kịp thời nghiên cứu, giải quyết./.</w:t>
      </w:r>
    </w:p>
    <w:p w14:paraId="23E36048" w14:textId="77777777" w:rsidR="00A614BC" w:rsidRPr="00093639" w:rsidRDefault="00A614BC" w:rsidP="001A5351">
      <w:pPr>
        <w:pStyle w:val="BodyText"/>
        <w:shd w:val="clear" w:color="auto" w:fill="auto"/>
        <w:tabs>
          <w:tab w:val="left" w:pos="1093"/>
        </w:tabs>
        <w:spacing w:after="0" w:line="240" w:lineRule="auto"/>
        <w:ind w:firstLine="720"/>
        <w:jc w:val="both"/>
        <w:rPr>
          <w:rStyle w:val="BodyTextChar1"/>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5580"/>
        <w:gridCol w:w="3420"/>
      </w:tblGrid>
      <w:tr w:rsidR="006C7B0D" w:rsidRPr="00093639" w14:paraId="39E8B3D1" w14:textId="77777777" w:rsidTr="001A5351">
        <w:tc>
          <w:tcPr>
            <w:tcW w:w="5580" w:type="dxa"/>
            <w:shd w:val="clear" w:color="auto" w:fill="auto"/>
          </w:tcPr>
          <w:p w14:paraId="64F1632D" w14:textId="77777777" w:rsidR="00A614BC" w:rsidRPr="00093639" w:rsidRDefault="00A614BC" w:rsidP="001A5351">
            <w:pPr>
              <w:pStyle w:val="BodyText"/>
              <w:shd w:val="clear" w:color="auto" w:fill="auto"/>
              <w:spacing w:after="0" w:line="240" w:lineRule="auto"/>
              <w:ind w:firstLine="0"/>
              <w:jc w:val="both"/>
              <w:rPr>
                <w:rFonts w:ascii="Arial" w:hAnsi="Arial" w:cs="Arial"/>
                <w:color w:val="000000"/>
                <w:sz w:val="20"/>
                <w:szCs w:val="20"/>
              </w:rPr>
            </w:pPr>
            <w:r w:rsidRPr="00093639">
              <w:rPr>
                <w:rStyle w:val="BodyTextChar1"/>
                <w:rFonts w:ascii="Arial" w:hAnsi="Arial" w:cs="Arial"/>
                <w:b/>
                <w:bCs/>
                <w:i/>
                <w:iCs/>
                <w:color w:val="000000"/>
                <w:sz w:val="20"/>
                <w:szCs w:val="20"/>
                <w:lang w:eastAsia="vi-VN"/>
              </w:rPr>
              <w:t>Nơi nhận:</w:t>
            </w:r>
          </w:p>
          <w:p w14:paraId="1B7697F5"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Thủ tướng, các Phó Thủ tướng Chính </w:t>
            </w:r>
            <w:proofErr w:type="gramStart"/>
            <w:r w:rsidR="00A614BC" w:rsidRPr="00093639">
              <w:rPr>
                <w:rStyle w:val="Bodytext2"/>
                <w:rFonts w:ascii="Arial" w:hAnsi="Arial" w:cs="Arial"/>
                <w:color w:val="000000"/>
                <w:sz w:val="20"/>
                <w:szCs w:val="20"/>
                <w:lang w:eastAsia="vi-VN"/>
              </w:rPr>
              <w:t>phủ;</w:t>
            </w:r>
            <w:proofErr w:type="gramEnd"/>
          </w:p>
          <w:p w14:paraId="2FB046FB" w14:textId="77777777" w:rsidR="00A614BC" w:rsidRPr="00093639" w:rsidRDefault="00A614BC"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w:t>
            </w:r>
            <w:r w:rsidR="006C7B0D"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Văn phòng Quốc hội;</w:t>
            </w:r>
          </w:p>
          <w:p w14:paraId="189FCEC6" w14:textId="77777777" w:rsidR="00A614BC" w:rsidRPr="00093639" w:rsidRDefault="00A614BC"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w:t>
            </w:r>
            <w:r w:rsidR="006C7B0D"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Văn phòng Chủ tịch nước;</w:t>
            </w:r>
          </w:p>
          <w:p w14:paraId="45CC2F43" w14:textId="77777777" w:rsidR="00A614BC" w:rsidRPr="00093639" w:rsidRDefault="00A614BC"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w:t>
            </w:r>
            <w:r w:rsidR="006C7B0D"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Văn phòng Chính phủ;</w:t>
            </w:r>
          </w:p>
          <w:p w14:paraId="453DF30F" w14:textId="77777777" w:rsidR="00A614BC" w:rsidRPr="00093639" w:rsidRDefault="00A614BC"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w:t>
            </w:r>
            <w:r w:rsidR="006C7B0D"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Văn phòng Trung ương Đảng và các Ban của Đảng;</w:t>
            </w:r>
          </w:p>
          <w:p w14:paraId="74A2587E"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Các bộ, cơ quan ngang bộ, cơ quan thuộc Chính </w:t>
            </w:r>
            <w:proofErr w:type="gramStart"/>
            <w:r w:rsidR="00A614BC" w:rsidRPr="00093639">
              <w:rPr>
                <w:rStyle w:val="Bodytext2"/>
                <w:rFonts w:ascii="Arial" w:hAnsi="Arial" w:cs="Arial"/>
                <w:color w:val="000000"/>
                <w:sz w:val="20"/>
                <w:szCs w:val="20"/>
                <w:lang w:eastAsia="vi-VN"/>
              </w:rPr>
              <w:t>phủ;</w:t>
            </w:r>
            <w:proofErr w:type="gramEnd"/>
          </w:p>
          <w:p w14:paraId="1329D602"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Toà án nhân dân tối </w:t>
            </w:r>
            <w:proofErr w:type="gramStart"/>
            <w:r w:rsidR="00A614BC" w:rsidRPr="00093639">
              <w:rPr>
                <w:rStyle w:val="Bodytext2"/>
                <w:rFonts w:ascii="Arial" w:hAnsi="Arial" w:cs="Arial"/>
                <w:color w:val="000000"/>
                <w:sz w:val="20"/>
                <w:szCs w:val="20"/>
                <w:lang w:eastAsia="vi-VN"/>
              </w:rPr>
              <w:t>cao;</w:t>
            </w:r>
            <w:proofErr w:type="gramEnd"/>
          </w:p>
          <w:p w14:paraId="4703C47F"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Viện Kiểm sát nhân dân tối </w:t>
            </w:r>
            <w:proofErr w:type="gramStart"/>
            <w:r w:rsidR="00A614BC" w:rsidRPr="00093639">
              <w:rPr>
                <w:rStyle w:val="Bodytext2"/>
                <w:rFonts w:ascii="Arial" w:hAnsi="Arial" w:cs="Arial"/>
                <w:color w:val="000000"/>
                <w:sz w:val="20"/>
                <w:szCs w:val="20"/>
                <w:lang w:eastAsia="vi-VN"/>
              </w:rPr>
              <w:t>cao;</w:t>
            </w:r>
            <w:proofErr w:type="gramEnd"/>
          </w:p>
          <w:p w14:paraId="769617B2"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Kiể</w:t>
            </w:r>
            <w:r w:rsidR="00A614BC" w:rsidRPr="00093639">
              <w:rPr>
                <w:rStyle w:val="Bodytext2"/>
                <w:rFonts w:ascii="Arial" w:hAnsi="Arial" w:cs="Arial"/>
                <w:color w:val="000000"/>
                <w:sz w:val="20"/>
                <w:szCs w:val="20"/>
                <w:lang w:eastAsia="vi-VN"/>
              </w:rPr>
              <w:t xml:space="preserve">m toán Nhà </w:t>
            </w:r>
            <w:proofErr w:type="gramStart"/>
            <w:r w:rsidR="00A614BC" w:rsidRPr="00093639">
              <w:rPr>
                <w:rStyle w:val="Bodytext2"/>
                <w:rFonts w:ascii="Arial" w:hAnsi="Arial" w:cs="Arial"/>
                <w:color w:val="000000"/>
                <w:sz w:val="20"/>
                <w:szCs w:val="20"/>
                <w:lang w:eastAsia="vi-VN"/>
              </w:rPr>
              <w:t>nước;</w:t>
            </w:r>
            <w:proofErr w:type="gramEnd"/>
          </w:p>
          <w:p w14:paraId="77180684"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Ủ</w:t>
            </w:r>
            <w:r w:rsidR="00A614BC" w:rsidRPr="00093639">
              <w:rPr>
                <w:rStyle w:val="Bodytext2"/>
                <w:rFonts w:ascii="Arial" w:hAnsi="Arial" w:cs="Arial"/>
                <w:color w:val="000000"/>
                <w:sz w:val="20"/>
                <w:szCs w:val="20"/>
                <w:lang w:eastAsia="vi-VN"/>
              </w:rPr>
              <w:t xml:space="preserve">y ban Trung ương Mặt trận Tổ quốc Việt </w:t>
            </w:r>
            <w:proofErr w:type="gramStart"/>
            <w:r w:rsidR="00A614BC" w:rsidRPr="00093639">
              <w:rPr>
                <w:rStyle w:val="Bodytext2"/>
                <w:rFonts w:ascii="Arial" w:hAnsi="Arial" w:cs="Arial"/>
                <w:color w:val="000000"/>
                <w:sz w:val="20"/>
                <w:szCs w:val="20"/>
                <w:lang w:eastAsia="vi-VN"/>
              </w:rPr>
              <w:t>Nam;</w:t>
            </w:r>
            <w:proofErr w:type="gramEnd"/>
          </w:p>
          <w:p w14:paraId="6FBEE3B8" w14:textId="77777777" w:rsidR="00A614BC" w:rsidRPr="00093639" w:rsidRDefault="006C7B0D" w:rsidP="001A5351">
            <w:pPr>
              <w:pStyle w:val="Bodytext20"/>
              <w:shd w:val="clear" w:color="auto" w:fill="auto"/>
              <w:tabs>
                <w:tab w:val="left" w:pos="254"/>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Cơ quan Trung ương của các tổ chức chính trị-xã </w:t>
            </w:r>
            <w:proofErr w:type="gramStart"/>
            <w:r w:rsidR="00A614BC" w:rsidRPr="00093639">
              <w:rPr>
                <w:rStyle w:val="Bodytext2"/>
                <w:rFonts w:ascii="Arial" w:hAnsi="Arial" w:cs="Arial"/>
                <w:color w:val="000000"/>
                <w:sz w:val="20"/>
                <w:szCs w:val="20"/>
                <w:lang w:eastAsia="vi-VN"/>
              </w:rPr>
              <w:t>hội;</w:t>
            </w:r>
            <w:proofErr w:type="gramEnd"/>
          </w:p>
          <w:p w14:paraId="09330E19" w14:textId="77777777" w:rsidR="00A614BC" w:rsidRPr="00093639" w:rsidRDefault="006C7B0D" w:rsidP="001A5351">
            <w:pPr>
              <w:pStyle w:val="Bodytext20"/>
              <w:shd w:val="clear" w:color="auto" w:fill="auto"/>
              <w:tabs>
                <w:tab w:val="left" w:pos="254"/>
              </w:tabs>
              <w:jc w:val="both"/>
              <w:rPr>
                <w:rStyle w:val="Bodytext2"/>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Bảo hiểm xã hội Việt </w:t>
            </w:r>
            <w:proofErr w:type="gramStart"/>
            <w:r w:rsidR="00A614BC" w:rsidRPr="00093639">
              <w:rPr>
                <w:rStyle w:val="Bodytext2"/>
                <w:rFonts w:ascii="Arial" w:hAnsi="Arial" w:cs="Arial"/>
                <w:color w:val="000000"/>
                <w:sz w:val="20"/>
                <w:szCs w:val="20"/>
                <w:lang w:eastAsia="vi-VN"/>
              </w:rPr>
              <w:t>Nam;</w:t>
            </w:r>
            <w:proofErr w:type="gramEnd"/>
          </w:p>
          <w:p w14:paraId="06B07920" w14:textId="77777777" w:rsidR="00A614BC" w:rsidRPr="00093639" w:rsidRDefault="006C7B0D" w:rsidP="001A5351">
            <w:pPr>
              <w:pStyle w:val="Bodytext20"/>
              <w:shd w:val="clear" w:color="auto" w:fill="auto"/>
              <w:tabs>
                <w:tab w:val="left" w:pos="126"/>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HĐND, UBND các tỉnh, thành phố trực thuộc trung </w:t>
            </w:r>
            <w:proofErr w:type="gramStart"/>
            <w:r w:rsidR="00A614BC" w:rsidRPr="00093639">
              <w:rPr>
                <w:rStyle w:val="Bodytext2"/>
                <w:rFonts w:ascii="Arial" w:hAnsi="Arial" w:cs="Arial"/>
                <w:color w:val="000000"/>
                <w:sz w:val="20"/>
                <w:szCs w:val="20"/>
                <w:lang w:eastAsia="vi-VN"/>
              </w:rPr>
              <w:t>ương;</w:t>
            </w:r>
            <w:proofErr w:type="gramEnd"/>
          </w:p>
          <w:p w14:paraId="3B238243" w14:textId="77777777" w:rsidR="00A614BC" w:rsidRPr="00093639" w:rsidRDefault="006C7B0D" w:rsidP="001A5351">
            <w:pPr>
              <w:pStyle w:val="Bodytext20"/>
              <w:shd w:val="clear" w:color="auto" w:fill="auto"/>
              <w:tabs>
                <w:tab w:val="left" w:pos="126"/>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00A614BC" w:rsidRPr="00093639">
              <w:rPr>
                <w:rStyle w:val="Bodytext2"/>
                <w:rFonts w:ascii="Arial" w:hAnsi="Arial" w:cs="Arial"/>
                <w:color w:val="000000"/>
                <w:sz w:val="20"/>
                <w:szCs w:val="20"/>
                <w:lang w:eastAsia="vi-VN"/>
              </w:rPr>
              <w:t xml:space="preserve">Sở LĐTBXH các tỉnh, thành phố trực thuộc trung </w:t>
            </w:r>
            <w:proofErr w:type="gramStart"/>
            <w:r w:rsidR="00A614BC" w:rsidRPr="00093639">
              <w:rPr>
                <w:rStyle w:val="Bodytext2"/>
                <w:rFonts w:ascii="Arial" w:hAnsi="Arial" w:cs="Arial"/>
                <w:color w:val="000000"/>
                <w:sz w:val="20"/>
                <w:szCs w:val="20"/>
                <w:lang w:eastAsia="vi-VN"/>
              </w:rPr>
              <w:t>ương;</w:t>
            </w:r>
            <w:proofErr w:type="gramEnd"/>
          </w:p>
          <w:p w14:paraId="5C4922AC" w14:textId="77777777" w:rsidR="00A614BC" w:rsidRPr="00093639" w:rsidRDefault="006C7B0D" w:rsidP="001A5351">
            <w:pPr>
              <w:pStyle w:val="Bodytext20"/>
              <w:shd w:val="clear" w:color="auto" w:fill="auto"/>
              <w:tabs>
                <w:tab w:val="left" w:pos="122"/>
              </w:tabs>
              <w:jc w:val="both"/>
              <w:rPr>
                <w:rFonts w:ascii="Arial" w:hAnsi="Arial" w:cs="Arial"/>
                <w:color w:val="000000"/>
                <w:sz w:val="20"/>
                <w:szCs w:val="20"/>
              </w:rPr>
            </w:pPr>
            <w:r w:rsidRPr="00093639">
              <w:rPr>
                <w:rStyle w:val="Bodytext2"/>
                <w:rFonts w:ascii="Arial" w:hAnsi="Arial" w:cs="Arial"/>
                <w:color w:val="000000"/>
                <w:sz w:val="20"/>
                <w:szCs w:val="20"/>
                <w:lang w:val="en-US" w:eastAsia="vi-VN"/>
              </w:rPr>
              <w:t xml:space="preserve">- </w:t>
            </w:r>
            <w:r w:rsidRPr="00093639">
              <w:rPr>
                <w:rStyle w:val="Bodytext2"/>
                <w:rFonts w:ascii="Arial" w:hAnsi="Arial" w:cs="Arial"/>
                <w:color w:val="000000"/>
                <w:sz w:val="20"/>
                <w:szCs w:val="20"/>
                <w:lang w:eastAsia="vi-VN"/>
              </w:rPr>
              <w:t>Công báo; cổ</w:t>
            </w:r>
            <w:r w:rsidR="00A614BC" w:rsidRPr="00093639">
              <w:rPr>
                <w:rStyle w:val="Bodytext2"/>
                <w:rFonts w:ascii="Arial" w:hAnsi="Arial" w:cs="Arial"/>
                <w:color w:val="000000"/>
                <w:sz w:val="20"/>
                <w:szCs w:val="20"/>
                <w:lang w:eastAsia="vi-VN"/>
              </w:rPr>
              <w:t>ng thông tin điện tử Chính phủ; Cơ sở d</w:t>
            </w:r>
            <w:r w:rsidRPr="00093639">
              <w:rPr>
                <w:rStyle w:val="Bodytext2"/>
                <w:rFonts w:ascii="Arial" w:hAnsi="Arial" w:cs="Arial"/>
                <w:color w:val="000000"/>
                <w:sz w:val="20"/>
                <w:szCs w:val="20"/>
                <w:lang w:eastAsia="vi-VN"/>
              </w:rPr>
              <w:t>ữ liệu quốc gia về pháp luật; cổ</w:t>
            </w:r>
            <w:r w:rsidR="00A614BC" w:rsidRPr="00093639">
              <w:rPr>
                <w:rStyle w:val="Bodytext2"/>
                <w:rFonts w:ascii="Arial" w:hAnsi="Arial" w:cs="Arial"/>
                <w:color w:val="000000"/>
                <w:sz w:val="20"/>
                <w:szCs w:val="20"/>
                <w:lang w:eastAsia="vi-VN"/>
              </w:rPr>
              <w:t xml:space="preserve">ng thông tin điện tử Bộ Lao động -Thương binh và Xã </w:t>
            </w:r>
            <w:proofErr w:type="gramStart"/>
            <w:r w:rsidR="00A614BC" w:rsidRPr="00093639">
              <w:rPr>
                <w:rStyle w:val="Bodytext2"/>
                <w:rFonts w:ascii="Arial" w:hAnsi="Arial" w:cs="Arial"/>
                <w:color w:val="000000"/>
                <w:sz w:val="20"/>
                <w:szCs w:val="20"/>
                <w:lang w:eastAsia="vi-VN"/>
              </w:rPr>
              <w:t>hội;</w:t>
            </w:r>
            <w:proofErr w:type="gramEnd"/>
          </w:p>
          <w:p w14:paraId="7CC4149F" w14:textId="77777777" w:rsidR="00A614BC" w:rsidRPr="00093639" w:rsidRDefault="006C7B0D"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 Cục Kiể</w:t>
            </w:r>
            <w:r w:rsidR="00A614BC" w:rsidRPr="00093639">
              <w:rPr>
                <w:rStyle w:val="Bodytext2"/>
                <w:rFonts w:ascii="Arial" w:hAnsi="Arial" w:cs="Arial"/>
                <w:color w:val="000000"/>
                <w:sz w:val="20"/>
                <w:szCs w:val="20"/>
                <w:lang w:eastAsia="vi-VN"/>
              </w:rPr>
              <w:t>m tra văn bản quy phạm pháp luật (Bộ Tư pháp);</w:t>
            </w:r>
          </w:p>
          <w:p w14:paraId="0958066F" w14:textId="77777777" w:rsidR="00A614BC" w:rsidRPr="00093639" w:rsidRDefault="006C7B0D" w:rsidP="001A5351">
            <w:pPr>
              <w:pStyle w:val="Bodytext20"/>
              <w:shd w:val="clear" w:color="auto" w:fill="auto"/>
              <w:jc w:val="both"/>
              <w:rPr>
                <w:rFonts w:ascii="Arial" w:hAnsi="Arial" w:cs="Arial"/>
                <w:color w:val="000000"/>
                <w:sz w:val="20"/>
                <w:szCs w:val="20"/>
              </w:rPr>
            </w:pPr>
            <w:r w:rsidRPr="00093639">
              <w:rPr>
                <w:rStyle w:val="Bodytext2"/>
                <w:rFonts w:ascii="Arial" w:hAnsi="Arial" w:cs="Arial"/>
                <w:color w:val="000000"/>
                <w:sz w:val="20"/>
                <w:szCs w:val="20"/>
                <w:lang w:eastAsia="vi-VN"/>
              </w:rPr>
              <w:t xml:space="preserve">- </w:t>
            </w:r>
            <w:r w:rsidR="00A614BC" w:rsidRPr="00093639">
              <w:rPr>
                <w:rStyle w:val="Bodytext2"/>
                <w:rFonts w:ascii="Arial" w:hAnsi="Arial" w:cs="Arial"/>
                <w:color w:val="000000"/>
                <w:sz w:val="20"/>
                <w:szCs w:val="20"/>
                <w:lang w:eastAsia="vi-VN"/>
              </w:rPr>
              <w:t xml:space="preserve">Lưu: VT, </w:t>
            </w:r>
            <w:r w:rsidR="00A614BC" w:rsidRPr="00093639">
              <w:rPr>
                <w:rStyle w:val="Bodytext2"/>
                <w:rFonts w:ascii="Arial" w:hAnsi="Arial" w:cs="Arial"/>
                <w:color w:val="000000"/>
                <w:sz w:val="20"/>
                <w:szCs w:val="20"/>
                <w:lang w:val="en-US"/>
              </w:rPr>
              <w:t xml:space="preserve">PC, </w:t>
            </w:r>
            <w:r w:rsidR="00A614BC" w:rsidRPr="00093639">
              <w:rPr>
                <w:rStyle w:val="Bodytext2"/>
                <w:rFonts w:ascii="Arial" w:hAnsi="Arial" w:cs="Arial"/>
                <w:color w:val="000000"/>
                <w:sz w:val="20"/>
                <w:szCs w:val="20"/>
                <w:lang w:eastAsia="vi-VN"/>
              </w:rPr>
              <w:t>BHXH.</w:t>
            </w:r>
          </w:p>
        </w:tc>
        <w:tc>
          <w:tcPr>
            <w:tcW w:w="3420" w:type="dxa"/>
            <w:shd w:val="clear" w:color="auto" w:fill="auto"/>
          </w:tcPr>
          <w:p w14:paraId="10FB8EBE" w14:textId="77777777" w:rsidR="00A614BC" w:rsidRPr="00093639" w:rsidRDefault="006C7B0D" w:rsidP="001A535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093639">
              <w:rPr>
                <w:rStyle w:val="BodyTextChar1"/>
                <w:rFonts w:ascii="Arial" w:hAnsi="Arial" w:cs="Arial"/>
                <w:b/>
                <w:bCs/>
                <w:color w:val="000000"/>
                <w:sz w:val="20"/>
                <w:szCs w:val="20"/>
                <w:lang w:eastAsia="vi-VN"/>
              </w:rPr>
              <w:t>KT. B</w:t>
            </w:r>
            <w:r w:rsidRPr="00093639">
              <w:rPr>
                <w:rStyle w:val="BodyTextChar1"/>
                <w:rFonts w:ascii="Arial" w:hAnsi="Arial" w:cs="Arial"/>
                <w:b/>
                <w:bCs/>
                <w:color w:val="000000"/>
                <w:sz w:val="20"/>
                <w:szCs w:val="20"/>
                <w:lang w:val="en-US" w:eastAsia="vi-VN"/>
              </w:rPr>
              <w:t>Ộ</w:t>
            </w:r>
            <w:r w:rsidR="00A614BC" w:rsidRPr="00093639">
              <w:rPr>
                <w:rStyle w:val="BodyTextChar1"/>
                <w:rFonts w:ascii="Arial" w:hAnsi="Arial" w:cs="Arial"/>
                <w:b/>
                <w:bCs/>
                <w:color w:val="000000"/>
                <w:sz w:val="20"/>
                <w:szCs w:val="20"/>
                <w:lang w:eastAsia="vi-VN"/>
              </w:rPr>
              <w:t xml:space="preserve"> TRƯỞNG</w:t>
            </w:r>
          </w:p>
          <w:p w14:paraId="1D9FCE44" w14:textId="77777777" w:rsidR="006C7B0D" w:rsidRPr="006C7B0D" w:rsidRDefault="006C7B0D"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r w:rsidRPr="006C7B0D">
              <w:rPr>
                <w:rStyle w:val="BodyTextChar1"/>
                <w:rFonts w:ascii="Arial" w:hAnsi="Arial" w:cs="Arial"/>
                <w:b/>
                <w:bCs/>
                <w:sz w:val="20"/>
                <w:szCs w:val="20"/>
                <w:lang w:eastAsia="vi-VN"/>
              </w:rPr>
              <w:t>THỨ TRƯỞNG</w:t>
            </w:r>
          </w:p>
          <w:p w14:paraId="16B8C5DF"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498BB435"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0F8D37F0"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37A7AE22"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36D00DD1"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66AEDEFE" w14:textId="77777777" w:rsidR="001A5351" w:rsidRDefault="001A5351" w:rsidP="001A5351">
            <w:pPr>
              <w:pStyle w:val="BodyText"/>
              <w:shd w:val="clear" w:color="auto" w:fill="auto"/>
              <w:spacing w:after="0" w:line="240" w:lineRule="auto"/>
              <w:ind w:firstLine="0"/>
              <w:jc w:val="center"/>
              <w:rPr>
                <w:rStyle w:val="BodyTextChar1"/>
                <w:rFonts w:ascii="Arial" w:hAnsi="Arial" w:cs="Arial"/>
                <w:b/>
                <w:bCs/>
                <w:sz w:val="20"/>
                <w:szCs w:val="20"/>
                <w:lang w:eastAsia="vi-VN"/>
              </w:rPr>
            </w:pPr>
          </w:p>
          <w:p w14:paraId="5DADAED5" w14:textId="77777777" w:rsidR="006C7B0D" w:rsidRPr="00093639" w:rsidRDefault="006C7B0D" w:rsidP="001A5351">
            <w:pPr>
              <w:pStyle w:val="BodyText"/>
              <w:shd w:val="clear" w:color="auto" w:fill="auto"/>
              <w:spacing w:after="0" w:line="240" w:lineRule="auto"/>
              <w:ind w:firstLine="0"/>
              <w:jc w:val="center"/>
              <w:rPr>
                <w:rFonts w:ascii="Arial" w:hAnsi="Arial" w:cs="Arial"/>
                <w:color w:val="000000"/>
                <w:sz w:val="20"/>
                <w:szCs w:val="20"/>
                <w:lang w:val="en-US"/>
              </w:rPr>
            </w:pPr>
            <w:r w:rsidRPr="006C7B0D">
              <w:rPr>
                <w:rStyle w:val="BodyTextChar1"/>
                <w:rFonts w:ascii="Arial" w:hAnsi="Arial" w:cs="Arial"/>
                <w:b/>
                <w:bCs/>
                <w:sz w:val="20"/>
                <w:szCs w:val="20"/>
                <w:lang w:eastAsia="vi-VN"/>
              </w:rPr>
              <w:t xml:space="preserve">Nguyễn </w:t>
            </w:r>
            <w:r w:rsidRPr="006C7B0D">
              <w:rPr>
                <w:rStyle w:val="BodyTextChar1"/>
                <w:rFonts w:ascii="Arial" w:hAnsi="Arial" w:cs="Arial"/>
                <w:b/>
                <w:bCs/>
                <w:sz w:val="20"/>
                <w:szCs w:val="20"/>
                <w:lang w:val="en-US" w:eastAsia="vi-VN"/>
              </w:rPr>
              <w:t>Bá Hoan</w:t>
            </w:r>
          </w:p>
          <w:p w14:paraId="6B19052E" w14:textId="77777777" w:rsidR="00A614BC" w:rsidRPr="00093639" w:rsidRDefault="00A614BC" w:rsidP="001A5351">
            <w:pPr>
              <w:pStyle w:val="BodyText"/>
              <w:shd w:val="clear" w:color="auto" w:fill="auto"/>
              <w:tabs>
                <w:tab w:val="left" w:pos="1093"/>
              </w:tabs>
              <w:spacing w:after="0" w:line="240" w:lineRule="auto"/>
              <w:ind w:firstLine="0"/>
              <w:jc w:val="both"/>
              <w:rPr>
                <w:rFonts w:ascii="Arial" w:hAnsi="Arial" w:cs="Arial"/>
                <w:color w:val="000000"/>
                <w:sz w:val="20"/>
                <w:szCs w:val="20"/>
              </w:rPr>
            </w:pPr>
          </w:p>
        </w:tc>
      </w:tr>
    </w:tbl>
    <w:p w14:paraId="2F472761" w14:textId="77777777" w:rsidR="00A614BC" w:rsidRPr="00093639" w:rsidRDefault="00A614BC" w:rsidP="006C7B0D">
      <w:pPr>
        <w:pStyle w:val="BodyText"/>
        <w:shd w:val="clear" w:color="auto" w:fill="auto"/>
        <w:tabs>
          <w:tab w:val="left" w:pos="1093"/>
        </w:tabs>
        <w:spacing w:after="120" w:line="240" w:lineRule="auto"/>
        <w:ind w:firstLine="720"/>
        <w:jc w:val="both"/>
        <w:rPr>
          <w:rFonts w:ascii="Arial" w:hAnsi="Arial" w:cs="Arial"/>
          <w:color w:val="000000"/>
          <w:sz w:val="20"/>
          <w:szCs w:val="20"/>
        </w:rPr>
      </w:pPr>
    </w:p>
    <w:sectPr w:rsidR="00A614BC" w:rsidRPr="00093639" w:rsidSect="00A614BC">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C003A" w14:textId="77777777" w:rsidR="000403A2" w:rsidRDefault="000403A2" w:rsidP="00E36DB9">
      <w:r>
        <w:separator/>
      </w:r>
    </w:p>
  </w:endnote>
  <w:endnote w:type="continuationSeparator" w:id="0">
    <w:p w14:paraId="0383E582" w14:textId="77777777" w:rsidR="000403A2" w:rsidRDefault="000403A2" w:rsidP="00E3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09334" w14:textId="77777777" w:rsidR="00E36DB9" w:rsidRDefault="00E36DB9">
    <w:pPr>
      <w:pStyle w:val="Footer"/>
    </w:pPr>
    <w:r w:rsidRPr="001256AD">
      <w:rPr>
        <w:noProof/>
      </w:rPr>
      <w:pict w14:anchorId="374FE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FCD3F" w14:textId="77777777" w:rsidR="000403A2" w:rsidRDefault="000403A2" w:rsidP="00E36DB9">
      <w:r>
        <w:separator/>
      </w:r>
    </w:p>
  </w:footnote>
  <w:footnote w:type="continuationSeparator" w:id="0">
    <w:p w14:paraId="6FF8C43F" w14:textId="77777777" w:rsidR="000403A2" w:rsidRDefault="000403A2" w:rsidP="00E36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3" w15:restartNumberingAfterBreak="0">
    <w:nsid w:val="00000007"/>
    <w:multiLevelType w:val="multilevel"/>
    <w:tmpl w:val="00000006"/>
    <w:lvl w:ilvl="0">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1">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2">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3">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4">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5">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6">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7">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8">
      <w:start w:val="7"/>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1">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2">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3">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4">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5">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6">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7">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lvl w:ilvl="8">
      <w:start w:val="13"/>
      <w:numFmt w:val="decimal"/>
      <w:lvlText w:val="%1."/>
      <w:lvlJc w:val="left"/>
      <w:rPr>
        <w:rFonts w:ascii="Times New Roman" w:hAnsi="Times New Roman" w:cs="Times New Roman"/>
        <w:b w:val="0"/>
        <w:bCs w:val="0"/>
        <w:i/>
        <w:iCs/>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354115568">
    <w:abstractNumId w:val="0"/>
  </w:num>
  <w:num w:numId="2" w16cid:durableId="76752066">
    <w:abstractNumId w:val="1"/>
  </w:num>
  <w:num w:numId="3" w16cid:durableId="1289975120">
    <w:abstractNumId w:val="2"/>
  </w:num>
  <w:num w:numId="4" w16cid:durableId="1349986405">
    <w:abstractNumId w:val="3"/>
  </w:num>
  <w:num w:numId="5" w16cid:durableId="1703824052">
    <w:abstractNumId w:val="4"/>
  </w:num>
  <w:num w:numId="6" w16cid:durableId="325204353">
    <w:abstractNumId w:val="5"/>
  </w:num>
  <w:num w:numId="7" w16cid:durableId="1414204288">
    <w:abstractNumId w:val="6"/>
  </w:num>
  <w:num w:numId="8" w16cid:durableId="1549804833">
    <w:abstractNumId w:val="7"/>
  </w:num>
  <w:num w:numId="9" w16cid:durableId="545021593">
    <w:abstractNumId w:val="8"/>
  </w:num>
  <w:num w:numId="10" w16cid:durableId="1592422550">
    <w:abstractNumId w:val="9"/>
  </w:num>
  <w:num w:numId="11" w16cid:durableId="185488141">
    <w:abstractNumId w:val="10"/>
  </w:num>
  <w:num w:numId="12" w16cid:durableId="1346059227">
    <w:abstractNumId w:val="11"/>
  </w:num>
  <w:num w:numId="13" w16cid:durableId="120266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654D"/>
    <w:rsid w:val="000403A2"/>
    <w:rsid w:val="00093639"/>
    <w:rsid w:val="001A5351"/>
    <w:rsid w:val="00363048"/>
    <w:rsid w:val="00647EF6"/>
    <w:rsid w:val="006C7B0D"/>
    <w:rsid w:val="006D7B61"/>
    <w:rsid w:val="00802B31"/>
    <w:rsid w:val="00820E97"/>
    <w:rsid w:val="008247E3"/>
    <w:rsid w:val="00A614BC"/>
    <w:rsid w:val="00AC654D"/>
    <w:rsid w:val="00B979E8"/>
    <w:rsid w:val="00BA536F"/>
    <w:rsid w:val="00C87E13"/>
    <w:rsid w:val="00DB4A3F"/>
    <w:rsid w:val="00E36DB9"/>
    <w:rsid w:val="00ED3BEC"/>
    <w:rsid w:val="00F375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E9CBD"/>
  <w14:defaultImageDpi w14:val="0"/>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Times New Roman" w:hAnsi="Times New Roman" w:cs="Times New Roman"/>
      <w:sz w:val="22"/>
      <w:szCs w:val="22"/>
      <w:u w:val="none"/>
    </w:rPr>
  </w:style>
  <w:style w:type="paragraph" w:styleId="BodyText">
    <w:name w:val="Body Text"/>
    <w:basedOn w:val="Normal"/>
    <w:link w:val="BodyTextChar1"/>
    <w:uiPriority w:val="99"/>
    <w:qFormat/>
    <w:pPr>
      <w:shd w:val="clear" w:color="auto" w:fill="FFFFFF"/>
      <w:spacing w:after="100" w:line="290"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pPr>
    <w:rPr>
      <w:rFonts w:ascii="Times New Roman" w:hAnsi="Times New Roman" w:cs="Times New Roman"/>
      <w:color w:val="auto"/>
      <w:sz w:val="22"/>
      <w:szCs w:val="22"/>
      <w:lang w:eastAsia="en-US"/>
    </w:rPr>
  </w:style>
  <w:style w:type="table" w:styleId="TableGrid">
    <w:name w:val="Table Grid"/>
    <w:basedOn w:val="TableNormal"/>
    <w:uiPriority w:val="39"/>
    <w:rsid w:val="00A61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DB9"/>
    <w:pPr>
      <w:tabs>
        <w:tab w:val="center" w:pos="4680"/>
        <w:tab w:val="right" w:pos="9360"/>
      </w:tabs>
    </w:pPr>
  </w:style>
  <w:style w:type="character" w:customStyle="1" w:styleId="HeaderChar">
    <w:name w:val="Header Char"/>
    <w:link w:val="Header"/>
    <w:uiPriority w:val="99"/>
    <w:rsid w:val="00E36DB9"/>
    <w:rPr>
      <w:rFonts w:cs="Courier New"/>
      <w:color w:val="000000"/>
      <w:sz w:val="24"/>
      <w:szCs w:val="24"/>
      <w:lang w:val="vi-VN" w:eastAsia="vi-VN"/>
    </w:rPr>
  </w:style>
  <w:style w:type="paragraph" w:styleId="Footer">
    <w:name w:val="footer"/>
    <w:basedOn w:val="Normal"/>
    <w:link w:val="FooterChar"/>
    <w:uiPriority w:val="99"/>
    <w:unhideWhenUsed/>
    <w:rsid w:val="00E36DB9"/>
    <w:pPr>
      <w:tabs>
        <w:tab w:val="center" w:pos="4680"/>
        <w:tab w:val="right" w:pos="9360"/>
      </w:tabs>
    </w:pPr>
  </w:style>
  <w:style w:type="character" w:customStyle="1" w:styleId="FooterChar">
    <w:name w:val="Footer Char"/>
    <w:link w:val="Footer"/>
    <w:uiPriority w:val="99"/>
    <w:rsid w:val="00E36DB9"/>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Công Thành</cp:lastModifiedBy>
  <cp:revision>2</cp:revision>
  <dcterms:created xsi:type="dcterms:W3CDTF">2024-12-21T15:33:00Z</dcterms:created>
  <dcterms:modified xsi:type="dcterms:W3CDTF">2024-12-21T15:33:00Z</dcterms:modified>
</cp:coreProperties>
</file>