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60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Tarea 4 – Control de Configuración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808080"/>
          <w:sz w:val="26"/>
          <w:szCs w:val="26"/>
        </w:rPr>
        <w:t xml:space="preserve">Gestión de una solicitud de cambio</w:t>
      </w:r>
    </w:p>
    <w:p>
      <w:pPr>
        <w:spacing w:after="1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Proyecto: Sistema de Inventario (Opción A – cambio funcional)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CR-004-SEM4-CUENCA-NIXON</w:t>
      </w:r>
    </w:p>
    <w:p>
      <w:pPr>
        <w:spacing w:after="8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Nixon Cuenca</w:t>
      </w:r>
    </w:p>
    <w:p>
      <w:pPr>
        <w:jc w:val="center"/>
      </w:pPr>
      <w:r>
        <w:rPr>
          <w:rFonts w:ascii="Calibri" w:cs="Calibri" w:eastAsia="Calibri" w:hAnsi="Calibri"/>
          <w:color w:val="808080"/>
          <w:sz w:val="22"/>
          <w:szCs w:val="22"/>
        </w:rPr>
        <w:t xml:space="preserve">12 de agosto de 2026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 este trabajo apliqué el proceso de control de configuración sobre el proyecto Sistema de Inventario. Se gestiona una solicitud de cambio funcional, se analiza su impacto y sus riesgos, se toma una decisión y se deja evidencia de la trazabilidad en GitHub.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Solicitud de cambio (CR)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solicitud CR-004-SEM4-CUENCA-NIXON pide agregar dos campos nuevos a los productos: el lote y la fecha de caducidad. Estos campos son obligatorios solo cuando el producto es perecible. El cambio también debe verse reflejado en los reportes y en la exportación de datos (CSV y JSON).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 un cambio de tipo funcional, con prioridad alta, solicitado por el Product Owner. El motivo es de negocio: poder rastrear los lotes y controlar los vencimientos. Los elementos afectados son el requisito, el modelo de datos del producto, el código, las pruebas y la documentación.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Análisis de impacto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cambio afecta el alcance porque se modifica el producto, la validación, los reportes y la exportación. El tiempo estimado es de unas 12 horas (aprox. 2 días) y el costo es bajo, ya que no se necesitan licencias ni infraestructura nueva.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 calidad el impacto es medio: hay que probar los casos nuevos y también revisar que no se rompa lo que ya funcionaba. En arquitectura solo se tocan los módulos de producto, reportes y exportación. En seguridad no hay impacto, porque no se cambian el acceso ni datos sensibles. En operación el despliegue es sencillo y existe un plan de rollback.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Análisis de riesgo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Riesgo 1 – </w:t>
      </w:r>
      <w:r>
        <w:rPr>
          <w:rFonts w:ascii="Calibri" w:cs="Calibri" w:eastAsia="Calibri" w:hAnsi="Calibri"/>
          <w:sz w:val="22"/>
          <w:szCs w:val="22"/>
        </w:rPr>
        <w:t xml:space="preserve">al añadir columnas se podrían romper los reportes o la exportación (probabilidad media, impacto alto). Se controla con pruebas de regresión y revisión del código.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Riesgo 2 – </w:t>
      </w:r>
      <w:r>
        <w:rPr>
          <w:rFonts w:ascii="Calibri" w:cs="Calibri" w:eastAsia="Calibri" w:hAnsi="Calibri"/>
          <w:sz w:val="22"/>
          <w:szCs w:val="22"/>
        </w:rPr>
        <w:t xml:space="preserve">los productos perecibles antiguos no tienen lote ni fecha y podrían fallar la validación (probabilidad alta, impacto medio). Se controla aplicando la regla solo a los registros nuevos y con un plan para los datos viejos.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Riesgo 3 – </w:t>
      </w:r>
      <w:r>
        <w:rPr>
          <w:rFonts w:ascii="Calibri" w:cs="Calibri" w:eastAsia="Calibri" w:hAnsi="Calibri"/>
          <w:sz w:val="22"/>
          <w:szCs w:val="22"/>
        </w:rPr>
        <w:t xml:space="preserve">la fecha de caducidad se podría ingresar con un formato inválido (probabilidad media, impacto medio). Se controla validando que sea una fecha correcta y con una prueba unitaria.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Decisión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decisión fue APROBAR el cambio. Es un cambio de bajo costo, sin impacto en la seguridad y con un beneficio claro para el negocio. Los riesgos son medios y quedan cubiertos con pruebas y con la validación condicional, por lo que se aprueba su implementación.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Plan de implementación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Registrar la solicitud como Issue (responsable: PO).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Crear la rama de trabajo (responsable: Dev).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Agregar los campos y la validación para perecibles (responsable: Dev).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Reflejar los campos en reportes y exportación (responsable: Dev).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Hacer las pruebas (responsable: QA).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Revisar, fusionar y publicar la versión v1.1.0 (responsable: Líder técnico / PM).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Plan de rollback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Si el cambio falla, se vuelve a la versión anterior (v1.0.0) revirtiendo la fusión, se comprueba que los reportes y la exportación funcionen y se avisa al equipo.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Seguimiento del cambio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cambio pasa por estos estados, y cada uno avanza cuando tiene su evidencia: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Registrado → En análisis → Aprobado → En implementación → Verificado → Cerrado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 registrado lo hace el solicitante al crear la CR; el análisis y la aprobación quedan con el impacto y la decisión; la implementación con la rama y los commits; la verificación con las pruebas en verde; y el cierre con la versión publicada y el Issue cerrado.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8. Trazabilidad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solicitud queda enlazada con sus artefactos así: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Requisito – </w:t>
      </w:r>
      <w:r>
        <w:rPr>
          <w:rFonts w:ascii="Calibri" w:cs="Calibri" w:eastAsia="Calibri" w:hAnsi="Calibri"/>
          <w:sz w:val="22"/>
          <w:szCs w:val="22"/>
        </w:rPr>
        <w:t xml:space="preserve">el Issue #1 del repositorio.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Código – </w:t>
      </w:r>
      <w:r>
        <w:rPr>
          <w:rFonts w:ascii="Calibri" w:cs="Calibri" w:eastAsia="Calibri" w:hAnsi="Calibri"/>
          <w:sz w:val="22"/>
          <w:szCs w:val="22"/>
        </w:rPr>
        <w:t xml:space="preserve">los commits de la rama de trabajo.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Pruebas – </w:t>
      </w:r>
      <w:r>
        <w:rPr>
          <w:rFonts w:ascii="Calibri" w:cs="Calibri" w:eastAsia="Calibri" w:hAnsi="Calibri"/>
          <w:sz w:val="22"/>
          <w:szCs w:val="22"/>
        </w:rPr>
        <w:t xml:space="preserve">el archivo de pruebas (8 casos correctos).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Release – </w:t>
      </w:r>
      <w:r>
        <w:rPr>
          <w:rFonts w:ascii="Calibri" w:cs="Calibri" w:eastAsia="Calibri" w:hAnsi="Calibri"/>
          <w:sz w:val="22"/>
          <w:szCs w:val="22"/>
        </w:rPr>
        <w:t xml:space="preserve">la versión v1.1.0 publicada.</w:t>
      </w:r>
    </w:p>
    <w:p>
      <w:r>
        <w:br w:type="page"/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9. Evidencias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pego las capturas de pantalla de la gestión del cambio en GitHub.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9.1. Issue de la solicitud (CR)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4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20"/>
                <w:szCs w:val="20"/>
              </w:rPr>
              <w:t xml:space="preserve">[ Captura del Issue #1 ]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100"/>
      </w:pPr>
      <w:r>
        <w:t xml:space="preserve">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9.2. Commits del cambio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4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20"/>
                <w:szCs w:val="20"/>
              </w:rPr>
              <w:t xml:space="preserve">[ Captura de los commits / la rama ]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100"/>
      </w:pPr>
      <w:r>
        <w:t xml:space="preserve">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9.3. Pruebas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4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20"/>
                <w:szCs w:val="20"/>
              </w:rPr>
              <w:t xml:space="preserve">[ Captura del resultado de las pruebas (8 passed) ]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100"/>
      </w:pPr>
      <w:r>
        <w:t xml:space="preserve"> 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9.4. Versión publicada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4F6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20"/>
                <w:szCs w:val="20"/>
              </w:rPr>
              <w:t xml:space="preserve">[ Captura del Release v1.1.0 ]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100"/>
      </w:pPr>
      <w:r>
        <w:t xml:space="preserve"> 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10. Conclusión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 este trabajo apliqué el proceso de control de configuración de principio a fin: se hizo la solicitud, se analizó el impacto y los riesgos, se tomó una decisión, se planificó la implementación y el rollback, se definió el seguimiento por estados y se dejó la trazabilidad con evidencia real en GitHub. Así se ayuda a mantener la estabilidad del proyecto y la calidad del producto.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4 - Control de Configuracion - CR-004</dc:title>
  <dc:creator>Nixon Cuenca</dc:creator>
  <cp:lastModifiedBy>Un-named</cp:lastModifiedBy>
  <cp:revision>1</cp:revision>
  <dcterms:created xsi:type="dcterms:W3CDTF">2026-08-12T03:17:57.876Z</dcterms:created>
  <dcterms:modified xsi:type="dcterms:W3CDTF">2026-08-12T03:17:57.876Z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