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Calibri" w:cs="Calibri" w:eastAsia="Calibri" w:hAnsi="Calibri"/>
          <w:b/>
          <w:bCs/>
          <w:color w:val="1F3864"/>
          <w:sz w:val="40"/>
          <w:szCs w:val="40"/>
        </w:rPr>
        <w:t xml:space="preserve">TAREA 4 — CONTROL DE CONFIGURACIÓN</w:t>
      </w:r>
    </w:p>
    <w:p>
      <w:pPr>
        <w:spacing w:after="400"/>
        <w:jc w:val="center"/>
      </w:pPr>
      <w:r>
        <w:rPr>
          <w:rFonts w:ascii="Calibri" w:cs="Calibri" w:eastAsia="Calibri" w:hAnsi="Calibri"/>
          <w:color w:val="808080"/>
          <w:sz w:val="28"/>
          <w:szCs w:val="28"/>
        </w:rPr>
        <w:t xml:space="preserve">Gestión de una Solicitud de Cambio</w:t>
      </w:r>
    </w:p>
    <w:p>
      <w:pPr>
        <w:spacing w:after="120"/>
        <w:jc w:val="center"/>
      </w:pPr>
      <w:r>
        <w:rPr>
          <w:rFonts w:ascii="Calibri" w:cs="Calibri" w:eastAsia="Calibri" w:hAnsi="Calibri"/>
          <w:b/>
          <w:bCs/>
          <w:sz w:val="26"/>
          <w:szCs w:val="26"/>
        </w:rPr>
        <w:t xml:space="preserve">Proyecto: Sistema de Inventario</w:t>
      </w:r>
    </w:p>
    <w:p>
      <w:pPr>
        <w:spacing w:after="120"/>
        <w:jc w:val="center"/>
      </w:pPr>
      <w:r>
        <w:rPr>
          <w:rFonts w:ascii="Calibri" w:cs="Calibri" w:eastAsia="Calibri" w:hAnsi="Calibri"/>
          <w:sz w:val="24"/>
          <w:szCs w:val="24"/>
        </w:rPr>
        <w:t xml:space="preserve">Caso práctico — Opción A: Cambio funcional (alcance)</w:t>
      </w:r>
    </w:p>
    <w:p>
      <w:pPr>
        <w:spacing w:after="600"/>
        <w:jc w:val="center"/>
      </w:pPr>
      <w:r>
        <w:rPr>
          <w:rFonts w:ascii="Calibri" w:cs="Calibri" w:eastAsia="Calibri" w:hAnsi="Calibri"/>
          <w:b/>
          <w:bCs/>
          <w:color w:val="1F3864"/>
          <w:sz w:val="24"/>
          <w:szCs w:val="24"/>
        </w:rPr>
        <w:t xml:space="preserve">Solicitud de Cambio: CR-004-SEM4-CUENCA-NIXON</w:t>
      </w:r>
    </w:p>
    <w:p>
      <w:pPr>
        <w:spacing w:after="60"/>
        <w:jc w:val="center"/>
      </w:pPr>
      <w:r>
        <w:rPr>
          <w:rFonts w:ascii="Calibri" w:cs="Calibri" w:eastAsia="Calibri" w:hAnsi="Calibri"/>
          <w:sz w:val="24"/>
          <w:szCs w:val="24"/>
        </w:rPr>
        <w:t xml:space="preserve">Elaborado por: Nixon Cuenca</w:t>
      </w:r>
    </w:p>
    <w:p>
      <w:pPr>
        <w:spacing w:after="60"/>
        <w:jc w:val="center"/>
      </w:pPr>
      <w:r>
        <w:rPr>
          <w:rFonts w:ascii="Calibri" w:cs="Calibri" w:eastAsia="Calibri" w:hAnsi="Calibri"/>
          <w:color w:val="808080"/>
          <w:sz w:val="22"/>
          <w:szCs w:val="22"/>
        </w:rPr>
        <w:t xml:space="preserve">Rol: Equipo de Desarrollo + QA + Líder técnico</w:t>
      </w:r>
    </w:p>
    <w:p>
      <w:pPr>
        <w:spacing w:after="60"/>
        <w:jc w:val="center"/>
      </w:pPr>
      <w:r>
        <w:rPr>
          <w:rFonts w:ascii="Calibri" w:cs="Calibri" w:eastAsia="Calibri" w:hAnsi="Calibri"/>
          <w:sz w:val="22"/>
          <w:szCs w:val="22"/>
        </w:rPr>
        <w:t xml:space="preserve">Fecha: 12 de agosto de 2026</w:t>
      </w:r>
    </w:p>
    <w:p>
      <w:r>
        <w:br w:type="page"/>
      </w:r>
    </w:p>
    <w:p>
      <w:pPr>
        <w:pStyle w:val="Heading1"/>
        <w:spacing w:after="140" w:before="320"/>
      </w:pPr>
      <w:r>
        <w:rPr>
          <w:rFonts w:ascii="Calibri" w:cs="Calibri" w:eastAsia="Calibri" w:hAnsi="Calibri"/>
          <w:b/>
          <w:bCs/>
          <w:color w:val="1F3864"/>
          <w:sz w:val="30"/>
          <w:szCs w:val="30"/>
        </w:rPr>
        <w:t xml:space="preserve">1. Introducción y objetivo</w:t>
      </w:r>
    </w:p>
    <w:p>
      <w:pPr>
        <w:spacing w:after="140" w:line="300"/>
        <w:jc w:val="both"/>
      </w:pPr>
      <w:r>
        <w:rPr>
          <w:rFonts w:ascii="Calibri" w:cs="Calibri" w:eastAsia="Calibri" w:hAnsi="Calibri"/>
          <w:sz w:val="22"/>
          <w:szCs w:val="22"/>
        </w:rPr>
        <w:t xml:space="preserve">El presente documento aplica el proceso de control de configuración sobre el proyecto Sistema de Inventario. El objetivo es gestionar de forma ordenada una solicitud de cambio funcional, analizando su impacto y sus riesgos, definiendo un flujo de seguimiento y dejando evidencia de trazabilidad, de manera que se garantice la estabilidad del proyecto y la calidad del producto entregado.</w:t>
      </w:r>
    </w:p>
    <w:p>
      <w:pPr>
        <w:spacing w:after="140" w:line="300"/>
        <w:jc w:val="both"/>
      </w:pPr>
      <w:r>
        <w:rPr>
          <w:rFonts w:ascii="Calibri" w:cs="Calibri" w:eastAsia="Calibri" w:hAnsi="Calibri"/>
          <w:sz w:val="22"/>
          <w:szCs w:val="22"/>
        </w:rPr>
        <w:t xml:space="preserve">El trabajo se desarrolló como si formáramos parte de un equipo real, cubriendo los roles de desarrollo, aseguramiento de la calidad (QA) y liderazgo técnico. Para dar soporte real a la trazabilidad se utilizó GitHub como herramienta, registrando la solicitud como un Issue, implementando el cambio en una rama con sus commits, ejecutando pruebas automatizadas y publicando finalmente una versión etiquetada (release).</w:t>
      </w:r>
    </w:p>
    <w:p>
      <w:pPr>
        <w:pStyle w:val="Heading1"/>
        <w:spacing w:after="140" w:before="320"/>
      </w:pPr>
      <w:r>
        <w:rPr>
          <w:rFonts w:ascii="Calibri" w:cs="Calibri" w:eastAsia="Calibri" w:hAnsi="Calibri"/>
          <w:b/>
          <w:bCs/>
          <w:color w:val="1F3864"/>
          <w:sz w:val="30"/>
          <w:szCs w:val="30"/>
        </w:rPr>
        <w:t xml:space="preserve">2. Descripción de la solicitud de cambio</w:t>
      </w:r>
    </w:p>
    <w:p>
      <w:pPr>
        <w:spacing w:after="140" w:line="300"/>
        <w:jc w:val="both"/>
      </w:pPr>
      <w:r>
        <w:rPr>
          <w:rFonts w:ascii="Calibri" w:cs="Calibri" w:eastAsia="Calibri" w:hAnsi="Calibri"/>
          <w:sz w:val="22"/>
          <w:szCs w:val="22"/>
        </w:rPr>
        <w:t xml:space="preserve">La solicitud, identificada como CR-004-SEM4-CUENCA-NIXON, corresponde a un cambio de tipo funcional que afecta el alcance del sistema. Fue solicitada por el Product Owner con el respaldo del área de Calidad, con prioridad alta, el día 12 de agosto de 2026.</w:t>
      </w:r>
    </w:p>
    <w:p>
      <w:pPr>
        <w:spacing w:after="140" w:line="300"/>
        <w:jc w:val="both"/>
      </w:pPr>
      <w:r>
        <w:rPr>
          <w:rFonts w:ascii="Calibri" w:cs="Calibri" w:eastAsia="Calibri" w:hAnsi="Calibri"/>
          <w:sz w:val="22"/>
          <w:szCs w:val="22"/>
        </w:rPr>
        <w:t xml:space="preserve">El cambio consiste en agregar dos campos nuevos a los productos del inventario: el número de lote y la fecha de caducidad. Estos dos campos pasan a ser obligatorios únicamente cuando el producto está marcado como perecible; para los productos no perecibles siguen siendo opcionales. Además, tal como exige la condición del caso, el cambio no se limita al registro de productos: debe reflejarse también en los reportes del sistema y en la exportación de datos hacia los formatos CSV y JSON.</w:t>
      </w:r>
    </w:p>
    <w:p>
      <w:pPr>
        <w:spacing w:after="140" w:line="300"/>
        <w:jc w:val="both"/>
      </w:pPr>
      <w:r>
        <w:rPr>
          <w:rFonts w:ascii="Calibri" w:cs="Calibri" w:eastAsia="Calibri" w:hAnsi="Calibri"/>
          <w:sz w:val="22"/>
          <w:szCs w:val="22"/>
        </w:rPr>
        <w:t xml:space="preserve">El motivo del cambio responde a una necesidad de negocio y de cumplimiento. Contar con el lote y la fecha de caducidad permite rastrear productos ante un eventual retiro de mercado, controlar los vencimientos y reducir las pérdidas por producto caducado. Los elementos de configuración afectados por esta solicitud son el requisito o historia de usuario, el diseño del modelo de datos del producto, el código fuente de los módulos de validación, reportes y exportación, el conjunto de pruebas y la documentación del proyecto.</w:t>
      </w:r>
    </w:p>
    <w:p>
      <w:pPr>
        <w:pStyle w:val="Heading1"/>
        <w:spacing w:after="140" w:before="320"/>
      </w:pPr>
      <w:r>
        <w:rPr>
          <w:rFonts w:ascii="Calibri" w:cs="Calibri" w:eastAsia="Calibri" w:hAnsi="Calibri"/>
          <w:b/>
          <w:bCs/>
          <w:color w:val="1F3864"/>
          <w:sz w:val="30"/>
          <w:szCs w:val="30"/>
        </w:rPr>
        <w:t xml:space="preserve">3. Análisis de impacto</w:t>
      </w:r>
    </w:p>
    <w:p>
      <w:pPr>
        <w:spacing w:after="140" w:line="300"/>
        <w:jc w:val="both"/>
      </w:pPr>
      <w:r>
        <w:rPr>
          <w:rFonts w:ascii="Calibri" w:cs="Calibri" w:eastAsia="Calibri" w:hAnsi="Calibri"/>
          <w:sz w:val="22"/>
          <w:szCs w:val="22"/>
        </w:rPr>
        <w:t xml:space="preserve">En cuanto al alcance, el cambio sí modifica el producto entregable: se altera el modelo de datos del producto, la regla de validación y los tres reportes existentes, además de los dos formatos de exportación. Se trata, por tanto, de un cambio transversal aunque acotado.</w:t>
      </w:r>
    </w:p>
    <w:p>
      <w:pPr>
        <w:spacing w:after="140" w:line="300"/>
        <w:jc w:val="both"/>
      </w:pPr>
      <w:r>
        <w:rPr>
          <w:rFonts w:ascii="Calibri" w:cs="Calibri" w:eastAsia="Calibri" w:hAnsi="Calibri"/>
          <w:sz w:val="22"/>
          <w:szCs w:val="22"/>
        </w:rPr>
        <w:t xml:space="preserve">El impacto en tiempo se estima en aproximadamente doce horas de trabajo, es decir, alrededor de dos días laborales, repartidas entre el diseño, el desarrollo, las pruebas y la documentación. El impacto en costo es bajo, ya que no se requieren nuevas licencias ni infraestructura adicional: se trabaja sobre la misma tecnología que ya utiliza el proyecto.</w:t>
      </w:r>
    </w:p>
    <w:p>
      <w:pPr>
        <w:spacing w:after="140" w:line="300"/>
        <w:jc w:val="both"/>
      </w:pPr>
      <w:r>
        <w:rPr>
          <w:rFonts w:ascii="Calibri" w:cs="Calibri" w:eastAsia="Calibri" w:hAnsi="Calibri"/>
          <w:sz w:val="22"/>
          <w:szCs w:val="22"/>
        </w:rPr>
        <w:t xml:space="preserve">Respecto a la calidad, el cambio introduce un riesgo medio para QA, porque obliga a verificar tanto los nuevos comportamientos (un producto perecible que exige lote y fecha) como los comportamientos previos que no deben romperse (los reportes y las exportaciones ya existentes). En el plano de la arquitectura, los componentes afectados son el módulo de dominio, el módulo de reportes y el módulo de exportación, sin que se modifique la arquitectura general del sistema.</w:t>
      </w:r>
    </w:p>
    <w:p>
      <w:pPr>
        <w:spacing w:after="140" w:line="300"/>
        <w:jc w:val="both"/>
      </w:pPr>
      <w:r>
        <w:rPr>
          <w:rFonts w:ascii="Calibri" w:cs="Calibri" w:eastAsia="Calibri" w:hAnsi="Calibri"/>
          <w:sz w:val="22"/>
          <w:szCs w:val="22"/>
        </w:rPr>
        <w:t xml:space="preserve">Desde el punto de vista de la seguridad, el cambio no tiene impacto: no altera los mecanismos de autenticación ni de autorización, y los nuevos campos no constituyen datos personales ni sensibles. Finalmente, en el aspecto operativo, el despliegue es sencillo —se realiza mediante la fusión de la rama y la publicación de una versión etiquetada— y se cuenta con un plan de reversión (rollback) para volver a la versión anterior en caso necesario.</w:t>
      </w:r>
    </w:p>
    <w:p>
      <w:pPr>
        <w:pStyle w:val="Heading1"/>
        <w:spacing w:after="140" w:before="320"/>
      </w:pPr>
      <w:r>
        <w:rPr>
          <w:rFonts w:ascii="Calibri" w:cs="Calibri" w:eastAsia="Calibri" w:hAnsi="Calibri"/>
          <w:b/>
          <w:bCs/>
          <w:color w:val="1F3864"/>
          <w:sz w:val="30"/>
          <w:szCs w:val="30"/>
        </w:rPr>
        <w:t xml:space="preserve">4. Análisis de riesgo</w:t>
      </w:r>
    </w:p>
    <w:p>
      <w:pPr>
        <w:spacing w:after="140" w:line="300"/>
        <w:jc w:val="both"/>
      </w:pPr>
      <w:r>
        <w:rPr>
          <w:rFonts w:ascii="Calibri" w:cs="Calibri" w:eastAsia="Calibri" w:hAnsi="Calibri"/>
          <w:sz w:val="22"/>
          <w:szCs w:val="22"/>
        </w:rPr>
        <w:t xml:space="preserve">Se identificaron cuatro riesgos principales asociados a este cambio, junto con sus medidas de mitigación.</w:t>
      </w:r>
    </w:p>
    <w:p>
      <w:pPr>
        <w:pStyle w:val="ListParagraph"/>
        <w:numPr>
          <w:ilvl w:val="0"/>
          <w:numId w:val="1"/>
        </w:numPr>
        <w:spacing w:after="80" w:line="300"/>
      </w:pPr>
      <w:r>
        <w:rPr>
          <w:rFonts w:ascii="Calibri" w:cs="Calibri" w:eastAsia="Calibri" w:hAnsi="Calibri"/>
          <w:b/>
          <w:bCs/>
          <w:sz w:val="22"/>
          <w:szCs w:val="22"/>
        </w:rPr>
        <w:t xml:space="preserve">Primer riesgo: </w:t>
      </w:r>
      <w:r>
        <w:rPr>
          <w:rFonts w:ascii="Calibri" w:cs="Calibri" w:eastAsia="Calibri" w:hAnsi="Calibri"/>
          <w:sz w:val="22"/>
          <w:szCs w:val="22"/>
        </w:rPr>
        <w:t xml:space="preserve">existe el riesgo de una regresión que rompa los reportes o la exportación existentes al añadir las nuevas columnas. Su probabilidad es media y su impacto alto; se mitiga con pruebas de regresión automatizadas sobre los reportes y las exportaciones, y con la revisión del código antes de fusionarlo.</w:t>
      </w:r>
    </w:p>
    <w:p>
      <w:pPr>
        <w:pStyle w:val="ListParagraph"/>
        <w:numPr>
          <w:ilvl w:val="0"/>
          <w:numId w:val="1"/>
        </w:numPr>
        <w:spacing w:after="80" w:line="300"/>
      </w:pPr>
      <w:r>
        <w:rPr>
          <w:rFonts w:ascii="Calibri" w:cs="Calibri" w:eastAsia="Calibri" w:hAnsi="Calibri"/>
          <w:b/>
          <w:bCs/>
          <w:sz w:val="22"/>
          <w:szCs w:val="22"/>
        </w:rPr>
        <w:t xml:space="preserve">Segundo riesgo: </w:t>
      </w:r>
      <w:r>
        <w:rPr>
          <w:rFonts w:ascii="Calibri" w:cs="Calibri" w:eastAsia="Calibri" w:hAnsi="Calibri"/>
          <w:sz w:val="22"/>
          <w:szCs w:val="22"/>
        </w:rPr>
        <w:t xml:space="preserve">los datos históricos de productos perecibles que aún no tienen lote ni fecha de caducidad podrían fallar la nueva validación. Su probabilidad es alta y su impacto medio; se mitiga aplicando la regla únicamente a las altas y ediciones nuevas y previendo un plan de migración para los registros antiguos, de modo que la simple lectura de datos no dispare la validación.</w:t>
      </w:r>
    </w:p>
    <w:p>
      <w:pPr>
        <w:pStyle w:val="ListParagraph"/>
        <w:numPr>
          <w:ilvl w:val="0"/>
          <w:numId w:val="1"/>
        </w:numPr>
        <w:spacing w:after="80" w:line="300"/>
      </w:pPr>
      <w:r>
        <w:rPr>
          <w:rFonts w:ascii="Calibri" w:cs="Calibri" w:eastAsia="Calibri" w:hAnsi="Calibri"/>
          <w:b/>
          <w:bCs/>
          <w:sz w:val="22"/>
          <w:szCs w:val="22"/>
        </w:rPr>
        <w:t xml:space="preserve">Tercer riesgo: </w:t>
      </w:r>
      <w:r>
        <w:rPr>
          <w:rFonts w:ascii="Calibri" w:cs="Calibri" w:eastAsia="Calibri" w:hAnsi="Calibri"/>
          <w:sz w:val="22"/>
          <w:szCs w:val="22"/>
        </w:rPr>
        <w:t xml:space="preserve">la fecha de caducidad podría capturarse con un formato inválido o inconsistente. Su probabilidad es media y su impacto medio; se mitiga tipando el campo como fecha, validando su tipo en la capa de negocio y cubriéndolo con una prueba unitaria.</w:t>
      </w:r>
    </w:p>
    <w:p>
      <w:pPr>
        <w:pStyle w:val="ListParagraph"/>
        <w:numPr>
          <w:ilvl w:val="0"/>
          <w:numId w:val="1"/>
        </w:numPr>
        <w:spacing w:after="80" w:line="300"/>
      </w:pPr>
      <w:r>
        <w:rPr>
          <w:rFonts w:ascii="Calibri" w:cs="Calibri" w:eastAsia="Calibri" w:hAnsi="Calibri"/>
          <w:b/>
          <w:bCs/>
          <w:sz w:val="22"/>
          <w:szCs w:val="22"/>
        </w:rPr>
        <w:t xml:space="preserve">Cuarto riesgo: </w:t>
      </w:r>
      <w:r>
        <w:rPr>
          <w:rFonts w:ascii="Calibri" w:cs="Calibri" w:eastAsia="Calibri" w:hAnsi="Calibri"/>
          <w:sz w:val="22"/>
          <w:szCs w:val="22"/>
        </w:rPr>
        <w:t xml:space="preserve">podría haber confusión entre productos perecibles y no perecibles, exigiendo campos obligatorios donde no corresponden. Su probabilidad es baja y su impacto medio; se mitiga con una regla condicional que exige los campos solo cuando el producto es perecible, y con casos de prueba para ambos escenarios.</w:t>
      </w:r>
    </w:p>
    <w:p>
      <w:pPr>
        <w:spacing w:after="140" w:line="300"/>
        <w:jc w:val="both"/>
      </w:pPr>
      <w:r>
        <w:rPr>
          <w:rFonts w:ascii="Calibri" w:cs="Calibri" w:eastAsia="Calibri" w:hAnsi="Calibri"/>
          <w:sz w:val="22"/>
          <w:szCs w:val="22"/>
        </w:rPr>
        <w:t xml:space="preserve">En conjunto, el nivel de riesgo global de la solicitud se considera medio y perfectamente controlable mediante pruebas automatizadas y revisión de código.</w:t>
      </w:r>
    </w:p>
    <w:p>
      <w:pPr>
        <w:pStyle w:val="Heading1"/>
        <w:spacing w:after="140" w:before="320"/>
      </w:pPr>
      <w:r>
        <w:rPr>
          <w:rFonts w:ascii="Calibri" w:cs="Calibri" w:eastAsia="Calibri" w:hAnsi="Calibri"/>
          <w:b/>
          <w:bCs/>
          <w:color w:val="1F3864"/>
          <w:sz w:val="30"/>
          <w:szCs w:val="30"/>
        </w:rPr>
        <w:t xml:space="preserve">5. Decisión</w:t>
      </w:r>
    </w:p>
    <w:p>
      <w:pPr>
        <w:spacing w:after="140" w:line="300"/>
        <w:jc w:val="both"/>
      </w:pPr>
      <w:r>
        <w:rPr>
          <w:rFonts w:ascii="Calibri" w:cs="Calibri" w:eastAsia="Calibri" w:hAnsi="Calibri"/>
          <w:b w:val="false"/>
          <w:bCs w:val="false"/>
          <w:i w:val="false"/>
          <w:iCs w:val="false"/>
          <w:sz w:val="22"/>
          <w:szCs w:val="22"/>
        </w:rPr>
        <w:t xml:space="preserve">La decisión adoptada por el Comité de Control de Cambios (CCB), junto con el Product Owner, fue </w:t>
      </w:r>
      <w:r>
        <w:rPr>
          <w:rFonts w:ascii="Calibri" w:cs="Calibri" w:eastAsia="Calibri" w:hAnsi="Calibri"/>
          <w:b/>
          <w:bCs/>
          <w:i w:val="false"/>
          <w:iCs w:val="false"/>
          <w:sz w:val="22"/>
          <w:szCs w:val="22"/>
        </w:rPr>
        <w:t xml:space="preserve">APROBAR</w:t>
      </w:r>
      <w:r>
        <w:rPr>
          <w:rFonts w:ascii="Calibri" w:cs="Calibri" w:eastAsia="Calibri" w:hAnsi="Calibri"/>
          <w:b w:val="false"/>
          <w:bCs w:val="false"/>
          <w:i w:val="false"/>
          <w:iCs w:val="false"/>
          <w:sz w:val="22"/>
          <w:szCs w:val="22"/>
        </w:rPr>
        <w:t xml:space="preserve"> la solicitud.</w:t>
      </w:r>
    </w:p>
    <w:p>
      <w:pPr>
        <w:spacing w:after="140" w:line="300"/>
        <w:jc w:val="both"/>
      </w:pPr>
      <w:r>
        <w:rPr>
          <w:rFonts w:ascii="Calibri" w:cs="Calibri" w:eastAsia="Calibri" w:hAnsi="Calibri"/>
          <w:sz w:val="22"/>
          <w:szCs w:val="22"/>
        </w:rPr>
        <w:t xml:space="preserve">La justificación técnica es la siguiente: se trata de un cambio de bajo costo, sin impacto en la seguridad ni en la arquitectura, que aporta un valor directo al negocio a través de la trazabilidad de lotes y el control de caducidad. Los riesgos identificados son de severidad media y quedan razonablemente cubiertos por las pruebas automatizadas, por la regla de validación condicional y por el plan previsto para los datos históricos. Por todo ello se aprobó su implementación inmediata bajo control de versiones, condicionada a que exista cobertura de pruebas para el producto perecible con y sin campos, a que la regresión de reportes y exportación resulte satisfactoria, y a que se documente el plan de reversión.</w:t>
      </w:r>
    </w:p>
    <w:p>
      <w:pPr>
        <w:pStyle w:val="Heading1"/>
        <w:spacing w:after="140" w:before="320"/>
      </w:pPr>
      <w:r>
        <w:rPr>
          <w:rFonts w:ascii="Calibri" w:cs="Calibri" w:eastAsia="Calibri" w:hAnsi="Calibri"/>
          <w:b/>
          <w:bCs/>
          <w:color w:val="1F3864"/>
          <w:sz w:val="30"/>
          <w:szCs w:val="30"/>
        </w:rPr>
        <w:t xml:space="preserve">6. Plan de implementación</w:t>
      </w:r>
    </w:p>
    <w:p>
      <w:pPr>
        <w:spacing w:after="140" w:line="300"/>
        <w:jc w:val="both"/>
      </w:pPr>
      <w:r>
        <w:rPr>
          <w:rFonts w:ascii="Calibri" w:cs="Calibri" w:eastAsia="Calibri" w:hAnsi="Calibri"/>
          <w:sz w:val="22"/>
          <w:szCs w:val="22"/>
        </w:rPr>
        <w:t xml:space="preserve">La implementación se organizó en una secuencia de pasos con responsables y evidencias definidas. En primer lugar, el Product Owner registró la solicitud como un Issue en GitHub. A continuación, el equipo de desarrollo creó una rama de trabajo a partir de la línea principal y, sobre ella, añadió los campos de lote y fecha de caducidad al modelo del producto e incorporó la regla de validación condicional para los productos perecibles.</w:t>
      </w:r>
    </w:p>
    <w:p>
      <w:pPr>
        <w:spacing w:after="140" w:line="300"/>
        <w:jc w:val="both"/>
      </w:pPr>
      <w:r>
        <w:rPr>
          <w:rFonts w:ascii="Calibri" w:cs="Calibri" w:eastAsia="Calibri" w:hAnsi="Calibri"/>
          <w:sz w:val="22"/>
          <w:szCs w:val="22"/>
        </w:rPr>
        <w:t xml:space="preserve">Seguidamente se reflejaron los nuevos campos en los reportes del sistema y en la exportación a CSV y JSON. El equipo de QA y desarrollo elaboró las pruebas unitarias y de regresión correspondientes, que se ejecutaron con resultado satisfactorio. Con el trabajo terminado se abrió la solicitud de fusión (Pull Request) vinculada al Issue, el líder técnico revisó y aprobó los cambios, y finalmente se realizó la fusión y se publicó la versión etiquetada v1.1.0. El cierre de la solicitud quedó respaldado por el release publicado y por el Issue correspondiente.</w:t>
      </w:r>
    </w:p>
    <w:p>
      <w:pPr>
        <w:pStyle w:val="Heading2"/>
        <w:spacing w:after="100" w:before="220"/>
      </w:pPr>
      <w:r>
        <w:rPr>
          <w:rFonts w:ascii="Calibri" w:cs="Calibri" w:eastAsia="Calibri" w:hAnsi="Calibri"/>
          <w:b/>
          <w:bCs/>
          <w:color w:val="1F3864"/>
          <w:sz w:val="26"/>
          <w:szCs w:val="26"/>
        </w:rPr>
        <w:t xml:space="preserve">Plan de reversión (rollback)</w:t>
      </w:r>
    </w:p>
    <w:p>
      <w:pPr>
        <w:spacing w:after="140" w:line="300"/>
        <w:jc w:val="both"/>
      </w:pPr>
      <w:r>
        <w:rPr>
          <w:rFonts w:ascii="Calibri" w:cs="Calibri" w:eastAsia="Calibri" w:hAnsi="Calibri"/>
          <w:sz w:val="22"/>
          <w:szCs w:val="22"/>
        </w:rPr>
        <w:t xml:space="preserve">En caso de que el cambio provocara un fallo en producción, el plan de reversión consiste en identificar la última versión estable previa (v1.0.0), revertir la fusión del Pull Request o desplegar nuevamente esa versión etiquetada, verificar el correcto funcionamiento de los reportes y la exportación mediante las pruebas de regresión, y finalmente comunicar la reversión a los interesados dejando constancia en la solicitud de cambio.</w:t>
      </w:r>
    </w:p>
    <w:p>
      <w:pPr>
        <w:pStyle w:val="Heading1"/>
        <w:spacing w:after="140" w:before="320"/>
      </w:pPr>
      <w:r>
        <w:rPr>
          <w:rFonts w:ascii="Calibri" w:cs="Calibri" w:eastAsia="Calibri" w:hAnsi="Calibri"/>
          <w:b/>
          <w:bCs/>
          <w:color w:val="1F3864"/>
          <w:sz w:val="30"/>
          <w:szCs w:val="30"/>
        </w:rPr>
        <w:t xml:space="preserve">7. Seguimiento del cambio (flujo de trabajo)</w:t>
      </w:r>
    </w:p>
    <w:p>
      <w:pPr>
        <w:spacing w:after="140" w:line="300"/>
        <w:jc w:val="both"/>
      </w:pPr>
      <w:r>
        <w:rPr>
          <w:rFonts w:ascii="Calibri" w:cs="Calibri" w:eastAsia="Calibri" w:hAnsi="Calibri"/>
          <w:sz w:val="22"/>
          <w:szCs w:val="22"/>
        </w:rPr>
        <w:t xml:space="preserve">El cambio se controló mediante un flujo de estados en el que cada etapa solo avanza cuando presenta su evidencia de salida. La solicitud comienza en estado Registrado, cuando el solicitante crea la CR con una descripción completa. Pasa luego a En análisis, momento en el que el líder técnico y QA documentan el impacto y los riesgos. A continuación se alcanza el estado Aprobado (o, en su caso, Rechazado o Diferido), respaldado por la decisión con su justificación técnica.</w:t>
      </w:r>
    </w:p>
    <w:p>
      <w:pPr>
        <w:spacing w:after="140" w:line="300"/>
        <w:jc w:val="both"/>
      </w:pPr>
      <w:r>
        <w:rPr>
          <w:rFonts w:ascii="Calibri" w:cs="Calibri" w:eastAsia="Calibri" w:hAnsi="Calibri"/>
          <w:sz w:val="22"/>
          <w:szCs w:val="22"/>
        </w:rPr>
        <w:t xml:space="preserve">Una vez aprobado, el cambio entra en el estado En implementación, en el que el desarrollo trabaja en una rama con commits vinculados a la solicitud. Después se pasa al estado Verificado, cuando QA confirma que las pruebas resultan satisfactorias y se cumple la lista de comprobación. Por último, el cambio se da por Cerrado cuando existe la versión etiquetada con sus notas y el Issue queda cerrado. El control del flujo se apoya en que la solicitud de fusión no se integra sin pruebas verdes ni revisión aprobada, y en que la solicitud no se cierra sin su release publicado.</w:t>
      </w:r>
    </w:p>
    <w:p>
      <w:pPr>
        <w:spacing w:after="140" w:line="300"/>
        <w:jc w:val="both"/>
      </w:pPr>
      <w:r>
        <w:rPr>
          <w:rFonts w:ascii="Calibri" w:cs="Calibri" w:eastAsia="Calibri" w:hAnsi="Calibri"/>
          <w:b/>
          <w:bCs/>
          <w:i w:val="false"/>
          <w:iCs w:val="false"/>
          <w:sz w:val="22"/>
          <w:szCs w:val="22"/>
        </w:rPr>
        <w:t xml:space="preserve">Flujo de estados:  </w:t>
      </w:r>
      <w:r>
        <w:rPr>
          <w:rFonts w:ascii="Calibri" w:cs="Calibri" w:eastAsia="Calibri" w:hAnsi="Calibri"/>
          <w:b w:val="false"/>
          <w:bCs w:val="false"/>
          <w:i/>
          <w:iCs/>
          <w:sz w:val="22"/>
          <w:szCs w:val="22"/>
        </w:rPr>
        <w:t xml:space="preserve">Registrado → En análisis → Aprobado → En implementación → Verificado → Cerrado</w:t>
      </w:r>
      <w:r>
        <w:rPr>
          <w:rFonts w:ascii="Calibri" w:cs="Calibri" w:eastAsia="Calibri" w:hAnsi="Calibri"/>
          <w:b w:val="false"/>
          <w:bCs w:val="false"/>
          <w:i/>
          <w:iCs/>
          <w:sz w:val="22"/>
          <w:szCs w:val="22"/>
        </w:rPr>
        <w:t xml:space="preserve">   (con salida alternativa a Rechazado / Diferido tras el análisis).</w:t>
      </w:r>
    </w:p>
    <w:p>
      <w:pPr>
        <w:pStyle w:val="Heading1"/>
        <w:spacing w:after="140" w:before="320"/>
      </w:pPr>
      <w:r>
        <w:rPr>
          <w:rFonts w:ascii="Calibri" w:cs="Calibri" w:eastAsia="Calibri" w:hAnsi="Calibri"/>
          <w:b/>
          <w:bCs/>
          <w:color w:val="1F3864"/>
          <w:sz w:val="30"/>
          <w:szCs w:val="30"/>
        </w:rPr>
        <w:t xml:space="preserve">8. Trazabilidad</w:t>
      </w:r>
    </w:p>
    <w:p>
      <w:pPr>
        <w:spacing w:after="140" w:line="300"/>
        <w:jc w:val="both"/>
      </w:pPr>
      <w:r>
        <w:rPr>
          <w:rFonts w:ascii="Calibri" w:cs="Calibri" w:eastAsia="Calibri" w:hAnsi="Calibri"/>
          <w:sz w:val="22"/>
          <w:szCs w:val="22"/>
        </w:rPr>
        <w:t xml:space="preserve">La trazabilidad de la solicitud CR-004-SEM4-CUENCA-NIXON quedó establecida enlazando la solicitud con cada uno de sus artefactos. El requisito o historia de usuario está representado por el Issue número 1 abierto en el repositorio. El diseño y el código se encuentran en los módulos del producto, la validación, los reportes y la exportación, dentro de los commits de la rama de trabajo. Las pruebas están contenidas en el archivo de pruebas del proyecto, con un resultado de ocho casos superados. Y la versión final se materializa en la etiqueta v1.1.0 junto con sus notas de versión y el registro de cambios.</w:t>
      </w:r>
    </w:p>
    <w:p>
      <w:pPr>
        <w:spacing w:after="140" w:line="300"/>
        <w:jc w:val="both"/>
      </w:pPr>
      <w:r>
        <w:rPr>
          <w:rFonts w:ascii="Calibri" w:cs="Calibri" w:eastAsia="Calibri" w:hAnsi="Calibri"/>
          <w:sz w:val="22"/>
          <w:szCs w:val="22"/>
        </w:rPr>
        <w:t xml:space="preserve">De este modo, partiendo de la solicitud de cambio es posible llegar al requisito, al código que lo implementa, a las pruebas que lo verifican y a la versión que lo entrega, cerrando así el ciclo completo de trazabilidad exigido.</w:t>
      </w:r>
    </w:p>
    <w:p>
      <w:r>
        <w:br w:type="page"/>
      </w:r>
    </w:p>
    <w:p>
      <w:pPr>
        <w:pStyle w:val="Heading1"/>
        <w:spacing w:after="140" w:before="320"/>
      </w:pPr>
      <w:r>
        <w:rPr>
          <w:rFonts w:ascii="Calibri" w:cs="Calibri" w:eastAsia="Calibri" w:hAnsi="Calibri"/>
          <w:b/>
          <w:bCs/>
          <w:color w:val="1F3864"/>
          <w:sz w:val="30"/>
          <w:szCs w:val="30"/>
        </w:rPr>
        <w:t xml:space="preserve">9. Evidencias (capturas de pantalla)</w:t>
      </w:r>
    </w:p>
    <w:p>
      <w:pPr>
        <w:spacing w:after="140" w:line="300"/>
        <w:jc w:val="left"/>
      </w:pPr>
      <w:r>
        <w:rPr>
          <w:rFonts w:ascii="Calibri" w:cs="Calibri" w:eastAsia="Calibri" w:hAnsi="Calibri"/>
          <w:sz w:val="22"/>
          <w:szCs w:val="22"/>
        </w:rPr>
        <w:t xml:space="preserve">A continuación se dejan los espacios para insertar las capturas de pantalla que evidencian la gestión del cambio en la herramienta. Basta con pegar cada imagen dentro del recuadro correspondiente.</w:t>
      </w:r>
    </w:p>
    <w:p>
      <w:pPr>
        <w:pStyle w:val="Heading2"/>
        <w:spacing w:after="100" w:before="220"/>
      </w:pPr>
      <w:r>
        <w:rPr>
          <w:rFonts w:ascii="Calibri" w:cs="Calibri" w:eastAsia="Calibri" w:hAnsi="Calibri"/>
          <w:b/>
          <w:bCs/>
          <w:color w:val="1F3864"/>
          <w:sz w:val="26"/>
          <w:szCs w:val="26"/>
        </w:rPr>
        <w:t xml:space="preserve">9.1. Solicitud de cambio registrada como Issue</w:t>
      </w:r>
    </w:p>
    <w:p>
      <w:pPr>
        <w:spacing w:after="140" w:line="300"/>
        <w:jc w:val="left"/>
      </w:pPr>
      <w:r>
        <w:rPr>
          <w:rFonts w:ascii="Calibri" w:cs="Calibri" w:eastAsia="Calibri" w:hAnsi="Calibri"/>
          <w:sz w:val="22"/>
          <w:szCs w:val="22"/>
        </w:rPr>
        <w:t xml:space="preserve">Issue #1 del repositorio, donde se registró la solicitud CR-004 con su descripción, decisión y lista de seguimiento.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5B1" w:sz="6"/>
              <w:left w:val="dashed" w:color="9AA5B1" w:sz="6"/>
              <w:bottom w:val="dashed" w:color="9AA5B1" w:sz="6"/>
              <w:right w:val="dashed" w:color="9AA5B1" w:sz="6"/>
            </w:tcBorders>
            <w:shd w:fill="F4F6F8" w:val="clear"/>
            <w:tcMar>
              <w:top w:type="dxa" w:w="120"/>
              <w:left w:type="dxa" w:w="160"/>
              <w:bottom w:type="dxa" w:w="120"/>
              <w:right w:type="dxa" w:w="160"/>
            </w:tcMar>
          </w:tcPr>
          <w:p>
            <w:pPr>
              <w:spacing w:after="40"/>
              <w:jc w:val="center"/>
            </w:pPr>
            <w:r>
              <w:rPr>
                <w:rFonts w:ascii="Calibri" w:cs="Calibri" w:eastAsia="Calibri" w:hAnsi="Calibri"/>
                <w:i/>
                <w:iCs/>
                <w:color w:val="808080"/>
                <w:sz w:val="20"/>
                <w:szCs w:val="20"/>
              </w:rPr>
              <w:t xml:space="preserve">[ Inserte aquí la captura del Issue #1 ]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tc>
      </w:tr>
    </w:tbl>
    <w:p>
      <w:pPr>
        <w:spacing w:after="120"/>
      </w:pPr>
      <w:r>
        <w:t xml:space="preserve"> </w:t>
      </w:r>
    </w:p>
    <w:p>
      <w:pPr>
        <w:pStyle w:val="Heading2"/>
        <w:spacing w:after="100" w:before="220"/>
      </w:pPr>
      <w:r>
        <w:rPr>
          <w:rFonts w:ascii="Calibri" w:cs="Calibri" w:eastAsia="Calibri" w:hAnsi="Calibri"/>
          <w:b/>
          <w:bCs/>
          <w:color w:val="1F3864"/>
          <w:sz w:val="26"/>
          <w:szCs w:val="26"/>
        </w:rPr>
        <w:t xml:space="preserve">9.2. Implementación: commits en la rama de trabajo</w:t>
      </w:r>
    </w:p>
    <w:p>
      <w:pPr>
        <w:spacing w:after="140" w:line="300"/>
        <w:jc w:val="left"/>
      </w:pPr>
      <w:r>
        <w:rPr>
          <w:rFonts w:ascii="Calibri" w:cs="Calibri" w:eastAsia="Calibri" w:hAnsi="Calibri"/>
          <w:sz w:val="22"/>
          <w:szCs w:val="22"/>
        </w:rPr>
        <w:t xml:space="preserve">Historial de commits vinculados al cambio en la rama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5B1" w:sz="6"/>
              <w:left w:val="dashed" w:color="9AA5B1" w:sz="6"/>
              <w:bottom w:val="dashed" w:color="9AA5B1" w:sz="6"/>
              <w:right w:val="dashed" w:color="9AA5B1" w:sz="6"/>
            </w:tcBorders>
            <w:shd w:fill="F4F6F8" w:val="clear"/>
            <w:tcMar>
              <w:top w:type="dxa" w:w="120"/>
              <w:left w:type="dxa" w:w="160"/>
              <w:bottom w:type="dxa" w:w="120"/>
              <w:right w:type="dxa" w:w="160"/>
            </w:tcMar>
          </w:tcPr>
          <w:p>
            <w:pPr>
              <w:spacing w:after="40"/>
              <w:jc w:val="center"/>
            </w:pPr>
            <w:r>
              <w:rPr>
                <w:rFonts w:ascii="Calibri" w:cs="Calibri" w:eastAsia="Calibri" w:hAnsi="Calibri"/>
                <w:i/>
                <w:iCs/>
                <w:color w:val="808080"/>
                <w:sz w:val="20"/>
                <w:szCs w:val="20"/>
              </w:rPr>
              <w:t xml:space="preserve">[ Inserte aquí la captura de los commits / la rama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tc>
      </w:tr>
    </w:tbl>
    <w:p>
      <w:pPr>
        <w:spacing w:after="120"/>
      </w:pPr>
      <w:r>
        <w:t xml:space="preserve"> </w:t>
      </w:r>
    </w:p>
    <w:p>
      <w:pPr>
        <w:pStyle w:val="Heading2"/>
        <w:spacing w:after="100" w:before="220"/>
      </w:pPr>
      <w:r>
        <w:rPr>
          <w:rFonts w:ascii="Calibri" w:cs="Calibri" w:eastAsia="Calibri" w:hAnsi="Calibri"/>
          <w:b/>
          <w:bCs/>
          <w:color w:val="1F3864"/>
          <w:sz w:val="26"/>
          <w:szCs w:val="26"/>
        </w:rPr>
        <w:t xml:space="preserve">9.3. Verificación: resultado de las pruebas</w:t>
      </w:r>
    </w:p>
    <w:p>
      <w:pPr>
        <w:spacing w:after="140" w:line="300"/>
        <w:jc w:val="left"/>
      </w:pPr>
      <w:r>
        <w:rPr>
          <w:rFonts w:ascii="Calibri" w:cs="Calibri" w:eastAsia="Calibri" w:hAnsi="Calibri"/>
          <w:sz w:val="22"/>
          <w:szCs w:val="22"/>
        </w:rPr>
        <w:t xml:space="preserve">Ejecución de las pruebas automatizadas con resultado satisfactorio (8 casos superados).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5B1" w:sz="6"/>
              <w:left w:val="dashed" w:color="9AA5B1" w:sz="6"/>
              <w:bottom w:val="dashed" w:color="9AA5B1" w:sz="6"/>
              <w:right w:val="dashed" w:color="9AA5B1" w:sz="6"/>
            </w:tcBorders>
            <w:shd w:fill="F4F6F8" w:val="clear"/>
            <w:tcMar>
              <w:top w:type="dxa" w:w="120"/>
              <w:left w:type="dxa" w:w="160"/>
              <w:bottom w:type="dxa" w:w="120"/>
              <w:right w:type="dxa" w:w="160"/>
            </w:tcMar>
          </w:tcPr>
          <w:p>
            <w:pPr>
              <w:spacing w:after="40"/>
              <w:jc w:val="center"/>
            </w:pPr>
            <w:r>
              <w:rPr>
                <w:rFonts w:ascii="Calibri" w:cs="Calibri" w:eastAsia="Calibri" w:hAnsi="Calibri"/>
                <w:i/>
                <w:iCs/>
                <w:color w:val="808080"/>
                <w:sz w:val="20"/>
                <w:szCs w:val="20"/>
              </w:rPr>
              <w:t xml:space="preserve">[ Inserte aquí la captura del resultado de las pruebas (8 passed)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tc>
      </w:tr>
    </w:tbl>
    <w:p>
      <w:pPr>
        <w:spacing w:after="120"/>
      </w:pPr>
      <w:r>
        <w:t xml:space="preserve"> </w:t>
      </w:r>
    </w:p>
    <w:p>
      <w:pPr>
        <w:pStyle w:val="Heading2"/>
        <w:spacing w:after="100" w:before="220"/>
      </w:pPr>
      <w:r>
        <w:rPr>
          <w:rFonts w:ascii="Calibri" w:cs="Calibri" w:eastAsia="Calibri" w:hAnsi="Calibri"/>
          <w:b/>
          <w:bCs/>
          <w:color w:val="1F3864"/>
          <w:sz w:val="26"/>
          <w:szCs w:val="26"/>
        </w:rPr>
        <w:t xml:space="preserve">9.4. Cierre: versión publicada (release / tag)</w:t>
      </w:r>
    </w:p>
    <w:p>
      <w:pPr>
        <w:spacing w:after="140" w:line="300"/>
        <w:jc w:val="left"/>
      </w:pPr>
      <w:r>
        <w:rPr>
          <w:rFonts w:ascii="Calibri" w:cs="Calibri" w:eastAsia="Calibri" w:hAnsi="Calibri"/>
          <w:sz w:val="22"/>
          <w:szCs w:val="22"/>
        </w:rPr>
        <w:t xml:space="preserve">Versión v1.1.0 publicada como release y marcada como la más reciente (Latest).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5B1" w:sz="6"/>
              <w:left w:val="dashed" w:color="9AA5B1" w:sz="6"/>
              <w:bottom w:val="dashed" w:color="9AA5B1" w:sz="6"/>
              <w:right w:val="dashed" w:color="9AA5B1" w:sz="6"/>
            </w:tcBorders>
            <w:shd w:fill="F4F6F8" w:val="clear"/>
            <w:tcMar>
              <w:top w:type="dxa" w:w="120"/>
              <w:left w:type="dxa" w:w="160"/>
              <w:bottom w:type="dxa" w:w="120"/>
              <w:right w:type="dxa" w:w="160"/>
            </w:tcMar>
          </w:tcPr>
          <w:p>
            <w:pPr>
              <w:spacing w:after="40"/>
              <w:jc w:val="center"/>
            </w:pPr>
            <w:r>
              <w:rPr>
                <w:rFonts w:ascii="Calibri" w:cs="Calibri" w:eastAsia="Calibri" w:hAnsi="Calibri"/>
                <w:i/>
                <w:iCs/>
                <w:color w:val="808080"/>
                <w:sz w:val="20"/>
                <w:szCs w:val="20"/>
              </w:rPr>
              <w:t xml:space="preserve">[ Inserte aquí la captura del Release v1.1.0 ]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tc>
      </w:tr>
    </w:tbl>
    <w:p>
      <w:pPr>
        <w:spacing w:after="120"/>
      </w:pPr>
      <w:r>
        <w:t xml:space="preserve"> </w:t>
      </w:r>
    </w:p>
    <w:p>
      <w:pPr>
        <w:pStyle w:val="Heading1"/>
        <w:spacing w:after="140" w:before="320"/>
      </w:pPr>
      <w:r>
        <w:rPr>
          <w:rFonts w:ascii="Calibri" w:cs="Calibri" w:eastAsia="Calibri" w:hAnsi="Calibri"/>
          <w:b/>
          <w:bCs/>
          <w:color w:val="1F3864"/>
          <w:sz w:val="30"/>
          <w:szCs w:val="30"/>
        </w:rPr>
        <w:t xml:space="preserve">10. Conclusión</w:t>
      </w:r>
    </w:p>
    <w:p>
      <w:pPr>
        <w:spacing w:after="140" w:line="300"/>
        <w:jc w:val="both"/>
      </w:pPr>
      <w:r>
        <w:rPr>
          <w:rFonts w:ascii="Calibri" w:cs="Calibri" w:eastAsia="Calibri" w:hAnsi="Calibri"/>
          <w:sz w:val="22"/>
          <w:szCs w:val="22"/>
        </w:rPr>
        <w:t xml:space="preserve">La aplicación del proceso de control de configuración permitió gestionar el cambio funcional solicitado de manera ordenada y trazable. Se elaboró la solicitud de cambio, se analizaron su impacto y sus riesgos, se tomó una decisión fundamentada, se definió un plan de implementación con su correspondiente plan de reversión, se estableció un flujo de seguimiento por estados y se dejó evidencia de trazabilidad que enlaza la solicitud con el requisito, el código, las pruebas y la versión entregada. De esta forma se contribuye a garantizar la estabilidad del proyecto y la calidad del producto, que era el objetivo planteado.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4 - Control de Configuracion - CR-004</dc:title>
  <dc:creator>Nixon Cuenca</dc:creator>
  <cp:lastModifiedBy>Un-named</cp:lastModifiedBy>
  <cp:revision>1</cp:revision>
  <dcterms:created xsi:type="dcterms:W3CDTF">2026-08-12T03:11:13.984Z</dcterms:created>
  <dcterms:modified xsi:type="dcterms:W3CDTF">2026-08-12T03:11:13.984Z</dcterms:modified>
</cp:coreProperties>
</file>

<file path=docProps/custom.xml><?xml version="1.0" encoding="utf-8"?>
<Properties xmlns="http://schemas.openxmlformats.org/officeDocument/2006/custom-properties" xmlns:vt="http://schemas.openxmlformats.org/officeDocument/2006/docPropsVTypes"/>
</file>