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svg" ContentType="image/svg+xml"/>
  <Override PartName="/word/media/rId53.svg" ContentType="image/svg+xml"/>
  <Override PartName="/word/media/rId65.svg" ContentType="image/svg+xml"/>
  <Override PartName="/word/media/rId48.svg" ContentType="image/svg+xml"/>
  <Override PartName="/word/media/rId2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w:body>
    <w:bookmarkStart w:id="20" w:name="original-paper"/>
    <w:p>
      <w:pPr>
        <w:pStyle w:val="Heading2"/>
      </w:pPr>
      <w:r>
        <w:t xml:space="preserve">Original Paper</w:t>
      </w:r>
    </w:p>
    <w:bookmarkEnd w:id="20"/>
    <w:bookmarkStart w:id="221" w:name="Xb0a100bcd5c2d029ed21b1f2e717aceebd65656"/>
    <w:p>
      <w:pPr>
        <w:pStyle w:val="Heading1"/>
      </w:pPr>
      <w:r>
        <w:t xml:space="preserve">AI-generated versus human supervisor feedback on medical students’ clinical clerkship logs: convergent mixed methods study</w:t>
      </w:r>
    </w:p>
    <w:p>
      <w:pPr>
        <w:pStyle w:val="FirstParagraph"/>
      </w:pPr>
      <w:r>
        <w:t xml:space="preserve">Takeshi Kondo ,MD, MHPE, PhD; Jeroen Donkers, PhD; Hiroshi Nishigori, MD, MMEd, PhD; Sanne Rovers, PhD; Sylvia Heeneman, PhD</w:t>
      </w:r>
    </w:p>
    <w:p>
      <w:pPr>
        <w:pStyle w:val="BodyText"/>
      </w:pPr>
      <w:r>
        <w:t xml:space="preserve">Corresponding author:</w:t>
      </w:r>
      <w:r>
        <w:t xml:space="preserve"> </w:t>
      </w:r>
      <w:r>
        <w:t xml:space="preserve">Takeshi Kondo, MD, MHPE, PhD</w:t>
      </w:r>
      <w:r>
        <w:t xml:space="preserve"> </w:t>
      </w:r>
      <w:r>
        <w:t xml:space="preserve">Department of General Medicine/Family &amp; Community Medicine, Nagoya University Graduate School of Medicine, Nagoya, Japan</w:t>
      </w:r>
      <w:r>
        <w:t xml:space="preserve"> </w:t>
      </w:r>
      <w:r>
        <w:t xml:space="preserve">65, Tsurumai-cho, Showa-ku,</w:t>
      </w:r>
      <w:r>
        <w:t xml:space="preserve"> </w:t>
      </w:r>
      <w:r>
        <w:t xml:space="preserve">Nagoya-city, Aichi,</w:t>
      </w:r>
      <w:r>
        <w:t xml:space="preserve"> </w:t>
      </w:r>
      <w:r>
        <w:t xml:space="preserve"> </w:t>
      </w:r>
      <w:r>
        <w:t xml:space="preserve">Japan</w:t>
      </w:r>
      <w:r>
        <w:t xml:space="preserve"> </w:t>
      </w:r>
      <w:r>
        <w:t xml:space="preserve"> </w:t>
      </w:r>
      <w:r>
        <w:t xml:space="preserve">E-mail: ncukondo@gmail.com;</w:t>
      </w:r>
      <w:r>
        <w:t xml:space="preserve"> </w:t>
      </w:r>
      <w:r>
        <w:t xml:space="preserve"> </w:t>
      </w:r>
      <w:r>
        <w:t xml:space="preserve">Tel: +81-52-741-2111</w:t>
      </w:r>
      <w:r>
        <w:t xml:space="preserve"> </w:t>
      </w:r>
      <w:r>
        <w:t xml:space="preserve">Fax: +81-52-741-2111</w:t>
      </w:r>
      <w:r>
        <w:t xml:space="preserve"> </w:t>
      </w:r>
      <w:r>
        <w:t xml:space="preserve">ORCID ID: https://orcid.org/0000-0002-3307-671X</w:t>
      </w:r>
    </w:p>
    <w:bookmarkStart w:id="21" w:name="abstract"/>
    <w:p>
      <w:pPr>
        <w:pStyle w:val="Heading2"/>
      </w:pPr>
      <w:r>
        <w:t xml:space="preserve">Abstract</w:t>
      </w:r>
    </w:p>
    <w:p>
      <w:pPr>
        <w:pStyle w:val="FirstParagraph"/>
      </w:pPr>
      <w:r>
        <w:rPr>
          <w:b/>
          <w:bCs/>
        </w:rPr>
        <w:t xml:space="preserve">Background:</w:t>
      </w:r>
      <w:r>
        <w:t xml:space="preserve"> </w:t>
      </w:r>
      <w:r>
        <w:t xml:space="preserve">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pPr>
        <w:pStyle w:val="BodyText"/>
      </w:pPr>
      <w:r>
        <w:rPr>
          <w:b/>
          <w:bCs/>
        </w:rPr>
        <w:t xml:space="preserve">Objective:</w:t>
      </w:r>
      <w:r>
        <w:t xml:space="preserve"> </w:t>
      </w:r>
      <w:r>
        <w:t xml:space="preserve">To examine how AI-generated feedback and supervisor-provided feedback differ when applied to medical students’ clinical clerkship logs, by identifying the distinct characteristics and complementary strengths of each feedback type.</w:t>
      </w:r>
    </w:p>
    <w:p>
      <w:pPr>
        <w:pStyle w:val="BodyText"/>
      </w:pPr>
      <w:r>
        <w:rPr>
          <w:b/>
          <w:bCs/>
        </w:rPr>
        <w:t xml:space="preserve">Methods:</w:t>
      </w:r>
      <w:r>
        <w:t xml:space="preserve"> </w:t>
      </w:r>
      <w:r>
        <w:t xml:space="preserve">This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(criteria-based, clear direction, accuracy, prioritization, supportive tone), followed by open-ended comments and source identification. Quantitative analyses (paired t-tests, cumulative link mixed models; α = .05 with Bonferroni correction) were complemented by qualitative thematic analysis and integrated using Joint Display Analysis.</w:t>
      </w:r>
    </w:p>
    <w:p>
      <w:pPr>
        <w:pStyle w:val="BodyText"/>
      </w:pPr>
      <w:r>
        <w:rPr>
          <w:b/>
          <w:bCs/>
        </w:rPr>
        <w:t xml:space="preserve">Results:</w:t>
      </w:r>
      <w:r>
        <w:t xml:space="preserve"> </w:t>
      </w:r>
      <w:r>
        <w:t xml:space="preserve">AI feedback was significantly longer than supervisor feedback (mean 382 vs 98 characters; Cohen</w:t>
      </w:r>
      <w:r>
        <w:t xml:space="preserve"> </w:t>
      </w:r>
      <w:r>
        <w:rPr>
          <w:i/>
          <w:iCs/>
        </w:rPr>
        <w:t xml:space="preserve">d</w:t>
      </w:r>
      <w:r>
        <w:t xml:space="preserve">=2.84, 95% CI 2.50–3.19;</w:t>
      </w:r>
      <w:r>
        <w:t xml:space="preserve"> </w:t>
      </w:r>
      <w:r>
        <w:rPr>
          <w:i/>
          <w:iCs/>
        </w:rPr>
        <w:t xml:space="preserve">P</w:t>
      </w:r>
      <w:r>
        <w:t xml:space="preserve">&lt;.001). Cumulative link mixed models showed AI scored higher on criteria-based (OR 11.81, 95% CI 7.64–18.27;</w:t>
      </w:r>
      <w:r>
        <w:t xml:space="preserve"> </w:t>
      </w:r>
      <w:r>
        <w:rPr>
          <w:i/>
          <w:iCs/>
        </w:rPr>
        <w:t xml:space="preserve">P</w:t>
      </w:r>
      <w:r>
        <w:t xml:space="preserve">&lt;.001) and clear direction (OR 6.61, 95% CI 4.35–10.06;</w:t>
      </w:r>
      <w:r>
        <w:t xml:space="preserve"> </w:t>
      </w:r>
      <w:r>
        <w:rPr>
          <w:i/>
          <w:iCs/>
        </w:rPr>
        <w:t xml:space="preserve">P</w:t>
      </w:r>
      <w:r>
        <w:t xml:space="preserve">&lt;.001), with no significant differences on accuracy (OR 1.35, 95% CI 0.91–2.00;</w:t>
      </w:r>
      <w:r>
        <w:t xml:space="preserve"> </w:t>
      </w:r>
      <w:r>
        <w:rPr>
          <w:i/>
          <w:iCs/>
        </w:rPr>
        <w:t xml:space="preserve">P</w:t>
      </w:r>
      <w:r>
        <w:t xml:space="preserve">&gt;.99), prioritization (OR 1.70, 95% CI 1.16–2.50;</w:t>
      </w:r>
      <w:r>
        <w:t xml:space="preserve"> </w:t>
      </w:r>
      <w:r>
        <w:rPr>
          <w:i/>
          <w:iCs/>
        </w:rPr>
        <w:t xml:space="preserve">P</w:t>
      </w:r>
      <w:r>
        <w:t xml:space="preserve">=.098), or supportive tone (OR 1.34, 95% CI 0.87–2.06;</w:t>
      </w:r>
      <w:r>
        <w:t xml:space="preserve"> </w:t>
      </w:r>
      <w:r>
        <w:rPr>
          <w:i/>
          <w:iCs/>
        </w:rPr>
        <w:t xml:space="preserve">P</w:t>
      </w:r>
      <w:r>
        <w:t xml:space="preserve">&gt;.99). AI feedback showed greater consistency (variance ratio 3.9:1; Levene</w:t>
      </w:r>
      <w:r>
        <w:t xml:space="preserve"> </w:t>
      </w:r>
      <w:r>
        <w:rPr>
          <w:i/>
          <w:iCs/>
        </w:rPr>
        <w:t xml:space="preserve">F</w:t>
      </w:r>
      <w:r>
        <w:t xml:space="preserve">(1,320)=73.20,</w:t>
      </w:r>
      <w:r>
        <w:t xml:space="preserve"> </w:t>
      </w:r>
      <w:r>
        <w:rPr>
          <w:i/>
          <w:iCs/>
        </w:rPr>
        <w:t xml:space="preserve">P</w:t>
      </w:r>
      <w:r>
        <w:t xml:space="preserve">&lt;.001).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pPr>
        <w:pStyle w:val="BodyText"/>
      </w:pPr>
      <w:r>
        <w:rPr>
          <w:b/>
          <w:bCs/>
        </w:rPr>
        <w:t xml:space="preserve">Conclusions:</w:t>
      </w:r>
      <w:r>
        <w:t xml:space="preserve"> </w:t>
      </w:r>
      <w:r>
        <w:t xml:space="preserve">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pPr>
        <w:pStyle w:val="BodyText"/>
      </w:pPr>
      <w:r>
        <w:t xml:space="preserve">Keywords: artificial intelligence; clinical clerkship; feedback; large language model; medical education; mixed-methods research</w:t>
      </w:r>
    </w:p>
    <w:bookmarkEnd w:id="21"/>
    <w:bookmarkStart w:id="24" w:name="introduction"/>
    <w:p>
      <w:pPr>
        <w:pStyle w:val="Heading2"/>
      </w:pPr>
      <w:r>
        <w:t xml:space="preserve">Introduction</w:t>
      </w:r>
    </w:p>
    <w:bookmarkStart w:id="22" w:name="background"/>
    <w:p>
      <w:pPr>
        <w:pStyle w:val="Heading3"/>
      </w:pPr>
      <w:r>
        <w:t xml:space="preserve">Background</w:t>
      </w:r>
    </w:p>
    <w:p>
      <w:pPr>
        <w:pStyle w:val="FirstParagraph"/>
      </w:pPr>
      <w:r>
        <w:t xml:space="preserve">Feedback serves as a critical educational instrument for medical students and residents to learn from their experiences in the clinical environment</w:t>
      </w:r>
      <w:r>
        <w:t xml:space="preserve"> </w:t>
      </w:r>
      <w:r>
        <w:t xml:space="preserve">[1–4]</w:t>
      </w:r>
      <w:r>
        <w:t xml:space="preserve">. Such feedback can be provided orally or as written feedback</w:t>
      </w:r>
      <w:r>
        <w:t xml:space="preserve"> </w:t>
      </w:r>
      <w:r>
        <w:t xml:space="preserve">[5]</w:t>
      </w:r>
      <w:r>
        <w:t xml:space="preserve">. In the clinical environment, where multiple supervising physicians often take turns in providing guidance, obtaining and documenting written feedback is important for ensuring the continuity of learning and assessment</w:t>
      </w:r>
      <w:r>
        <w:t xml:space="preserve"> </w:t>
      </w:r>
      <w:r>
        <w:t xml:space="preserve">[6–8]</w:t>
      </w:r>
      <w:r>
        <w:t xml:space="preserve">. However, supervising physicians in the clinical setting often have multiple tasks, which puts a strain on the time they have to support learning through feedback</w:t>
      </w:r>
      <w:r>
        <w:t xml:space="preserve"> </w:t>
      </w:r>
      <w:r>
        <w:t xml:space="preserve">[9]</w:t>
      </w:r>
      <w:r>
        <w:t xml:space="preserve">. Particularly regarding written feedback, supervising physicians are often unable to provide this in a sufficiently elaborated manner</w:t>
      </w:r>
      <w:r>
        <w:t xml:space="preserve"> </w:t>
      </w:r>
      <w:r>
        <w:t xml:space="preserve">[9,10]</w:t>
      </w:r>
      <w:r>
        <w:t xml:space="preserve">.</w:t>
      </w:r>
    </w:p>
    <w:p>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w:t>
      </w:r>
      <w:r>
        <w:t xml:space="preserve"> </w:t>
      </w:r>
      <w:r>
        <w:t xml:space="preserve">[11–13]</w:t>
      </w:r>
      <w:r>
        <w:t xml:space="preserve">. LLMs are AI models that can handle various tasks by pre-training on massive amounts of text data in advance</w:t>
      </w:r>
      <w:r>
        <w:t xml:space="preserve"> </w:t>
      </w:r>
      <w:r>
        <w:t xml:space="preserve">[14]</w:t>
      </w:r>
      <w:r>
        <w:t xml:space="preserve">. Although previous AI technologies were also able to generate feedback, they required models trained on context-specific text data tailored to the feedback’s domain</w:t>
      </w:r>
      <w:r>
        <w:t xml:space="preserve"> </w:t>
      </w:r>
      <w:r>
        <w:t xml:space="preserve">[15]</w:t>
      </w:r>
      <w:r>
        <w:t xml:space="preserve">. In contrast, LLMs can adapt to diverse contexts with minimal modifications, making them promising tools for generation of feedback</w:t>
      </w:r>
      <w:r>
        <w:t xml:space="preserve"> </w:t>
      </w:r>
      <w:r>
        <w:t xml:space="preserve">[16,17]</w:t>
      </w:r>
      <w:r>
        <w:t xml:space="preserve">. When AI feedback and human feedback were compared for feedback generation for texts written by learners, it was shown that AI feedback can match that of well-trained educators in terms of appropriateness, usefulness of the content, and supportive tone</w:t>
      </w:r>
      <w:r>
        <w:t xml:space="preserve"> </w:t>
      </w:r>
      <w:r>
        <w:t xml:space="preserve">[13,18,19]</w:t>
      </w:r>
      <w:r>
        <w:t xml:space="preserve">. However, even studies demonstrating that AI can generate high-quality feedback argue that AI feedback should complement rather than replace human feedback, citing student preferences and the responsibility that human instructors should maintain</w:t>
      </w:r>
      <w:r>
        <w:t xml:space="preserve"> </w:t>
      </w:r>
      <w:r>
        <w:t xml:space="preserve">[20–22]</w:t>
      </w:r>
      <w:r>
        <w:t xml:space="preserve">.</w:t>
      </w:r>
    </w:p>
    <w:bookmarkEnd w:id="22"/>
    <w:bookmarkStart w:id="23" w:name="rationale-and-research-question"/>
    <w:p>
      <w:pPr>
        <w:pStyle w:val="Heading3"/>
      </w:pPr>
      <w:r>
        <w:t xml:space="preserve">Rationale and research question</w:t>
      </w:r>
    </w:p>
    <w:p>
      <w:pPr>
        <w:pStyle w:val="FirstParagraph"/>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w:t>
      </w:r>
      <w:r>
        <w:t xml:space="preserve"> </w:t>
      </w:r>
      <w:r>
        <w:t xml:space="preserve">[20,23,24]</w:t>
      </w:r>
      <w:r>
        <w:t xml:space="preserve">, whereas another study found AI feedback to be shorter and less relevant</w:t>
      </w:r>
      <w:r>
        <w:t xml:space="preserve"> </w:t>
      </w:r>
      <w:r>
        <w:t xml:space="preserve">[25]</w:t>
      </w:r>
      <w:r>
        <w:t xml:space="preserve">. Although longer feedback is often associated with higher perceived quality</w:t>
      </w:r>
      <w:r>
        <w:t xml:space="preserve"> </w:t>
      </w:r>
      <w:r>
        <w:t xml:space="preserve">[26–28]</w:t>
      </w:r>
      <w:r>
        <w:t xml:space="preserve">, the extent to which differences in length between AI and human feedback translate into quality advantages remains unclear</w:t>
      </w:r>
      <w:r>
        <w:t xml:space="preserve"> </w:t>
      </w:r>
      <w:r>
        <w:t xml:space="preserve">[18,20]</w:t>
      </w:r>
      <w:r>
        <w:t xml:space="preserve">. For example, in dental histology assignments AI feedback was longer and contained more improvement points than human feedback</w:t>
      </w:r>
      <w:r>
        <w:t xml:space="preserve"> </w:t>
      </w:r>
      <w:r>
        <w:t xml:space="preserve">[20]</w:t>
      </w:r>
      <w:r>
        <w:t xml:space="preserve">, yet an analytical, multi‑criterion comparison showed that human teachers produced feedback that was overall clearer, more accurate, and better prioritized, even when shorter</w:t>
      </w:r>
      <w:r>
        <w:t xml:space="preserve"> </w:t>
      </w:r>
      <w:r>
        <w:t xml:space="preserve">[18]</w:t>
      </w:r>
      <w:r>
        <w:t xml:space="preserve">. Regarding the consistency of feedback quality, many studies report that the quality of human feedback varies widely depending on the provider and the situation</w:t>
      </w:r>
      <w:r>
        <w:t xml:space="preserve"> </w:t>
      </w:r>
      <w:r>
        <w:t xml:space="preserve">[29–31]</w:t>
      </w:r>
      <w:r>
        <w:t xml:space="preserve">, whereas some studies find that, compared with AI, human feedback is consistently higher in quality</w:t>
      </w:r>
      <w:r>
        <w:t xml:space="preserve"> </w:t>
      </w:r>
      <w:r>
        <w:t xml:space="preserve">[25,32]</w:t>
      </w:r>
      <w:r>
        <w:t xml:space="preserve">. Findings are also inconsistent about whether recipients can tell if the feedback provider is AI or human, ranging from studies reporting that people could distinguish it reasonably well</w:t>
      </w:r>
      <w:r>
        <w:t xml:space="preserve"> </w:t>
      </w:r>
      <w:r>
        <w:t xml:space="preserve">[33]</w:t>
      </w:r>
      <w:r>
        <w:t xml:space="preserve"> </w:t>
      </w:r>
      <w:r>
        <w:t xml:space="preserve">to studies reporting that they could hardly distinguish it</w:t>
      </w:r>
      <w:r>
        <w:t xml:space="preserve"> </w:t>
      </w:r>
      <w:r>
        <w:t xml:space="preserve">[34,35]</w:t>
      </w:r>
      <w:r>
        <w:t xml:space="preserve">. Thus, although many aspects of AI and human feedback have been examined, the results vary widely. These divergences likely relate to contextual variation such as differences in discipline, task authenticity, and assessment purpose.</w:t>
      </w:r>
    </w:p>
    <w:p>
      <w:pPr>
        <w:pStyle w:val="BodyText"/>
      </w:pPr>
      <w:r>
        <w:t xml:space="preserve">When comparing AI and humans in other clinical environments including clinical clerkships, a key limitation is that most existing comparisons have examined classroom or simulation tasks rather than authentic clinical activities</w:t>
      </w:r>
      <w:r>
        <w:t xml:space="preserve"> </w:t>
      </w:r>
      <w:r>
        <w:t xml:space="preserve">[18,20,23,24]</w:t>
      </w:r>
      <w:r>
        <w:t xml:space="preserve">.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w:t>
      </w:r>
      <w:r>
        <w:t xml:space="preserve"> </w:t>
      </w:r>
      <w:r>
        <w:t xml:space="preserve">[13,18,19]</w:t>
      </w:r>
      <w:r>
        <w:t xml:space="preserve">, whereas in real clinical settings supervisors are time‑pressured and may produce brief or nonspecific comments</w:t>
      </w:r>
      <w:r>
        <w:t xml:space="preserve"> </w:t>
      </w:r>
      <w:r>
        <w:t xml:space="preserve">[9,10]</w:t>
      </w:r>
      <w:r>
        <w:t xml:space="preserve">. This specific context constraint could both expose areas where human feedback quality diminishes and highlight domains where AI systems might compensate given their ability to generate structured output rapidly.</w:t>
      </w:r>
    </w:p>
    <w:p>
      <w:pPr>
        <w:pStyle w:val="BodyText"/>
      </w:pPr>
      <w:r>
        <w:t xml:space="preserve">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bookmarkEnd w:id="23"/>
    <w:bookmarkEnd w:id="24"/>
    <w:bookmarkStart w:id="46" w:name="methods"/>
    <w:p>
      <w:pPr>
        <w:pStyle w:val="Heading2"/>
      </w:pPr>
      <w:r>
        <w:t xml:space="preserve">Methods</w:t>
      </w:r>
    </w:p>
    <w:bookmarkStart w:id="25" w:name="setting"/>
    <w:p>
      <w:pPr>
        <w:pStyle w:val="Heading3"/>
      </w:pPr>
      <w:r>
        <w:t xml:space="preserve">Setting</w:t>
      </w:r>
    </w:p>
    <w:p>
      <w:pPr>
        <w:pStyle w:val="FirstParagraph"/>
      </w:pPr>
      <w:r>
        <w:t xml:space="preserve">The research was conducted within the clinical clerkship programs for fifth- and sixth-year medical students at Nagoya University (NU), Japan. In Japan, students enter medical school directly after high school (around age 18) and complete a six-year program</w:t>
      </w:r>
      <w:r>
        <w:t xml:space="preserve"> </w:t>
      </w:r>
      <w:r>
        <w:t xml:space="preserve">[36]</w:t>
      </w:r>
      <w:r>
        <w:t xml:space="preserve">.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clerkships during their fifth year and continued into their sixth year as part of their normal academic progression (the Japanese academic year begins in April). During the clerkship, students join the medical team, examine patients, formulate assessments and plans, and document these in the electronic medical record. Because access to electronic medical records is rigidly restricted, students also record their daily activities, learning points, and future tasks in an e-portfolio system separate from the medical record. These clinical clerkship logs in e-portfolio are used solely for educational purposes, and students are instructed not to include any patient-identifying information. Each daily log entry consists entirely of free-text fields in which students describe what they did during the clerkship, the cases they experienced, what they learned, and what they plan to do next; no Likert scales or structured questions are included, and no upper or lower character limits are imposed. Students entered their logs via smartphone. The e-portfolio automatically compiles the daily entries in the clerkship log into weekly records and sends them to the supervising physicians, who then provide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p>
    <w:bookmarkEnd w:id="25"/>
    <w:bookmarkStart w:id="30" w:name="design"/>
    <w:p>
      <w:pPr>
        <w:pStyle w:val="Heading3"/>
      </w:pPr>
      <w:r>
        <w:t xml:space="preserve">Design</w:t>
      </w:r>
    </w:p>
    <w:p>
      <w:pPr>
        <w:pStyle w:val="FirstParagraph"/>
      </w:pPr>
      <w:r>
        <w:t xml:space="preserve">This study was conducted as a mixed-methods study employing a convergent design from a pragmatic perspective</w:t>
      </w:r>
      <w:r>
        <w:t xml:space="preserve"> </w:t>
      </w:r>
      <w:r>
        <w:t xml:space="preserve">[37,38]</w:t>
      </w:r>
      <w:r>
        <w:t xml:space="preserve">.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w:t>
      </w:r>
      <w:r>
        <w:t xml:space="preserve"> </w:t>
      </w:r>
      <w:r>
        <w:t xml:space="preserve">[18]</w:t>
      </w:r>
      <w:r>
        <w:t xml:space="preserve"> </w:t>
      </w:r>
      <w:r>
        <w:t xml:space="preserve">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w:t>
      </w:r>
      <w:r>
        <w:t xml:space="preserve"> </w:t>
      </w:r>
      <w:hyperlink w:anchor="fig-flow_to_evaluation">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flow_to_evaluation"/>
          <w:p>
            <w:pPr>
              <w:pStyle w:val="Compact"/>
              <w:jc w:val="center"/>
            </w:pPr>
            <w:r>
              <w:drawing>
                <wp:inline>
                  <wp:extent cx="5334000" cy="3000375"/>
                  <wp:effectExtent b="0" l="0" r="0" t="0"/>
                  <wp:docPr descr="" title="" id="27" name="Picture"/>
                  <a:graphic>
                    <a:graphicData uri="http://schemas.openxmlformats.org/drawingml/2006/picture">
                      <pic:pic>
                        <pic:nvPicPr>
                          <pic:cNvPr descr="../src/assets/flow_of_feedback_and_evaluation/flow_of_feedback_and_evaluation.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jc w:val="start"/>
              <w:spacing w:before="200"/>
              <w:pStyle w:val="ImageCaption"/>
            </w:pPr>
            <w:r>
              <w:t xml:space="preserve">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bookmarkEnd w:id="29"/>
        </w:tc>
      </w:tr>
    </w:tbl>
    <w:bookmarkEnd w:id="30"/>
    <w:bookmarkStart w:id="34" w:name="participants"/>
    <w:p>
      <w:pPr>
        <w:pStyle w:val="Heading3"/>
      </w:pPr>
      <w:r>
        <w:t xml:space="preserve">Participants</w:t>
      </w:r>
    </w:p>
    <w:bookmarkStart w:id="31" w:name="inclusion-and-exclusion"/>
    <w:p>
      <w:pPr>
        <w:pStyle w:val="Heading4"/>
      </w:pPr>
      <w:r>
        <w:t xml:space="preserve">Inclusion and Exclusion</w:t>
      </w:r>
    </w:p>
    <w:p>
      <w:pPr>
        <w:pStyle w:val="FirstParagraph"/>
      </w:pPr>
      <w:r>
        <w:t xml:space="preserve">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pPr>
        <w:pStyle w:val="BodyText"/>
      </w:pPr>
      <w:r>
        <w:t xml:space="preserve">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bookmarkEnd w:id="31"/>
    <w:bookmarkStart w:id="32" w:name="participant-characteristics"/>
    <w:p>
      <w:pPr>
        <w:pStyle w:val="Heading4"/>
      </w:pPr>
      <w:r>
        <w:t xml:space="preserve">Participant Characteristics</w:t>
      </w:r>
    </w:p>
    <w:p>
      <w:pPr>
        <w:pStyle w:val="FirstParagraph"/>
      </w:pPr>
      <w:r>
        <w:t xml:space="preserve">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bookmarkEnd w:id="32"/>
    <w:bookmarkStart w:id="33" w:name="sampling-procedures"/>
    <w:p>
      <w:pPr>
        <w:pStyle w:val="Heading4"/>
      </w:pPr>
      <w:r>
        <w:t xml:space="preserve">Sampling Procedures</w:t>
      </w:r>
    </w:p>
    <w:p>
      <w:pPr>
        <w:pStyle w:val="FirstParagraph"/>
      </w:pPr>
      <w:r>
        <w:t xml:space="preserve">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p>
    <w:bookmarkEnd w:id="33"/>
    <w:bookmarkEnd w:id="34"/>
    <w:bookmarkStart w:id="38" w:name="materials"/>
    <w:p>
      <w:pPr>
        <w:pStyle w:val="Heading3"/>
      </w:pPr>
      <w:r>
        <w:t xml:space="preserve">Materials</w:t>
      </w:r>
    </w:p>
    <w:bookmarkStart w:id="35" w:name="generating-ai-feedback"/>
    <w:p>
      <w:pPr>
        <w:pStyle w:val="Heading4"/>
      </w:pPr>
      <w:r>
        <w:t xml:space="preserve">Generating AI Feedback</w:t>
      </w:r>
    </w:p>
    <w:p>
      <w:pPr>
        <w:pStyle w:val="FirstParagraph"/>
      </w:pPr>
      <w:r>
        <w:t xml:space="preserve">On the same set of weekly records of a medical student, feedback was also generated by GPT-4o (gpt-4o-2024-05-13) from OpenAI, which was the latest AI model available from OpenAI as of June 1, 2024, when this feedback was generated. This feedback is called</w:t>
      </w:r>
      <w:r>
        <w:t xml:space="preserve"> </w:t>
      </w:r>
      <w:r>
        <w:t xml:space="preserve">“AI feedback”</w:t>
      </w:r>
      <w:r>
        <w:t xml:space="preserve"> </w:t>
      </w:r>
      <w:r>
        <w:t xml:space="preserve">below.</w:t>
      </w:r>
    </w:p>
    <w:bookmarkEnd w:id="35"/>
    <w:bookmarkStart w:id="36" w:name="prompt-development"/>
    <w:p>
      <w:pPr>
        <w:pStyle w:val="Heading4"/>
      </w:pPr>
      <w:r>
        <w:t xml:space="preserve">Prompt Development</w:t>
      </w:r>
    </w:p>
    <w:p>
      <w:pPr>
        <w:pStyle w:val="FirstParagraph"/>
      </w:pPr>
      <w:r>
        <w:t xml:space="preserve">To generate high-quality feedback through large language models, it is crucial to carefully craft the prompts provided to the model</w:t>
      </w:r>
      <w:r>
        <w:t xml:space="preserve"> </w:t>
      </w:r>
      <w:r>
        <w:t xml:space="preserve">[39]</w:t>
      </w:r>
      <w:r>
        <w:t xml:space="preserve">. Since the students’ clinical clerkship logs are written in Japanese and the feedback is for Japanese students, we created the prompts in Japanese. Although</w:t>
      </w:r>
      <w:r>
        <w:t xml:space="preserve"> </w:t>
      </w:r>
      <w:r>
        <w:t xml:space="preserve">[18]</w:t>
      </w:r>
      <w:r>
        <w:t xml:space="preserve"> </w:t>
      </w:r>
      <w:r>
        <w:t xml:space="preserve">dealt with different types of feedback, their study also compared human-generated descriptions with feedback produced by ChatGPT in response to written tasks. Given the similarities, we decided to adapt the prompts from</w:t>
      </w:r>
      <w:r>
        <w:t xml:space="preserve"> </w:t>
      </w:r>
      <w:r>
        <w:t xml:space="preserve">[18]</w:t>
      </w:r>
      <w:r>
        <w:t xml:space="preserve"> </w:t>
      </w:r>
      <w:r>
        <w:t xml:space="preserve">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w:t>
      </w:r>
      <w:r>
        <w:t xml:space="preserve"> </w:t>
      </w:r>
      <w:r>
        <w:t xml:space="preserve">[39]</w:t>
      </w:r>
      <w:r>
        <w:t xml:space="preserve">. We then fed these refined prompts and actual student experiential logs into ChatGPT (GPT-4o) web interface to generate feedback. Next, we compared the generated feedback against previously reported quality criteria</w:t>
      </w:r>
      <w:r>
        <w:t xml:space="preserve"> </w:t>
      </w:r>
      <w:r>
        <w:t xml:space="preserve">[18,40]</w:t>
      </w:r>
      <w:r>
        <w:t xml:space="preserve"> </w:t>
      </w:r>
      <w:r>
        <w:t xml:space="preserve">and fine-tuned the prompts accordingly. Finally, to enhance reproducibility and subsequent integration into our e-portfolio system, we employed the corresponding API of the ChatGPT model (OpenAI Chat Completion API (gpt-4o-2024-05-13))</w:t>
      </w:r>
      <w:r>
        <w:t xml:space="preserve"> </w:t>
      </w:r>
      <w:r>
        <w:t xml:space="preserve">[41]</w:t>
      </w:r>
      <w:r>
        <w:t xml:space="preserve">. Each student log was processed as an independent API call with no shared context between calls, ensuring that feedback for one log could not be influenced by any other log. No maximum token limit (max_tokens parameter) was set at the API level. The term</w:t>
      </w:r>
      <w:r>
        <w:t xml:space="preserve"> </w:t>
      </w:r>
      <w:r>
        <w:t xml:space="preserve">“AI feedback”</w:t>
      </w:r>
      <w:r>
        <w:t xml:space="preserve"> </w:t>
      </w:r>
      <w:r>
        <w:t xml:space="preserve">is used in this study to indicate the feedback generated through this API.</w:t>
      </w:r>
    </w:p>
    <w:p>
      <w:pPr>
        <w:pStyle w:val="BodyText"/>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Since the logs were written in Japanese, the prompt was also developed in Japanese. A translation in English of the final prompt is included in the appendix as well as the original Japanese version.</w:t>
      </w:r>
    </w:p>
    <w:p>
      <w:pPr>
        <w:pStyle w:val="BodyText"/>
      </w:pPr>
      <w:r>
        <w:t xml:space="preserve">An important methodological note regarding this design: the prompt explicitly embedded the following five criteria from the Steiss et al. rubric</w:t>
      </w:r>
      <w:r>
        <w:t xml:space="preserve"> </w:t>
      </w:r>
      <w:r>
        <w:t xml:space="preserve">[18]</w:t>
      </w:r>
      <w:r>
        <w:t xml:space="preserve"> </w:t>
      </w:r>
      <w:r>
        <w:t xml:space="preserve">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compares a rubric-optimized AI system with naturalistic supervisor feedback rather than constituting a neutral comparison of inherent feedback quality.</w:t>
      </w:r>
    </w:p>
    <w:bookmarkEnd w:id="36"/>
    <w:bookmarkStart w:id="37" w:name="evaluation-instrument"/>
    <w:p>
      <w:pPr>
        <w:pStyle w:val="Heading4"/>
      </w:pPr>
      <w:r>
        <w:t xml:space="preserve">Evaluation Instrument</w:t>
      </w:r>
    </w:p>
    <w:p>
      <w:pPr>
        <w:pStyle w:val="FirstParagraph"/>
      </w:pPr>
      <w:r>
        <w:t xml:space="preserve">The evaluation instrument consisted of close-ended and open-ended questions. For the close-ended questions we used the scoring rubric developed by Steiss et al</w:t>
      </w:r>
      <w:r>
        <w:t xml:space="preserve"> </w:t>
      </w:r>
      <w:r>
        <w:t xml:space="preserve">[18]</w:t>
      </w:r>
      <w:r>
        <w:t xml:space="preserve">. While there are other criteria used in studies comparing human and AI feedback, most of them employed holistic scoring methods</w:t>
      </w:r>
      <w:r>
        <w:t xml:space="preserve"> </w:t>
      </w:r>
      <w:r>
        <w:t xml:space="preserve">[13,19]</w:t>
      </w:r>
      <w:r>
        <w:t xml:space="preserve">. In contrast, Steiss et al</w:t>
      </w:r>
      <w:r>
        <w:t xml:space="preserve"> </w:t>
      </w:r>
      <w:r>
        <w:t xml:space="preserve">[18]</w:t>
      </w:r>
      <w:r>
        <w:t xml:space="preserve"> </w:t>
      </w:r>
      <w:r>
        <w:t xml:space="preserve">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 Because this rubric emphasizes structural dimensions of feedback quality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the alignment between the AI prompt and this rubric for interpreting score comparisons are discussed in the Prompt Development subsection above and in the Limitations section.</w:t>
      </w:r>
    </w:p>
    <w:p>
      <w:pPr>
        <w:pStyle w:val="BodyText"/>
      </w:pPr>
      <w:r>
        <w:t xml:space="preserve">The feedback in this study is in Japanese, and the evaluators are also Japanese, so it was necessary to translate the scoring rubric from English to Japanese. The translation process was conducted based on the Translation, Review, Adjudication, Pretesting, and Documentation (TRAPD) model</w:t>
      </w:r>
      <w:r>
        <w:t xml:space="preserve"> </w:t>
      </w:r>
      <w:r>
        <w:t xml:space="preserve">[42]</w:t>
      </w:r>
      <w:r>
        <w:t xml:space="preserve">.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pPr>
        <w:pStyle w:val="BodyText"/>
      </w:pPr>
      <w:r>
        <w:t xml:space="preserve">The original feedback quality evaluation rubric</w:t>
      </w:r>
      <w:r>
        <w:t xml:space="preserve"> </w:t>
      </w:r>
      <w:r>
        <w:t xml:space="preserve">[18]</w:t>
      </w:r>
      <w:r>
        <w:t xml:space="preserve"> </w:t>
      </w:r>
      <w:r>
        <w:t xml:space="preserve">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 3). This process ensured the translated questionnaire was culturally and contextually appropriate for use in Japan.</w:t>
      </w:r>
    </w:p>
    <w:p>
      <w:pPr>
        <w:pStyle w:val="BodyText"/>
      </w:pPr>
      <w:r>
        <w:t xml:space="preserve">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bookmarkEnd w:id="37"/>
    <w:bookmarkEnd w:id="38"/>
    <w:bookmarkStart w:id="39" w:name="sample-size-power-and-precision"/>
    <w:p>
      <w:pPr>
        <w:pStyle w:val="Heading3"/>
      </w:pPr>
      <w:r>
        <w:t xml:space="preserve">Sample Size, Power, and Precision</w:t>
      </w:r>
    </w:p>
    <w:p>
      <w:pPr>
        <w:pStyle w:val="FirstParagraph"/>
      </w:pPr>
      <w:r>
        <w:t xml:space="preserve">The required sample size for the t-test was calculated using the values published in the paper by</w:t>
      </w:r>
      <w:r>
        <w:t xml:space="preserve"> </w:t>
      </w:r>
      <w:r>
        <w:t xml:space="preserve">[18]</w:t>
      </w:r>
      <w:r>
        <w:t xml:space="preserve">, that developed the rubric used for quantitative analysis. The paper reported effect sizes in terms of partial eta-squared and Cohen</w:t>
      </w:r>
      <w:r>
        <w:t xml:space="preserve"> </w:t>
      </w:r>
      <w:r>
        <w:rPr>
          <w:i/>
          <w:iCs/>
        </w:rPr>
        <w:t xml:space="preserve">d</w:t>
      </w:r>
      <w:r>
        <w:t xml:space="preserve">, which were used to calculate the sample size. In this study, considering the comparison between AI and supervisor feedback, the sample size was calculated based on Cohen</w:t>
      </w:r>
      <w:r>
        <w:t xml:space="preserve"> </w:t>
      </w:r>
      <w:r>
        <w:rPr>
          <w:i/>
          <w:iCs/>
        </w:rPr>
        <w:t xml:space="preserve">d</w:t>
      </w:r>
      <w:r>
        <w:t xml:space="preserve"> </w:t>
      </w:r>
      <w:r>
        <w:t xml:space="preserve">of 0.34 as reported by Steiss et al</w:t>
      </w:r>
      <w:r>
        <w:t xml:space="preserve"> </w:t>
      </w:r>
      <w:r>
        <w:t xml:space="preserve">[18]</w:t>
      </w:r>
      <w:r>
        <w:t xml:space="preserve">. With power set at 0.8 and alpha at 0.05, 155 data points per group would be needed.</w:t>
      </w:r>
    </w:p>
    <w:bookmarkEnd w:id="39"/>
    <w:bookmarkStart w:id="40" w:name="data-collection"/>
    <w:p>
      <w:pPr>
        <w:pStyle w:val="Heading3"/>
      </w:pPr>
      <w:r>
        <w:t xml:space="preserve">Data Collection</w:t>
      </w:r>
    </w:p>
    <w:p>
      <w:pPr>
        <w:pStyle w:val="FirstParagraph"/>
      </w:pPr>
      <w:r>
        <w:t xml:space="preserve">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w:t>
      </w:r>
      <w:r>
        <w:t xml:space="preserve"> </w:t>
      </w:r>
      <w:r>
        <w:t xml:space="preserve">[43,44]</w:t>
      </w:r>
      <w:r>
        <w:t xml:space="preserve">. Whether the feedback had been generated by AI or written by a supervising physician was not disclosed to evaluators at the time of evaluation, ensuring they based their assessments solely on the feedback content.</w:t>
      </w:r>
    </w:p>
    <w:bookmarkEnd w:id="40"/>
    <w:bookmarkStart w:id="41" w:name="quantitative-analysis"/>
    <w:p>
      <w:pPr>
        <w:pStyle w:val="Heading3"/>
      </w:pPr>
      <w:r>
        <w:t xml:space="preserve">Quantitative Analysis</w:t>
      </w:r>
    </w:p>
    <w:p>
      <w:pPr>
        <w:pStyle w:val="FirstParagraph"/>
      </w:pPr>
      <w:r>
        <w:t xml:space="preserve">All quantitative analyses were conducted in R 4.4.2</w:t>
      </w:r>
      <w:r>
        <w:t xml:space="preserve"> </w:t>
      </w:r>
      <w:r>
        <w:t xml:space="preserve">[45]</w:t>
      </w:r>
      <w:r>
        <w:t xml:space="preserve">.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w:t>
      </w:r>
      <w:r>
        <w:t xml:space="preserve"> </w:t>
      </w:r>
      <w:r>
        <w:t xml:space="preserve">[46]</w:t>
      </w:r>
      <w:r>
        <w:t xml:space="preserve">.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bookmarkEnd w:id="41"/>
    <w:bookmarkStart w:id="43" w:name="qualitative-analysis"/>
    <w:p>
      <w:pPr>
        <w:pStyle w:val="Heading3"/>
      </w:pPr>
      <w:r>
        <w:t xml:space="preserve">Qualitative Analysis</w:t>
      </w:r>
    </w:p>
    <w:p>
      <w:pPr>
        <w:pStyle w:val="FirstParagraph"/>
      </w:pPr>
      <w:r>
        <w:t xml:space="preserve">For the qualitative analysis, narrative comments from the open questions were organized in a table, followed by a thematic analysis</w:t>
      </w:r>
      <w:r>
        <w:t xml:space="preserve"> </w:t>
      </w:r>
      <w:r>
        <w:t xml:space="preserve">[47]</w:t>
      </w:r>
      <w:r>
        <w:t xml:space="preserve">. Thematic analysis consists of the following steps: (1) Familiarize with the data, (2) Generate initial codes, (3) Search for themes, (4) Review themes, (5) Define and name themes, and (6) Produce the report</w:t>
      </w:r>
      <w:r>
        <w:t xml:space="preserve"> </w:t>
      </w:r>
      <w:r>
        <w:t xml:space="preserve">[47]</w:t>
      </w:r>
      <w:r>
        <w:t xml:space="preserve">. Steps 1 and 2 were conducted by two individuals, TK and HN. TK created the initial codes, while HN reviewed and refined them. They then discussed until reaching 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p>
      <w:pPr>
        <w:pStyle w:val="BodyText"/>
      </w:pPr>
      <w:r>
        <w:t xml:space="preserve">Because this study analyzed the complete set of open-ended evaluator comments rather than sampling iteratively until no new themes emerged, data saturation in its conventional sense was not the analytic target. All available qualitative data from the 20 evaluators across 161 datasets were coded and analyzed; the resulting themes are therefore empirically grounded in the full dataset and can be considered theoretically sufficient for the purposes of this study.</w:t>
      </w:r>
    </w:p>
    <w:bookmarkStart w:id="42" w:name="reflexivity"/>
    <w:p>
      <w:pPr>
        <w:pStyle w:val="Heading4"/>
      </w:pPr>
      <w:r>
        <w:t xml:space="preserve">Reflexivity</w:t>
      </w:r>
    </w:p>
    <w:p>
      <w:pPr>
        <w:pStyle w:val="FirstParagraph"/>
      </w:pPr>
      <w:r>
        <w:t xml:space="preserve">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pPr>
        <w:pStyle w:val="BodyText"/>
      </w:pPr>
      <w:r>
        <w:t xml:space="preserve">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w:t>
      </w:r>
    </w:p>
    <w:bookmarkEnd w:id="42"/>
    <w:bookmarkEnd w:id="43"/>
    <w:bookmarkStart w:id="44" w:name="integration-of-results"/>
    <w:p>
      <w:pPr>
        <w:pStyle w:val="Heading3"/>
      </w:pPr>
      <w:r>
        <w:t xml:space="preserve">Integration of results</w:t>
      </w:r>
    </w:p>
    <w:p>
      <w:pPr>
        <w:pStyle w:val="FirstParagraph"/>
      </w:pPr>
      <w:r>
        <w:t xml:space="preserve">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w:t>
      </w:r>
      <w:r>
        <w:t xml:space="preserve"> </w:t>
      </w:r>
      <w:r>
        <w:t xml:space="preserve">“joint display”</w:t>
      </w:r>
      <w:r>
        <w:t xml:space="preserve">) to enable explicit integration and the drawing of meta-inferences that would be difficult to see from either strand alone</w:t>
      </w:r>
      <w:r>
        <w:t xml:space="preserve"> </w:t>
      </w:r>
      <w:r>
        <w:t xml:space="preserve">[48,49]</w:t>
      </w:r>
      <w:r>
        <w:t xml:space="preserve">.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bookmarkEnd w:id="44"/>
    <w:bookmarkStart w:id="45" w:name="ethical-considerations"/>
    <w:p>
      <w:pPr>
        <w:pStyle w:val="Heading3"/>
      </w:pPr>
      <w:r>
        <w:t xml:space="preserve">Ethical considerations</w:t>
      </w:r>
    </w:p>
    <w:p>
      <w:pPr>
        <w:pStyle w:val="FirstParagraph"/>
      </w:pPr>
      <w:r>
        <w:t xml:space="preserve">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p>
    <w:bookmarkEnd w:id="45"/>
    <w:bookmarkEnd w:id="46"/>
    <w:bookmarkStart w:id="92" w:name="results"/>
    <w:p>
      <w:pPr>
        <w:pStyle w:val="Heading2"/>
      </w:pPr>
      <w:r>
        <w:t xml:space="preserve">Results</w:t>
      </w:r>
    </w:p>
    <w:p>
      <w:pPr>
        <w:pStyle w:val="FirstParagraph"/>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The weekly clerkship logs varied considerably in length (mean 675.2 characters, SD 459.8; median 551; range 51–2,342). The number of datasets, students, and supervisors by department is shown in</w:t>
      </w:r>
      <w:r>
        <w:t xml:space="preserve"> </w:t>
      </w:r>
      <w:hyperlink w:anchor="tbl-dataset_summar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7" w:name="tbl-dataset_summary"/>
          <w:p>
            <w:pPr>
              <w:jc w:val="start"/>
              <w:spacing w:before="200"/>
              <w:pStyle w:val="ImageCaption"/>
            </w:pPr>
            <w:r>
              <w:t xml:space="preserve">Table 1: Dataset Summary.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2160"/>
              <w:gridCol w:w="2160"/>
              <w:gridCol w:w="2160"/>
              <w:gridCol w:w="216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Department*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Datasets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Students†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Supervisors‡</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 Community Hospital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B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Diabetes and Endocrinology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General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Geriatric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Haematology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Neurology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Paediatrics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Psychiatry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Surgical Unit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17</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Thoracic Surgery Unit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14</w:t>
                  </w:r>
                </w:p>
              </w:tc>
            </w:tr>
            <w:t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*Except for A, B, and C Community Hospital, all departments are affiliated with Nagoya University.</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students exceeds 47 because some students rotated through multiple departments.</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supervisors exceeds 42 because some supervisors provided feedback in multiple departments.</w:t>
                  </w:r>
                </w:p>
              </w:tc>
            </w:tr>
          </w:tbl>
          <w:p/>
          <w:bookmarkEnd w:id="47"/>
        </w:tc>
      </w:tr>
    </w:tbl>
    <w:p>
      <w:pPr>
        <w:pStyle w:val="BodyText"/>
      </w:pPr>
      <w:r>
        <w:t xml:space="preserve">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The flow of participants through each stage of the study is shown in</w:t>
      </w:r>
      <w:r>
        <w:t xml:space="preserve"> </w:t>
      </w:r>
      <w:hyperlink w:anchor="fig-participant-flowchart">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1" w:name="fig-participant-flowchart"/>
          <w:p>
            <w:pPr>
              <w:pStyle w:val="Compact"/>
              <w:jc w:val="center"/>
            </w:pPr>
            <w:r>
              <w:drawing>
                <wp:inline>
                  <wp:extent cx="5334000" cy="4122094"/>
                  <wp:effectExtent b="0" l="0" r="0" t="0"/>
                  <wp:docPr descr="" title="" id="49" name="Picture"/>
                  <a:graphic>
                    <a:graphicData uri="http://schemas.openxmlformats.org/drawingml/2006/picture">
                      <pic:pic>
                        <pic:nvPicPr>
                          <pic:cNvPr descr="../src/assets/JARS_flowchart/jars-quant-participant-flowchart.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5334000" cy="4122094"/>
                          </a:xfrm>
                          <a:prstGeom prst="rect">
                            <a:avLst/>
                          </a:prstGeom>
                          <a:noFill/>
                          <a:ln w="9525">
                            <a:noFill/>
                            <a:headEnd/>
                            <a:tailEnd/>
                          </a:ln>
                        </pic:spPr>
                      </pic:pic>
                    </a:graphicData>
                  </a:graphic>
                </wp:inline>
              </w:drawing>
            </w:r>
          </w:p>
          <w:p>
            <w:pPr>
              <w:jc w:val="start"/>
              <w:spacing w:before="200"/>
              <w:pStyle w:val="ImageCaption"/>
            </w:pPr>
            <w:r>
              <w:t xml:space="preserve">Figure 2: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p>
          <w:bookmarkEnd w:id="51"/>
        </w:tc>
      </w:tr>
    </w:tbl>
    <w:bookmarkStart w:id="76" w:name="quantitative-analysis-1"/>
    <w:p>
      <w:pPr>
        <w:pStyle w:val="Heading3"/>
      </w:pPr>
      <w:r>
        <w:t xml:space="preserve">Quantitative analysis</w:t>
      </w:r>
    </w:p>
    <w:bookmarkStart w:id="52" w:name="Xba8190d6eb4dba86e04165cd34ad4975da570f1"/>
    <w:p>
      <w:pPr>
        <w:pStyle w:val="Heading4"/>
      </w:pPr>
      <w:r>
        <w:t xml:space="preserve">Distribution Assessment and Sensitivity Analysis</w:t>
      </w:r>
    </w:p>
    <w:p>
      <w:pPr>
        <w:pStyle w:val="FirstParagraph"/>
      </w:pPr>
      <w:r>
        <w:t xml:space="preserve">Shapiro-Wilk tests assessed the normality of paired differences for all comparisons. The feedback length difference was normally distributed (</w:t>
      </w:r>
      <w:r>
        <w:rPr>
          <w:i/>
          <w:iCs/>
        </w:rPr>
        <w:t xml:space="preserve">W</w:t>
      </w:r>
      <w:r>
        <w:t xml:space="preserve">=0.992,</w:t>
      </w:r>
      <w:r>
        <w:t xml:space="preserve"> </w:t>
      </w:r>
      <w:r>
        <w:rPr>
          <w:i/>
          <w:iCs/>
        </w:rPr>
        <w:t xml:space="preserve">P</w:t>
      </w:r>
      <w:r>
        <w:t xml:space="preserve">=.550), supporting the use of the paired t-test for that variable. However, all five rubric score differences departed significantly from normality (all</w:t>
      </w:r>
      <w:r>
        <w:t xml:space="preserve"> </w:t>
      </w:r>
      <w:r>
        <w:rPr>
          <w:i/>
          <w:iCs/>
        </w:rPr>
        <w:t xml:space="preserve">W</w:t>
      </w:r>
      <w:r>
        <w:t xml:space="preserve">≤0.939, all</w:t>
      </w:r>
      <w:r>
        <w:t xml:space="preserve"> </w:t>
      </w:r>
      <w:r>
        <w:rPr>
          <w:i/>
          <w:iCs/>
        </w:rPr>
        <w:t xml:space="preserve">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 models (see below), which do not assume normality of the outcome distribution.</w:t>
      </w:r>
    </w:p>
    <w:bookmarkEnd w:id="52"/>
    <w:bookmarkStart w:id="57" w:name="difference-between-feedback-length"/>
    <w:p>
      <w:pPr>
        <w:pStyle w:val="Heading4"/>
      </w:pPr>
      <w:r>
        <w:t xml:space="preserve">Difference Between Feedback Length</w:t>
      </w:r>
    </w:p>
    <w:p>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w:t>
      </w:r>
      <w:r>
        <w:t xml:space="preserve"> </w:t>
      </w:r>
      <w:hyperlink w:anchor="fig-length_distribution">
        <w:r>
          <w:rPr>
            <w:rStyle w:val="Hyperlink"/>
          </w:rPr>
          <w:t xml:space="preserve">Figure 3</w:t>
        </w:r>
      </w:hyperlink>
      <w:r>
        <w:t xml:space="preserve">. Paired t-test results indicated that the mean character count of AI feedback was significantly higher than that of supervisor feedback (mean difference 284.16 characters; 95% CI 268.6-299.71;</w:t>
      </w:r>
      <w:r>
        <w:t xml:space="preserve"> </w:t>
      </w:r>
      <w:r>
        <w:rPr>
          <w:i/>
          <w:iCs/>
        </w:rPr>
        <w:t xml:space="preserve">P</w:t>
      </w:r>
      <w:r>
        <w:t xml:space="preserve">&lt;.001; Cohen</w:t>
      </w:r>
      <w:r>
        <w:t xml:space="preserve"> </w:t>
      </w:r>
      <w:r>
        <w:rPr>
          <w:i/>
          <w:iCs/>
        </w:rPr>
        <w:t xml:space="preserve">d</w:t>
      </w:r>
      <w:r>
        <w:t xml:space="preserve">=2.84, 95% CI 2.50–3.19).</w:t>
      </w:r>
    </w:p>
    <w:tbl>
      <w:tblPr>
        <w:tblStyle w:val="Table"/>
        <w:tblW w:type="pct" w:w="5000"/>
        <w:tblLayout w:type="fixed"/>
        <w:tblLook w:firstRow="0" w:lastRow="0" w:firstColumn="0" w:lastColumn="0" w:noHBand="0" w:noVBand="0" w:val="0000"/>
      </w:tblPr>
      <w:tblGrid>
        <w:gridCol w:w="7920"/>
      </w:tblGrid>
      <w:tr>
        <w:tc>
          <w:tcPr/>
          <w:bookmarkStart w:id="56" w:name="fig-length_distribution"/>
          <w:p>
            <w:pPr>
              <w:pStyle w:val="Compact"/>
              <w:jc w:val="center"/>
            </w:pPr>
            <w:r>
              <w:drawing>
                <wp:inline>
                  <wp:extent cx="5334000" cy="3200400"/>
                  <wp:effectExtent b="0" l="0" r="0" t="0"/>
                  <wp:docPr descr="" title="" id="54" name="Picture"/>
                  <a:graphic>
                    <a:graphicData uri="http://schemas.openxmlformats.org/drawingml/2006/picture">
                      <pic:pic>
                        <pic:nvPicPr>
                          <pic:cNvPr descr="../result/quantitative/fig_length_distribution.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3: Distribution of AI-generated and supervisor feedback lengths by character count for 161 clinical clerkship logs from 47 medical students, Nagoya University, Japan, 2024.</w:t>
            </w:r>
          </w:p>
          <w:bookmarkEnd w:id="56"/>
        </w:tc>
      </w:tr>
    </w:tbl>
    <w:bookmarkEnd w:id="57"/>
    <w:bookmarkStart w:id="64" w:name="comparison-of-scores"/>
    <w:p>
      <w:pPr>
        <w:pStyle w:val="Heading4"/>
      </w:pPr>
      <w:r>
        <w:t xml:space="preserve">Comparison of Scores</w:t>
      </w:r>
    </w:p>
    <w:p>
      <w:pPr>
        <w:pStyle w:val="FirstParagraph"/>
      </w:pPr>
      <w:r>
        <w:t xml:space="preserve">The scores assigned by the evaluators to the AI and supervisor feedback were compared.</w:t>
      </w:r>
      <w:r>
        <w:t xml:space="preserve"> </w:t>
      </w:r>
      <w:hyperlink w:anchor="fig-diff-ai-vs-supervisor">
        <w:r>
          <w:rPr>
            <w:rStyle w:val="Hyperlink"/>
          </w:rPr>
          <w:t xml:space="preserve">Figure 4</w:t>
        </w:r>
      </w:hyperlink>
      <w:r>
        <w:t xml:space="preserve"> </w:t>
      </w:r>
      <w:r>
        <w:t xml:space="preserve">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w:t>
      </w:r>
      <w:r>
        <w:t xml:space="preserve"> </w:t>
      </w:r>
      <w:r>
        <w:t xml:space="preserve">“supportive”</w:t>
      </w:r>
      <w:r>
        <w:t xml:space="preserve"> </w:t>
      </w:r>
      <w:r>
        <w:t xml:space="preserve">item.</w:t>
      </w:r>
    </w:p>
    <w:tbl>
      <w:tblPr>
        <w:tblStyle w:val="Table"/>
        <w:tblW w:type="pct" w:w="5000"/>
        <w:tblLayout w:type="fixed"/>
        <w:tblLook w:firstRow="0" w:lastRow="0" w:firstColumn="0" w:lastColumn="0" w:noHBand="0" w:noVBand="0" w:val="0000"/>
      </w:tblPr>
      <w:tblGrid>
        <w:gridCol w:w="7920"/>
      </w:tblGrid>
      <w:tr>
        <w:tc>
          <w:tcPr/>
          <w:bookmarkStart w:id="61" w:name="fig-diff-ai-vs-supervisor"/>
          <w:p>
            <w:pPr>
              <w:pStyle w:val="Compact"/>
              <w:jc w:val="center"/>
            </w:pPr>
            <w:r>
              <w:drawing>
                <wp:inline>
                  <wp:extent cx="5334000" cy="3200400"/>
                  <wp:effectExtent b="0" l="0" r="0" t="0"/>
                  <wp:docPr descr="" title="" id="59" name="Picture"/>
                  <a:graphic>
                    <a:graphicData uri="http://schemas.openxmlformats.org/drawingml/2006/picture">
                      <pic:pic>
                        <pic:nvPicPr>
                          <pic:cNvPr descr="../result/quantitative/fig_diff_ai_vs_supervisor.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4: Distribution of score differences between AI-generated and supervisor feedback for each rubric category, evaluated by 10 faculty and 10 student assessors. Positive values indicate higher AI scores. Convergent mixed-methods study, Nagoya University, Japan, 2024.</w:t>
            </w:r>
          </w:p>
          <w:bookmarkEnd w:id="61"/>
        </w:tc>
      </w:tr>
    </w:tbl>
    <w:p>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w:t>
      </w:r>
      <w:r>
        <w:t xml:space="preserve"> </w:t>
      </w:r>
      <w:r>
        <w:rPr>
          <w:i/>
          <w:iCs/>
        </w:rPr>
        <w:t xml:space="preserve">P</w:t>
      </w:r>
      <w:r>
        <w:t xml:space="preserve">&lt;.001), clear direction (corrected</w:t>
      </w:r>
      <w:r>
        <w:t xml:space="preserve"> </w:t>
      </w:r>
      <w:r>
        <w:rPr>
          <w:i/>
          <w:iCs/>
        </w:rPr>
        <w:t xml:space="preserve">P</w:t>
      </w:r>
      <w:r>
        <w:t xml:space="preserve">&lt;.001), prioritization (corrected</w:t>
      </w:r>
      <w:r>
        <w:t xml:space="preserve"> </w:t>
      </w:r>
      <w:r>
        <w:rPr>
          <w:i/>
          <w:iCs/>
        </w:rPr>
        <w:t xml:space="preserve">P</w:t>
      </w:r>
      <w:r>
        <w:t xml:space="preserve">&lt;.001), accurate (corrected</w:t>
      </w:r>
      <w:r>
        <w:t xml:space="preserve"> </w:t>
      </w:r>
      <w:r>
        <w:rPr>
          <w:i/>
          <w:iCs/>
        </w:rPr>
        <w:t xml:space="preserve">P</w:t>
      </w:r>
      <w:r>
        <w:t xml:space="preserve">&lt;.001), and supportive (corrected</w:t>
      </w:r>
      <w:r>
        <w:t xml:space="preserve"> </w:t>
      </w:r>
      <w:r>
        <w:rPr>
          <w:i/>
          <w:iCs/>
        </w:rPr>
        <w:t xml:space="preserve">P</w:t>
      </w:r>
      <w:r>
        <w:t xml:space="preserve">=.011). Details including uncorrected p-values are shown in</w:t>
      </w:r>
      <w:r>
        <w:t xml:space="preserve"> </w:t>
      </w:r>
      <w:hyperlink w:anchor="tbl-paired_ttest_result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 w:name="tbl-paired_ttest_results"/>
          <w:p>
            <w:pPr>
              <w:jc w:val="start"/>
              <w:spacing w:before="200"/>
              <w:pStyle w:val="ImageCaption"/>
            </w:pPr>
            <w:r>
              <w:t xml:space="preserve">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w:t>
            </w:r>
          </w:p>
          <w:tbl>
            <w:tblPr>
              <w:tblStyle w:val="Table"/>
              <w:tblW w:type="pct" w:w="5000"/>
              <w:tblLayout w:type="fixed"/>
              <w:jc w:val="center"/>
              <w:tblLook w:firstRow="1" w:lastRow="0" w:firstColumn="0" w:lastColumn="0" w:noHBand="0" w:noVBand="1" w:val="0420"/>
            </w:tblPr>
            <w:tblGrid>
              <w:gridCol w:w="1234"/>
              <w:gridCol w:w="1234"/>
              <w:gridCol w:w="1234"/>
              <w:gridCol w:w="1234"/>
              <w:gridCol w:w="1234"/>
              <w:gridCol w:w="1234"/>
              <w:gridCol w:w="123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Mean Difference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AI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Supervisor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Cohen 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 (1.5- 1.9)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4.43 (4.34-4.52)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2.73 (2.56-2.9)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0.93 (0.79 to 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1.39 (1.18- 1.59)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4.36 (4.26-4.46)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2.98 (2.81-3.14)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0.73 (0.61 to 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 (0.19- 0.56)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4.18 (4.07-4.28)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3.8 (3.64-3.96)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0.22 (0.11 to 0.33)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 (0.47- 0.88)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4.05 (3.94-4.16)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3.37 (3.2-3.54)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 (0.24 to 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0.23 (0.08- 0.38)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4.56 (4.47-4.65)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4.33 (4.21-4.45)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 (0.06 to 0.28)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0.011</w:t>
                  </w:r>
                </w:p>
              </w:tc>
            </w:tr>
          </w:tbl>
          <w:p/>
          <w:bookmarkEnd w:id="62"/>
        </w:tc>
      </w:tr>
    </w:tbl>
    <w:p>
      <w:pPr>
        <w:pStyle w:val="BodyText"/>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w:t>
      </w:r>
      <w:r>
        <w:t xml:space="preserve"> </w:t>
      </w:r>
      <w:hyperlink w:anchor="tbl-ordinal-regression-clmm">
        <w:r>
          <w:rPr>
            <w:rStyle w:val="Hyperlink"/>
          </w:rPr>
          <w:t xml:space="preserve">Table 3</w:t>
        </w:r>
      </w:hyperlink>
      <w:r>
        <w:t xml:space="preserve">. In the ordinal logistic regression, three effects are expressed as odds ratios (OR) for each category.</w:t>
      </w:r>
      <w:r>
        <w:t xml:space="preserve"> </w:t>
      </w:r>
      <w:r>
        <w:t xml:space="preserve">“Provider: AI”</w:t>
      </w:r>
      <w:r>
        <w:t xml:space="preserve"> </w:t>
      </w:r>
      <w:r>
        <w:t xml:space="preserve">indicates that the larger the OR above 1, the more likely AI is to receive higher scores compared to supervisors.</w:t>
      </w:r>
      <w:r>
        <w:t xml:space="preserve"> </w:t>
      </w:r>
      <w:r>
        <w:t xml:space="preserve">“Assessor type: student”</w:t>
      </w:r>
      <w:r>
        <w:t xml:space="preserve"> </w:t>
      </w:r>
      <w:r>
        <w:t xml:space="preserve">indicates that the larger the OR above 1, the more likely students are to give higher scores compared to faculty.</w:t>
      </w:r>
      <w:r>
        <w:t xml:space="preserve"> </w:t>
      </w:r>
      <w:r>
        <w:t xml:space="preserve">“Interaction: supervisor × student”</w:t>
      </w:r>
      <w:r>
        <w:t xml:space="preserve"> </w:t>
      </w:r>
      <w:r>
        <w:t xml:space="preserve">indicates that the larger the OR above 1, the greater the difference in scores between AI and supervisors among students compared to faculty.</w:t>
      </w:r>
      <w:r>
        <w:t xml:space="preserve"> </w:t>
      </w:r>
      <w:r>
        <w:rPr>
          <w:i/>
          <w:iCs/>
        </w:rPr>
        <w:t xml:space="preserve">P</w:t>
      </w:r>
      <w:r>
        <w:t xml:space="preserve"> </w:t>
      </w:r>
      <w:r>
        <w:t xml:space="preserve">values are Bonferroni-corrected for comparisons across 15 items. The results indicated that, for the items criteria-based and clear direction, AI feedback received significantly higher scores than supervisor feedback (OR=11.81 [95% CI: 7.64–18.27],</w:t>
      </w:r>
      <w:r>
        <w:t xml:space="preserve"> </w:t>
      </w:r>
      <w:r>
        <w:rPr>
          <w:i/>
          <w:iCs/>
        </w:rPr>
        <w:t xml:space="preserve">P</w:t>
      </w:r>
      <w:r>
        <w:t xml:space="preserve">&lt;.001; OR=6.61 [95% CI: 4.35–10.06],</w:t>
      </w:r>
      <w:r>
        <w:t xml:space="preserve"> </w:t>
      </w:r>
      <w:r>
        <w:rPr>
          <w:i/>
          <w:iCs/>
        </w:rPr>
        <w:t xml:space="preserve">P</w:t>
      </w:r>
      <w:r>
        <w:t xml:space="preserve">&lt;.001) (OR, odds ratio; values larger than 1 indicate higher scores for AI than for supervisors). For accurate, prioritization, and supportive, AI also tended to receive higher scores, but the differences between AI and supervisors were not significant (OR=1.35 [95% CI: 0.91–2.00],</w:t>
      </w:r>
      <w:r>
        <w:t xml:space="preserve"> </w:t>
      </w:r>
      <w:r>
        <w:rPr>
          <w:i/>
          <w:iCs/>
        </w:rPr>
        <w:t xml:space="preserve">P</w:t>
      </w:r>
      <w:r>
        <w:t xml:space="preserve">&gt;.99; OR=1.70 [95% CI: 1.16–2.50],</w:t>
      </w:r>
      <w:r>
        <w:t xml:space="preserve"> </w:t>
      </w:r>
      <w:r>
        <w:rPr>
          <w:i/>
          <w:iCs/>
        </w:rPr>
        <w:t xml:space="preserve">P</w:t>
      </w:r>
      <w:r>
        <w:t xml:space="preserve">=.098; OR=1.34 [95% CI: 0.87–2.06],</w:t>
      </w:r>
      <w:r>
        <w:t xml:space="preserve"> </w:t>
      </w:r>
      <w:r>
        <w:rPr>
          <w:i/>
          <w:iCs/>
        </w:rPr>
        <w:t xml:space="preserve">P</w:t>
      </w:r>
      <w:r>
        <w:t xml:space="preserve">&gt;.99).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type="pct" w:w="5000"/>
        <w:tblLayout w:type="fixed"/>
        <w:tblLook w:firstRow="0" w:lastRow="0" w:firstColumn="0" w:lastColumn="0" w:noHBand="0" w:noVBand="0" w:val="0000"/>
      </w:tblPr>
      <w:tblGrid>
        <w:gridCol w:w="7920"/>
      </w:tblGrid>
      <w:tr>
        <w:tc>
          <w:tcPr/>
          <w:bookmarkStart w:id="63" w:name="tbl-ordinal-regression-clmm"/>
          <w:p>
            <w:pPr>
              <w:jc w:val="start"/>
              <w:spacing w:before="200"/>
              <w:pStyle w:val="ImageCaption"/>
            </w:pPr>
            <w:r>
              <w:t xml:space="preserve">Table 3: Cumulative Link Mixed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type="pct" w:w="5000"/>
              <w:tblLayout w:type="fixed"/>
              <w:jc w:val="center"/>
              <w:tblLook w:firstRow="1" w:lastRow="0" w:firstColumn="0" w:lastColumn="0" w:noHBand="0" w:noVBand="1" w:val="0420"/>
            </w:tblPr>
            <w:tblGrid>
              <w:gridCol w:w="1440"/>
              <w:gridCol w:w="3168"/>
              <w:gridCol w:w="2016"/>
              <w:gridCol w:w="1008"/>
              <w:gridCol w:w="100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 P value</w:t>
                  </w:r>
                </w:p>
              </w:tc>
            </w:tr>
            <w:t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11.81 (7.64–18.27)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1.60 (1.07–2.39)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0.328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0.88 (0.49–1.59)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6.61 (4.35–10.06)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1.37 (0.92–2.04)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1.09 (0.61–1.95)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1.35 (0.91–2.00)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1.77 (1.16–2.72)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0.125</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0.98 (0.55–1.76)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1.70 (1.16–2.50)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1.25 (0.83–1.89)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1.62 (0.92–2.86)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1.34 (0.87–2.06)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1.57 (0.99–2.49)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0.833</w:t>
                  </w:r>
                </w:p>
              </w:tc>
            </w:tr>
            <w:tr>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1.19 (0.61–2.34)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bl>
          <w:p/>
          <w:bookmarkEnd w:id="63"/>
        </w:tc>
      </w:tr>
    </w:tbl>
    <w:p>
      <w:pPr>
        <w:pStyle w:val="BodyText"/>
      </w:pPr>
      <w:r>
        <w:t xml:space="preserve">These rubric-based findings should be interpreted in light of the asymmetric design described in the Methods section: AI feedback was generated with the rubric criteria explicitly embedded in the prompt, whereas supervisor feedback was produced under routine clinical conditions without rubric guidance. The observed score differences therefore reflect, at least in part, the degree to which each feedback type adheres to the specific structural dimensions assessed by this instrument rather than overall educational quality. The qualitative findings, particularly the themes of Perspective as a clinician and Continuity with practice, provide complementary evidence of the clinical value that supervisors contribute and that this rubric does not capture.</w:t>
      </w:r>
    </w:p>
    <w:bookmarkEnd w:id="64"/>
    <w:bookmarkStart w:id="69" w:name="consistency-of-feedback-quality"/>
    <w:p>
      <w:pPr>
        <w:pStyle w:val="Heading4"/>
      </w:pPr>
      <w:r>
        <w:t xml:space="preserve">Consistency of Feedback Quality</w:t>
      </w:r>
    </w:p>
    <w:p>
      <w:pPr>
        <w:pStyle w:val="FirstParagraph"/>
      </w:pPr>
      <w:r>
        <w:t xml:space="preserve">To compare the consistency of feedback quality between AI and supervisors, we plotted the distribution of per-clinical clerkship log mean scores (see</w:t>
      </w:r>
      <w:r>
        <w:t xml:space="preserve"> </w:t>
      </w:r>
      <w:hyperlink w:anchor="fig-mean-score-per-record">
        <w:r>
          <w:rPr>
            <w:rStyle w:val="Hyperlink"/>
          </w:rPr>
          <w:t xml:space="preserve">Figure 5</w:t>
        </w:r>
      </w:hyperlink>
      <w:r>
        <w:t xml:space="preserve">). AI exhibited smaller score dispersion, suggesting higher consistency in feedback quality. We further tested whether the variance of per-clinical clerkship log mean scores differs between AI and supervisors. The variance of per-clinical clerkship log mean scores was significantly larger for supervisors (Var=1.011, SD=1.005) than for AI (Var=0.262, SD=0.512) (Levene:</w:t>
      </w:r>
      <w:r>
        <w:t xml:space="preserve"> </w:t>
      </w:r>
      <w:r>
        <w:rPr>
          <w:i/>
          <w:iCs/>
        </w:rPr>
        <w:t xml:space="preserve">F</w:t>
      </w:r>
      <w:r>
        <w:t xml:space="preserve">(1, 320)=73.203,</w:t>
      </w:r>
      <w:r>
        <w:t xml:space="preserve"> </w:t>
      </w:r>
      <w:r>
        <w:rPr>
          <w:i/>
          <w:iCs/>
        </w:rPr>
        <w:t xml:space="preserve">P</w:t>
      </w:r>
      <w:r>
        <w:t xml:space="preserve">&lt;.001;</w:t>
      </w:r>
      <w:r>
        <w:t xml:space="preserve"> </w:t>
      </w:r>
      <w:r>
        <w:rPr>
          <w:i/>
          <w:iCs/>
        </w:rPr>
        <w:t xml:space="preserve">F</w:t>
      </w:r>
      <w:r>
        <w:t xml:space="preserve">-test:</w:t>
      </w:r>
      <w:r>
        <w:t xml:space="preserve"> </w:t>
      </w:r>
      <w:r>
        <w:rPr>
          <w:i/>
          <w:iCs/>
        </w:rPr>
        <w:t xml:space="preserve">F</w:t>
      </w:r>
      <w:r>
        <w:t xml:space="preserve">(160, 160)=0.259,</w:t>
      </w:r>
      <w:r>
        <w:t xml:space="preserve"> </w:t>
      </w:r>
      <w:r>
        <w:rPr>
          <w:i/>
          <w:iCs/>
        </w:rPr>
        <w:t xml:space="preserve">P</w:t>
      </w:r>
      <w:r>
        <w:t xml:space="preserve">&lt;.001). The supervisor variance was about 3.9 times that of AI, suggesting that AI feedback quality is more consistent, whereas supervisor feedback quality is more variable.</w:t>
      </w:r>
    </w:p>
    <w:tbl>
      <w:tblPr>
        <w:tblStyle w:val="Table"/>
        <w:tblW w:type="pct" w:w="5000"/>
        <w:tblLayout w:type="fixed"/>
        <w:tblLook w:firstRow="0" w:lastRow="0" w:firstColumn="0" w:lastColumn="0" w:noHBand="0" w:noVBand="0" w:val="0000"/>
      </w:tblPr>
      <w:tblGrid>
        <w:gridCol w:w="7920"/>
      </w:tblGrid>
      <w:tr>
        <w:tc>
          <w:tcPr/>
          <w:bookmarkStart w:id="68" w:name="fig-mean-score-per-record"/>
          <w:p>
            <w:pPr>
              <w:pStyle w:val="Compact"/>
              <w:jc w:val="center"/>
            </w:pPr>
            <w:r>
              <w:drawing>
                <wp:inline>
                  <wp:extent cx="5334000" cy="3200400"/>
                  <wp:effectExtent b="0" l="0" r="0" t="0"/>
                  <wp:docPr descr="" title="" id="66" name="Picture"/>
                  <a:graphic>
                    <a:graphicData uri="http://schemas.openxmlformats.org/drawingml/2006/picture">
                      <pic:pic>
                        <pic:nvPicPr>
                          <pic:cNvPr descr="../result/quantitative/fig_mean_score_per_record.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5: Distribution of per-record mean rubric scores for AI-generated and supervisor feedback on 161 clinical clerkship logs, Nagoya University, Japan, 2024. AI feedback shows smaller dispersion, indicating higher consistency.</w:t>
            </w:r>
          </w:p>
          <w:bookmarkEnd w:id="68"/>
        </w:tc>
      </w:tr>
    </w:tbl>
    <w:bookmarkEnd w:id="69"/>
    <w:bookmarkStart w:id="71" w:name="Xab7d2b16f0485721e4a7a33cad2fa2130bd3877"/>
    <w:p>
      <w:pPr>
        <w:pStyle w:val="Heading4"/>
      </w:pPr>
      <w:r>
        <w:t xml:space="preserve">Correlation between feedback length and score</w:t>
      </w:r>
    </w:p>
    <w:p>
      <w:pPr>
        <w:pStyle w:val="FirstParagraph"/>
      </w:pPr>
      <w:r>
        <w:t xml:space="preserve">To investigate whether the character count of feedback is correlated with the scores given by evaluators, we calculated the Spearman’s rank correlation coefficient for each feedback provider. The results are summarized in</w:t>
      </w:r>
      <w:r>
        <w:t xml:space="preserve"> </w:t>
      </w:r>
      <w:hyperlink w:anchor="Xfd729f81f31c49b3e1a6a80b6107c0be4986fdd">
        <w:r>
          <w:rPr>
            <w:rStyle w:val="Hyperlink"/>
          </w:rPr>
          <w:t xml:space="preserve">Table 4</w:t>
        </w:r>
      </w:hyperlink>
      <w:r>
        <w:t xml:space="preserve">.</w:t>
      </w:r>
      <w:r>
        <w:t xml:space="preserve"> </w:t>
      </w:r>
      <w:r>
        <w:rPr>
          <w:i/>
          <w:iCs/>
        </w:rPr>
        <w:t xml:space="preserve">P</w:t>
      </w:r>
      <w:r>
        <w:t xml:space="preserve"> </w:t>
      </w:r>
      <w:r>
        <w:t xml:space="preserve">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type="pct" w:w="5000"/>
        <w:tblLayout w:type="fixed"/>
        <w:tblLook w:firstRow="0" w:lastRow="0" w:firstColumn="0" w:lastColumn="0" w:noHBand="0" w:noVBand="0" w:val="0000"/>
      </w:tblPr>
      <w:tblGrid>
        <w:gridCol w:w="7920"/>
      </w:tblGrid>
      <w:tr>
        <w:tc>
          <w:tcPr/>
          <w:bookmarkStart w:id="70" w:name="Xfd729f81f31c49b3e1a6a80b6107c0be4986fdd"/>
          <w:p>
            <w:pPr>
              <w:jc w:val="start"/>
              <w:spacing w:before="200"/>
              <w:pStyle w:val="ImageCaption"/>
            </w:pPr>
            <w:r>
              <w:t xml:space="preserve">Table 4: Spearman Rank Correlation Between Feedback Character Count and Rubric Score by Feedback Provider. Convergent mixed-methods study, Nagoya University medical students, Japan, 2024. P values are Bonferroni-corrected for 10 comparisons.</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Spearman ρ</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Corrected</w:t>
                  </w:r>
                  <w:r>
                    <w:rPr>
                      <w:rFonts w:ascii="DejaVu Sans" w:hAnsi="DejaVu Sans" w:eastAsia="DejaVu Sans" w:cs="DejaVu Sans"/>
                      <w:b w:val="true"/>
                      <w:sz w:val="18"/>
                      <w:szCs w:val="18"/>
                      <w:color w:val="000000"/>
                    </w:rPr>
                    <w:br/>
                  </w:r>
                  <w:r>
                    <w:rPr>
                      <w:rFonts w:ascii="DejaVu Sans" w:hAnsi="DejaVu Sans" w:eastAsia="DejaVu Sans" w:cs="DejaVu Sans"/>
                      <w:b w:val="true"/>
                      <w:sz w:val="18"/>
                      <w:szCs w:val="18"/>
                      <w:color w:val="000000"/>
                    </w:rPr>
                    <w:t xml:space="preserve">P value</w:t>
                  </w:r>
                </w:p>
              </w:tc>
            </w:tr>
            <w:tr>
              <w:trPr>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Item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bl>
          <w:p/>
          <w:bookmarkEnd w:id="70"/>
        </w:tc>
      </w:tr>
    </w:tbl>
    <w:bookmarkEnd w:id="71"/>
    <w:bookmarkStart w:id="72" w:name="X2274c5648a659b767e085ca42b68a59629a3fc5"/>
    <w:p>
      <w:pPr>
        <w:pStyle w:val="Heading4"/>
      </w:pPr>
      <w:r>
        <w:t xml:space="preserve">Relationship Between Student Log Length and Feedback Scores</w:t>
      </w:r>
    </w:p>
    <w:p>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w:t>
      </w:r>
      <w:r>
        <w:t xml:space="preserve"> </w:t>
      </w:r>
      <w:r>
        <w:rPr>
          <w:i/>
          <w:iCs/>
        </w:rPr>
        <w:t xml:space="preserve">P</w:t>
      </w:r>
      <w:r>
        <w:t xml:space="preserve">&gt;.05), indicating that variation in student log length did not systematically influence rubric scores for either feedback type.</w:t>
      </w:r>
    </w:p>
    <w:bookmarkEnd w:id="72"/>
    <w:bookmarkStart w:id="74" w:name="inter-rater-reliability"/>
    <w:p>
      <w:pPr>
        <w:pStyle w:val="Heading4"/>
      </w:pPr>
      <w:r>
        <w:t xml:space="preserve">Inter-Rater Reliability</w:t>
      </w:r>
    </w:p>
    <w:p>
      <w:pPr>
        <w:pStyle w:val="FirstParagraph"/>
      </w:pPr>
      <w:r>
        <w:t xml:space="preserve">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hyperlink w:anchor="tbl-inter-rater-reliability">
        <w:r>
          <w:rPr>
            <w:rStyle w:val="Hyperlink"/>
          </w:rPr>
          <w:t xml:space="preserve">Table 5</w:t>
        </w:r>
      </w:hyperlink>
      <w:r>
        <w:t xml:space="preserve">). For supervisor feedback, inter-rater agreement was fair to moderate (weighted κ=0.37–0.54, all</w:t>
      </w:r>
      <w:r>
        <w:t xml:space="preserve"> </w:t>
      </w:r>
      <w:r>
        <w:rPr>
          <w:i/>
          <w:iCs/>
        </w:rPr>
        <w:t xml:space="preserve">P</w:t>
      </w:r>
      <w:r>
        <w:t xml:space="preserve">&lt;.001).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type="pct" w:w="5000"/>
        <w:tblLayout w:type="fixed"/>
        <w:tblLook w:firstRow="0" w:lastRow="0" w:firstColumn="0" w:lastColumn="0" w:noHBand="0" w:noVBand="0" w:val="0000"/>
      </w:tblPr>
      <w:tblGrid>
        <w:gridCol w:w="7920"/>
      </w:tblGrid>
      <w:tr>
        <w:tc>
          <w:tcPr/>
          <w:bookmarkStart w:id="73" w:name="tbl-inter-rater-reliability"/>
          <w:p>
            <w:pPr>
              <w:jc w:val="start"/>
              <w:spacing w:before="200"/>
              <w:pStyle w:val="ImageCaption"/>
            </w:pPr>
            <w:r>
              <w:t xml:space="preserve">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type="pct" w:w="5000"/>
              <w:tblLayout w:type="fixed"/>
              <w:jc w:val="center"/>
              <w:tblLook w:firstRow="1" w:lastRow="0" w:firstColumn="0" w:lastColumn="0" w:noHBand="0" w:noVBand="1" w:val="0420"/>
            </w:tblPr>
            <w:tblGrid>
              <w:gridCol w:w="1440"/>
              <w:gridCol w:w="1152"/>
              <w:gridCol w:w="576"/>
              <w:gridCol w:w="1008"/>
              <w:gridCol w:w="1008"/>
              <w:gridCol w:w="864"/>
              <w:gridCol w:w="1440"/>
              <w:gridCol w:w="86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Feedback</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Agreement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Weighted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κ</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κ</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0.412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 (-0.087-0.210)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0.207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0.384 (0.246-0.508)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0.151 (-0.004-0.298)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0.536 (0.417-0.638)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 (-0.080-0.229)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0.169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0.428 (0.293-0.547)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 (-0.107-0.191)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0.291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0.381 (0.241-0.505)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 (-0.083-0.226)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0.178</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55.9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0.367 (0.226-0.492)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bl>
          <w:p/>
          <w:bookmarkEnd w:id="73"/>
        </w:tc>
      </w:tr>
    </w:tbl>
    <w:bookmarkEnd w:id="74"/>
    <w:bookmarkStart w:id="75" w:name="identification-of-feedback-source"/>
    <w:p>
      <w:pPr>
        <w:pStyle w:val="Heading4"/>
      </w:pPr>
      <w:r>
        <w:t xml:space="preserve">Identification of Feedback Source</w:t>
      </w:r>
    </w:p>
    <w:p>
      <w:pPr>
        <w:pStyle w:val="FirstParagraph"/>
      </w:pPr>
      <w:r>
        <w:t xml:space="preserve">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bookmarkEnd w:id="75"/>
    <w:bookmarkEnd w:id="76"/>
    <w:bookmarkStart w:id="83" w:name="qualitative-analysis-1"/>
    <w:p>
      <w:pPr>
        <w:pStyle w:val="Heading3"/>
      </w:pPr>
      <w:r>
        <w:t xml:space="preserve">Qualitative analysis</w:t>
      </w:r>
    </w:p>
    <w:p>
      <w:pPr>
        <w:pStyle w:val="FirstParagraph"/>
      </w:pPr>
      <w:r>
        <w:t xml:space="preserve">The qualitative analysis of the free-text comments provided by the evaluators revealed several themes regarding the differences between AI and supervisor feedback. The themes are shown in</w:t>
      </w:r>
      <w:r>
        <w:t xml:space="preserve"> </w:t>
      </w:r>
      <w:hyperlink w:anchor="tbl-themes">
        <w:r>
          <w:rPr>
            <w:rStyle w:val="Hyperlink"/>
          </w:rPr>
          <w:t xml:space="preserve">Table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7" w:name="tbl-themes"/>
          <w:p>
            <w:pPr>
              <w:jc w:val="start"/>
              <w:spacing w:before="200"/>
              <w:pStyle w:val="ImageCaption"/>
            </w:pPr>
            <w:r>
              <w:t xml:space="preserve">Table 6: Themes Identified in Qualitative Analysis of Evaluator Comments on AI-Generated and Supervisor Feedback. Convergent mixed-methods study, 161 clinical clerkship logs, Nagoya University, Japan, 2024.</w:t>
            </w:r>
          </w:p>
          <w:tbl>
            <w:tblPr>
              <w:tblStyle w:val="Table"/>
              <w:tblW w:type="pct" w:w="5000"/>
              <w:tblLayout w:type="fixed"/>
              <w:jc w:val="center"/>
              <w:tblLook w:firstRow="1" w:lastRow="0" w:firstColumn="0" w:lastColumn="0" w:noHBand="0" w:noVBand="1" w:val="0420"/>
            </w:tblPr>
            <w:tblGrid>
              <w:gridCol w:w="2880"/>
              <w:gridCol w:w="2880"/>
              <w:gridCol w:w="288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Theme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AI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Adherence to the feedback criteria and structure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Mismatch with student preferences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Well-structured feedback that adheres to principles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Entries not complying with feedback principles and standards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Continuity and consistency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based on a comprehensive review of the recorded content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due to lack of understanding of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Support for verbalizing experiences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Variability in feedback quality depending on the content recorded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that does not reflect the content of the report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that takes into account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of feedback within a limited time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Lack of expert perspective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Conflict of interest as an educator</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Expert perspective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Quality of the Japanese language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output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Descriptions that evoke the feeling of being reviewed by a human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Natural expressions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Overly verbose expressions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amount of description</w:t>
                  </w:r>
                </w:p>
              </w:tc>
            </w:tr>
          </w:tbl>
          <w:p/>
          <w:bookmarkEnd w:id="77"/>
        </w:tc>
      </w:tr>
    </w:tbl>
    <w:p>
      <w:pPr>
        <w:pStyle w:val="BodyText"/>
      </w:pPr>
      <w:r>
        <w:t xml:space="preserve">Five themes were identified as differences between AI and supervisor feedback:</w:t>
      </w:r>
      <w:r>
        <w:t xml:space="preserve"> </w:t>
      </w:r>
      <w:r>
        <w:t xml:space="preserve">“Adherence to the feedback criteria and structure”</w:t>
      </w:r>
      <w:r>
        <w:t xml:space="preserve">,</w:t>
      </w:r>
      <w:r>
        <w:t xml:space="preserve"> </w:t>
      </w:r>
      <w:r>
        <w:t xml:space="preserve">“Continuity and consistency”</w:t>
      </w:r>
      <w:r>
        <w:t xml:space="preserve">,</w:t>
      </w:r>
      <w:r>
        <w:t xml:space="preserve"> </w:t>
      </w:r>
      <w:r>
        <w:t xml:space="preserve">“Perspective as a clinician”</w:t>
      </w:r>
      <w:r>
        <w:t xml:space="preserve">,</w:t>
      </w:r>
      <w:r>
        <w:t xml:space="preserve"> </w:t>
      </w:r>
      <w:r>
        <w:t xml:space="preserve">“Quality of the Japanese language”</w:t>
      </w:r>
      <w:r>
        <w:t xml:space="preserve">, and</w:t>
      </w:r>
      <w:r>
        <w:t xml:space="preserve"> </w:t>
      </w:r>
      <w:r>
        <w:t xml:space="preserve">“Text length”</w:t>
      </w:r>
      <w:r>
        <w:t xml:space="preserve">. Below we describe the details of these themes. Citations consist of IDs with three parts. When the first part is</w:t>
      </w:r>
      <w:r>
        <w:t xml:space="preserve"> </w:t>
      </w:r>
      <w:r>
        <w:t xml:space="preserve">“AI_”</w:t>
      </w:r>
      <w:r>
        <w:t xml:space="preserve">, it indicates comments about AI feedback, and when it is</w:t>
      </w:r>
      <w:r>
        <w:t xml:space="preserve"> </w:t>
      </w:r>
      <w:r>
        <w:t xml:space="preserve">“SU_”</w:t>
      </w:r>
      <w:r>
        <w:t xml:space="preserve">, it indicates comments about supervisor feedback. The second part shows “_FA” for comments by faculty evaluators and “_ST” for comments by student evaluators. The number in the latter half represents the evaluator ID. The final part indicates the dataset ID.</w:t>
      </w:r>
    </w:p>
    <w:bookmarkStart w:id="78" w:name="X47fb754f346a27bb0b9e24337d737e8c4f10bf9"/>
    <w:p>
      <w:pPr>
        <w:pStyle w:val="Heading4"/>
      </w:pPr>
      <w:r>
        <w:t xml:space="preserve">Adherence to the feedback criteria and structure</w:t>
      </w:r>
    </w:p>
    <w:p>
      <w:pPr>
        <w:pStyle w:val="FirstParagraph"/>
      </w:pPr>
      <w:r>
        <w:t xml:space="preserve">Across comments, AI‑generated feedback was repeatedly described as tightly aligned with the rubric and highly structured. Evaluators highlighted concrete, example‑driven suggestions, clear prioritization, and a predictable structure. This structure made next steps</w:t>
      </w:r>
      <w:r>
        <w:t xml:space="preserve"> </w:t>
      </w:r>
      <w:r>
        <w:t xml:space="preserve">“easy to put into practice,”</w:t>
      </w:r>
      <w:r>
        <w:t xml:space="preserve"> </w:t>
      </w:r>
      <w:r>
        <w:t xml:space="preserve">but some judged it overly prescriptive or formulaic. By contrast, supervisor feedback often departed from the rubric’s structure: at times it omitted actionable</w:t>
      </w:r>
      <w:r>
        <w:t xml:space="preserve"> </w:t>
      </w:r>
      <w:r>
        <w:t xml:space="preserve">“points for improvement,”</w:t>
      </w:r>
      <w:r>
        <w:t xml:space="preserve"> </w:t>
      </w:r>
      <w:r>
        <w:t xml:space="preserve">offered too few details, or listed many items without prioritization. Several comments, however, framed these departures as deliberate,</w:t>
      </w:r>
      <w:r>
        <w:t xml:space="preserve"> </w:t>
      </w:r>
      <w:r>
        <w:t xml:space="preserve">“living”</w:t>
      </w:r>
      <w:r>
        <w:t xml:space="preserve"> </w:t>
      </w:r>
      <w:r>
        <w:t xml:space="preserve">feedback rooted in real clinical work rather than in formal criteria.</w:t>
      </w:r>
    </w:p>
    <w:p>
      <w:pPr>
        <w:pStyle w:val="BodyText"/>
      </w:pPr>
      <w:r>
        <w:t xml:space="preserve">Illustrative comments included:</w:t>
      </w:r>
      <w:r>
        <w:t xml:space="preserve"> </w:t>
      </w:r>
      <w:r>
        <w:t xml:space="preserve">“This is a well-written report that starts with positive feedback, is specific and constructive, and doesn’t have too many points”</w:t>
      </w:r>
      <w:r>
        <w:t xml:space="preserve"> </w:t>
      </w:r>
      <w:r>
        <w:t xml:space="preserve">(AI_FA07_060);</w:t>
      </w:r>
      <w:r>
        <w:t xml:space="preserve"> </w:t>
      </w:r>
      <w:r>
        <w:t xml:space="preserve">“It goes from positive to constructive… priorities are also pointed out… good feedback”</w:t>
      </w:r>
      <w:r>
        <w:t xml:space="preserve"> </w:t>
      </w:r>
      <w:r>
        <w:t xml:space="preserve">(AI_FA07_063); and</w:t>
      </w:r>
      <w:r>
        <w:t xml:space="preserve"> </w:t>
      </w:r>
      <w:r>
        <w:t xml:space="preserve">“It is very specific and detailed. It is written in the classic P‑N‑P format.…”</w:t>
      </w:r>
      <w:r>
        <w:t xml:space="preserve"> </w:t>
      </w:r>
      <w:r>
        <w:t xml:space="preserve">(AI_FA09_086). On limits of the AI style, evaluators noted it could feel templated or prescriptive, e.g.,</w:t>
      </w:r>
      <w:r>
        <w:t xml:space="preserve"> </w:t>
      </w:r>
      <w:r>
        <w:t xml:space="preserve">“sentences were… not natural”</w:t>
      </w:r>
      <w:r>
        <w:t xml:space="preserve"> </w:t>
      </w:r>
      <w:r>
        <w:t xml:space="preserve">(AI_ST18_078) and</w:t>
      </w:r>
      <w:r>
        <w:t xml:space="preserve"> </w:t>
      </w:r>
      <w:r>
        <w:t xml:space="preserve">“it would be better if the suggestions for revision were not given in specific sentences”</w:t>
      </w:r>
      <w:r>
        <w:t xml:space="preserve"> </w:t>
      </w:r>
      <w:r>
        <w:t xml:space="preserve">(AI_ST20_115). For supervisors, one comment praised specificity but worried that</w:t>
      </w:r>
      <w:r>
        <w:t xml:space="preserve"> </w:t>
      </w:r>
      <w:r>
        <w:t xml:space="preserve">“there are many items, there is no priority, and it seems a little harsh”</w:t>
      </w:r>
      <w:r>
        <w:t xml:space="preserve"> </w:t>
      </w:r>
      <w:r>
        <w:t xml:space="preserve">(SU_FA07_058), while many others pointed out missing action points:</w:t>
      </w:r>
      <w:r>
        <w:t xml:space="preserve"> </w:t>
      </w:r>
      <w:r>
        <w:t xml:space="preserve">“There is no specific feedback…”</w:t>
      </w:r>
      <w:r>
        <w:t xml:space="preserve"> </w:t>
      </w:r>
      <w:r>
        <w:t xml:space="preserve">(SU_FA13_163) and</w:t>
      </w:r>
      <w:r>
        <w:t xml:space="preserve"> </w:t>
      </w:r>
      <w:r>
        <w:t xml:space="preserve">“No evaluation was given at all. No feedback… on areas for improvement”</w:t>
      </w:r>
      <w:r>
        <w:t xml:space="preserve"> </w:t>
      </w:r>
      <w:r>
        <w:t xml:space="preserve">(SU_ST21_131). Several remarks captured the trade‑off:</w:t>
      </w:r>
      <w:r>
        <w:t xml:space="preserve"> </w:t>
      </w:r>
      <w:r>
        <w:t xml:space="preserve">“In terms of referring to the evaluation criteria, it is inferior… but it is more in line with the content of the practical training and presents the next task”</w:t>
      </w:r>
      <w:r>
        <w:t xml:space="preserve"> </w:t>
      </w:r>
      <w:r>
        <w:t xml:space="preserve">(SU_FA11_127), and</w:t>
      </w:r>
      <w:r>
        <w:t xml:space="preserve"> </w:t>
      </w:r>
      <w:r>
        <w:t xml:space="preserve">“It’s not feedback that is tailored to a standard, but it feels like</w:t>
      </w:r>
      <w:r>
        <w:t xml:space="preserve"> </w:t>
      </w:r>
      <w:r>
        <w:t xml:space="preserve">‘living’</w:t>
      </w:r>
      <w:r>
        <w:t xml:space="preserve"> </w:t>
      </w:r>
      <w:r>
        <w:t xml:space="preserve">feedback that is likely to bring about behavioral change”</w:t>
      </w:r>
      <w:r>
        <w:t xml:space="preserve"> </w:t>
      </w:r>
      <w:r>
        <w:t xml:space="preserve">(SU_FA09_088).</w:t>
      </w:r>
    </w:p>
    <w:bookmarkEnd w:id="78"/>
    <w:bookmarkStart w:id="79" w:name="continuity-and-consistency"/>
    <w:p>
      <w:pPr>
        <w:pStyle w:val="Heading4"/>
      </w:pPr>
      <w:r>
        <w:t xml:space="preserve">Continuity and consistency</w:t>
      </w:r>
    </w:p>
    <w:p>
      <w:pPr>
        <w:pStyle w:val="FirstParagraph"/>
      </w:pPr>
      <w:r>
        <w:t xml:space="preserve">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pPr>
        <w:pStyle w:val="BodyText"/>
      </w:pPr>
      <w:r>
        <w:t xml:space="preserve">This pattern was visible in how AI consistently tied remarks to what students had written,</w:t>
      </w:r>
      <w:r>
        <w:t xml:space="preserve"> </w:t>
      </w:r>
      <w:r>
        <w:t xml:space="preserve">“the feedback is tailored to the clinical clerkship logs… points that need to be improved… are mentioned in detail, with specific examples”</w:t>
      </w:r>
      <w:r>
        <w:t xml:space="preserve"> </w:t>
      </w:r>
      <w:r>
        <w:t xml:space="preserve">(AI_ST15_031), and</w:t>
      </w:r>
      <w:r>
        <w:t xml:space="preserve"> </w:t>
      </w:r>
      <w:r>
        <w:t xml:space="preserve">“careful guidance in response to the lack of clinical clerkship logs… specific suggestions for improvement”</w:t>
      </w:r>
      <w:r>
        <w:t xml:space="preserve"> </w:t>
      </w:r>
      <w:r>
        <w:t xml:space="preserve">(AI_ST15_030). Evaluators repeatedly noted that AI</w:t>
      </w:r>
      <w:r>
        <w:t xml:space="preserve"> </w:t>
      </w:r>
      <w:r>
        <w:t xml:space="preserve">“gave feedback after the log had been carefully examined… [with] very specific”</w:t>
      </w:r>
      <w:r>
        <w:t xml:space="preserve"> </w:t>
      </w:r>
      <w:r>
        <w:t xml:space="preserve">next steps (AI_ST21_117) and that its</w:t>
      </w:r>
      <w:r>
        <w:t xml:space="preserve"> </w:t>
      </w:r>
      <w:r>
        <w:t xml:space="preserve">“comments are based on the content”</w:t>
      </w:r>
      <w:r>
        <w:t xml:space="preserve"> </w:t>
      </w:r>
      <w:r>
        <w:t xml:space="preserve">(AI_FA05_034). Yet this text‑level consistency sometimes slipped when context mattered: AI</w:t>
      </w:r>
      <w:r>
        <w:t xml:space="preserve"> </w:t>
      </w:r>
      <w:r>
        <w:t xml:space="preserve">“gives the impression that days without logs = days without practice”</w:t>
      </w:r>
      <w:r>
        <w:t xml:space="preserve"> </w:t>
      </w:r>
      <w:r>
        <w:t xml:space="preserve">(AI_FA10_104), and tended to</w:t>
      </w:r>
      <w:r>
        <w:t xml:space="preserve"> </w:t>
      </w:r>
      <w:r>
        <w:t xml:space="preserve">“encourage learning by improving how they write… [with] a lack of clinical knowledge or perspective”</w:t>
      </w:r>
      <w:r>
        <w:t xml:space="preserve"> </w:t>
      </w:r>
      <w:r>
        <w:t xml:space="preserve">(AI_ST21_121). Several evaluators wished for an overarching synthesis across the week or rotation,</w:t>
      </w:r>
      <w:r>
        <w:t xml:space="preserve"> </w:t>
      </w:r>
      <w:r>
        <w:t xml:space="preserve">“no overall evaluation… perhaps (AI was) a good micro‑manager?”</w:t>
      </w:r>
      <w:r>
        <w:t xml:space="preserve"> </w:t>
      </w:r>
      <w:r>
        <w:t xml:space="preserve">(AI_FA11_117), and</w:t>
      </w:r>
      <w:r>
        <w:t xml:space="preserve"> </w:t>
      </w:r>
      <w:r>
        <w:t xml:space="preserve">“it would be even better if the feedback also took into account the overall outcome”</w:t>
      </w:r>
      <w:r>
        <w:t xml:space="preserve"> </w:t>
      </w:r>
      <w:r>
        <w:t xml:space="preserve">(AI_FA10_109). By contrast, supervisors frequently referenced shared clinical situations and behaviors,</w:t>
      </w:r>
      <w:r>
        <w:t xml:space="preserve"> </w:t>
      </w:r>
      <w:r>
        <w:t xml:space="preserve">“useful because it gave supplementary information that wasn’t included in the medical student’s description”</w:t>
      </w:r>
      <w:r>
        <w:t xml:space="preserve"> </w:t>
      </w:r>
      <w:r>
        <w:t xml:space="preserve">(SU_ST17_062); advice that was</w:t>
      </w:r>
      <w:r>
        <w:t xml:space="preserve"> </w:t>
      </w:r>
      <w:r>
        <w:t xml:space="preserve">“practical and in line with real clinical practice”</w:t>
      </w:r>
      <w:r>
        <w:t xml:space="preserve"> </w:t>
      </w:r>
      <w:r>
        <w:t xml:space="preserve">(SU_ST18_080); and impressions that only a clinician observing the student could offer, such as</w:t>
      </w:r>
      <w:r>
        <w:t xml:space="preserve"> </w:t>
      </w:r>
      <w:r>
        <w:t xml:space="preserve">“he was going about things in a calm and collected way”</w:t>
      </w:r>
      <w:r>
        <w:t xml:space="preserve"> </w:t>
      </w:r>
      <w:r>
        <w:t xml:space="preserve">(SU_ST23_157) and the feeling of</w:t>
      </w:r>
      <w:r>
        <w:t xml:space="preserve"> </w:t>
      </w:r>
      <w:r>
        <w:t xml:space="preserve">“working together with medical students”</w:t>
      </w:r>
      <w:r>
        <w:t xml:space="preserve"> </w:t>
      </w:r>
      <w:r>
        <w:t xml:space="preserve">(SU_FA04_008). However, this experiential continuity often bypassed the portfolio itself:</w:t>
      </w:r>
      <w:r>
        <w:t xml:space="preserve"> </w:t>
      </w:r>
      <w:r>
        <w:t xml:space="preserve">“no mention of the content of the practical training or the learner’s own description”</w:t>
      </w:r>
      <w:r>
        <w:t xml:space="preserve"> </w:t>
      </w:r>
      <w:r>
        <w:t xml:space="preserve">(SU_FA10_109);</w:t>
      </w:r>
      <w:r>
        <w:t xml:space="preserve"> </w:t>
      </w:r>
      <w:r>
        <w:t xml:space="preserve">“they did not evaluate the logs that were written… just a summary evaluation conclusion”</w:t>
      </w:r>
      <w:r>
        <w:t xml:space="preserve"> </w:t>
      </w:r>
      <w:r>
        <w:t xml:space="preserve">(SU_FA11_119); and</w:t>
      </w:r>
      <w:r>
        <w:t xml:space="preserve"> </w:t>
      </w:r>
      <w:r>
        <w:t xml:space="preserve">“feedback was based on the actual content of the practical training… it would be better if there was more feedback on the learning logs”</w:t>
      </w:r>
      <w:r>
        <w:t xml:space="preserve"> </w:t>
      </w:r>
      <w:r>
        <w:t xml:space="preserve">(SU_ST21_124). In some instances, identical or near‑identical messages suggested time‑pressured reuse rather than log‑specific engagement (e.g.,</w:t>
      </w:r>
      <w:r>
        <w:t xml:space="preserve"> </w:t>
      </w:r>
      <w:r>
        <w:t xml:space="preserve">“copied and pasted feedback,”</w:t>
      </w:r>
      <w:r>
        <w:t xml:space="preserve"> </w:t>
      </w:r>
      <w:r>
        <w:t xml:space="preserve">SU_ST23_164). Taken together, the data indicate that AI maintained continuity with what students wrote, whereas supervisors maintained continuity with what students did, each affording a different, and at times incomplete, alignment with the students’ log.</w:t>
      </w:r>
    </w:p>
    <w:bookmarkEnd w:id="79"/>
    <w:bookmarkStart w:id="80" w:name="perspective-as-a-clinician"/>
    <w:p>
      <w:pPr>
        <w:pStyle w:val="Heading4"/>
      </w:pPr>
      <w:r>
        <w:t xml:space="preserve">Perspective as a clinician</w:t>
      </w:r>
    </w:p>
    <w:p>
      <w:pPr>
        <w:pStyle w:val="FirstParagraph"/>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pPr>
        <w:pStyle w:val="BodyText"/>
      </w:pPr>
      <w:r>
        <w:t xml:space="preserve">Comments underscoring AI’s limits included:</w:t>
      </w:r>
      <w:r>
        <w:t xml:space="preserve"> </w:t>
      </w:r>
      <w:r>
        <w:t xml:space="preserve">“did not point out the errors in the words</w:t>
      </w:r>
      <w:r>
        <w:t xml:space="preserve"> </w:t>
      </w:r>
      <w:r>
        <w:t xml:space="preserve">‘pulse irregularity’</w:t>
      </w:r>
      <w:r>
        <w:t xml:space="preserve"> </w:t>
      </w:r>
      <w:r>
        <w:t xml:space="preserve">and</w:t>
      </w:r>
      <w:r>
        <w:t xml:space="preserve"> </w:t>
      </w:r>
      <w:r>
        <w:t xml:space="preserve">‘electrocardiogram holder’</w:t>
      </w:r>
      <w:r>
        <w:t xml:space="preserve">”</w:t>
      </w:r>
      <w:r>
        <w:t xml:space="preserve"> </w:t>
      </w:r>
      <w:r>
        <w:t xml:space="preserve">(AI_FA11_120);</w:t>
      </w:r>
      <w:r>
        <w:t xml:space="preserve"> </w:t>
      </w:r>
      <w:r>
        <w:t xml:space="preserve">“specific examples… are ideas that are not based on much medical expertise”</w:t>
      </w:r>
      <w:r>
        <w:t xml:space="preserve"> </w:t>
      </w:r>
      <w:r>
        <w:t xml:space="preserve">(AI_ST22_143);</w:t>
      </w:r>
      <w:r>
        <w:t xml:space="preserve"> </w:t>
      </w:r>
      <w:r>
        <w:t xml:space="preserve">“suggestions for improvement… are not from the surgeon’s perspective”</w:t>
      </w:r>
      <w:r>
        <w:t xml:space="preserve"> </w:t>
      </w:r>
      <w:r>
        <w:t xml:space="preserve">(AI_FA06_050);</w:t>
      </w:r>
      <w:r>
        <w:t xml:space="preserve"> </w:t>
      </w:r>
      <w:r>
        <w:t xml:space="preserve">“fixated on relatively trivial points… specific feedback lacks accurate knowledge”</w:t>
      </w:r>
      <w:r>
        <w:t xml:space="preserve"> </w:t>
      </w:r>
      <w:r>
        <w:t xml:space="preserve">(AI_ST15_024); and</w:t>
      </w:r>
      <w:r>
        <w:t xml:space="preserve"> </w:t>
      </w:r>
      <w:r>
        <w:t xml:space="preserve">“main points were comments on how to fill in the student logs… lack of clinical feedback”</w:t>
      </w:r>
      <w:r>
        <w:t xml:space="preserve"> </w:t>
      </w:r>
      <w:r>
        <w:t xml:space="preserve">(AI_ST21_123). By contrast, supervisor excerpts highlighted the expert stance:</w:t>
      </w:r>
      <w:r>
        <w:t xml:space="preserve"> </w:t>
      </w:r>
      <w:r>
        <w:t xml:space="preserve">“points out errors in writing and correctly teaches medical knowledge”</w:t>
      </w:r>
      <w:r>
        <w:t xml:space="preserve"> </w:t>
      </w:r>
      <w:r>
        <w:t xml:space="preserve">(SU_FA06_037);</w:t>
      </w:r>
      <w:r>
        <w:t xml:space="preserve"> </w:t>
      </w:r>
      <w:r>
        <w:t xml:space="preserve">“I can get feedback on my knowledge, so it is useful for my studies”</w:t>
      </w:r>
      <w:r>
        <w:t xml:space="preserve"> </w:t>
      </w:r>
      <w:r>
        <w:t xml:space="preserve">(SU_ST17_058); and advice</w:t>
      </w:r>
      <w:r>
        <w:t xml:space="preserve"> </w:t>
      </w:r>
      <w:r>
        <w:t xml:space="preserve">“that would only be conveyed by a clinician, such as the long‑term perspective of</w:t>
      </w:r>
      <w:r>
        <w:t xml:space="preserve"> </w:t>
      </w:r>
      <w:r>
        <w:t xml:space="preserve">‘going home’</w:t>
      </w:r>
      <w:r>
        <w:t xml:space="preserve">”</w:t>
      </w:r>
      <w:r>
        <w:t xml:space="preserve"> </w:t>
      </w:r>
      <w:r>
        <w:t xml:space="preserve">(SU_ST23_150). Potential downsides were also noted:</w:t>
      </w:r>
      <w:r>
        <w:t xml:space="preserve"> </w:t>
      </w:r>
      <w:r>
        <w:t xml:space="preserve">“content is more focused on recruiting students to the department”</w:t>
      </w:r>
      <w:r>
        <w:t xml:space="preserve"> </w:t>
      </w:r>
      <w:r>
        <w:t xml:space="preserve">(SU_FA05_022) and concerns about prioritization,</w:t>
      </w:r>
      <w:r>
        <w:t xml:space="preserve"> </w:t>
      </w:r>
      <w:r>
        <w:t xml:space="preserve">“few opportunities to do peripheral nerve examinations, but… whether this is something that all medical students should learn”</w:t>
      </w:r>
      <w:r>
        <w:t xml:space="preserve"> </w:t>
      </w:r>
      <w:r>
        <w:t xml:space="preserve">(SU_FA10_110). as well as an authority gradient, as exemplified by the following quote:</w:t>
      </w:r>
      <w:r>
        <w:t xml:space="preserve"> </w:t>
      </w:r>
      <w:r>
        <w:t xml:space="preserve">“show the superiority and infallibility of the instructor…makes learners feel an authority gradient”</w:t>
      </w:r>
      <w:r>
        <w:t xml:space="preserve"> </w:t>
      </w:r>
      <w:r>
        <w:t xml:space="preserve">(SU_FA10_108).</w:t>
      </w:r>
    </w:p>
    <w:bookmarkEnd w:id="80"/>
    <w:bookmarkStart w:id="81" w:name="quality-of-the-japanese-language"/>
    <w:p>
      <w:pPr>
        <w:pStyle w:val="Heading4"/>
      </w:pPr>
      <w:r>
        <w:t xml:space="preserve">Quality of the Japanese language</w:t>
      </w:r>
    </w:p>
    <w:p>
      <w:pPr>
        <w:pStyle w:val="FirstParagraph"/>
      </w:pPr>
      <w:r>
        <w:t xml:space="preserve">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pPr>
        <w:pStyle w:val="BodyText"/>
      </w:pPr>
      <w:r>
        <w:t xml:space="preserve">Illustrative appraisals of AI language included:</w:t>
      </w:r>
      <w:r>
        <w:t xml:space="preserve"> </w:t>
      </w:r>
      <w:r>
        <w:t xml:space="preserve">“Expressions such as</w:t>
      </w:r>
      <w:r>
        <w:t xml:space="preserve"> </w:t>
      </w:r>
      <w:r>
        <w:t xml:space="preserve">‘Great job!’</w:t>
      </w:r>
      <w:r>
        <w:t xml:space="preserve"> </w:t>
      </w:r>
      <w:r>
        <w:t xml:space="preserve">and</w:t>
      </w:r>
      <w:r>
        <w:t xml:space="preserve"> </w:t>
      </w:r>
      <w:r>
        <w:t xml:space="preserve">‘I will provide feedback.’</w:t>
      </w:r>
      <w:r>
        <w:t xml:space="preserve"> </w:t>
      </w:r>
      <w:r>
        <w:t xml:space="preserve">are English‑Japanese translation‑like… unnatural as Japanese”</w:t>
      </w:r>
      <w:r>
        <w:t xml:space="preserve"> </w:t>
      </w:r>
      <w:r>
        <w:t xml:space="preserve">(AI_ST23_149);</w:t>
      </w:r>
      <w:r>
        <w:t xml:space="preserve"> </w:t>
      </w:r>
      <w:r>
        <w:t xml:space="preserve">“mysterious extra characters”</w:t>
      </w:r>
      <w:r>
        <w:t xml:space="preserve"> </w:t>
      </w:r>
      <w:r>
        <w:t xml:space="preserve">(AI_ST18_083);</w:t>
      </w:r>
      <w:r>
        <w:t xml:space="preserve"> </w:t>
      </w:r>
      <w:r>
        <w:t xml:space="preserve">“divided into paragraphs… a bug or character corruption”</w:t>
      </w:r>
      <w:r>
        <w:t xml:space="preserve"> </w:t>
      </w:r>
      <w:r>
        <w:t xml:space="preserve">(AI_FA08_083); and</w:t>
      </w:r>
      <w:r>
        <w:t xml:space="preserve"> </w:t>
      </w:r>
      <w:r>
        <w:t xml:space="preserve">“very ChatGPT‑like”</w:t>
      </w:r>
      <w:r>
        <w:t xml:space="preserve"> </w:t>
      </w:r>
      <w:r>
        <w:t xml:space="preserve">(AI_ST17_054). Several noted formulaic tone:</w:t>
      </w:r>
      <w:r>
        <w:t xml:space="preserve"> </w:t>
      </w:r>
      <w:r>
        <w:t xml:space="preserve">“the sandwich of good points… is so formulaic that… students might stop reading the feedback seriously”</w:t>
      </w:r>
      <w:r>
        <w:t xml:space="preserve"> </w:t>
      </w:r>
      <w:r>
        <w:t xml:space="preserve">(AI_ST14_014), alongside word choice that</w:t>
      </w:r>
      <w:r>
        <w:t xml:space="preserve"> </w:t>
      </w:r>
      <w:r>
        <w:t xml:space="preserve">“gives the impression of being a little unfriendly”</w:t>
      </w:r>
      <w:r>
        <w:t xml:space="preserve"> </w:t>
      </w:r>
      <w:r>
        <w:t xml:space="preserve">(AI_FA10_108). In contrast, supervisor comments emphasized naturalness and human presence:</w:t>
      </w:r>
      <w:r>
        <w:t xml:space="preserve"> </w:t>
      </w:r>
      <w:r>
        <w:t xml:space="preserve">“the advice is very good, accurate and natural”</w:t>
      </w:r>
      <w:r>
        <w:t xml:space="preserve"> </w:t>
      </w:r>
      <w:r>
        <w:t xml:space="preserve">(SU_ST18_079) and</w:t>
      </w:r>
      <w:r>
        <w:t xml:space="preserve"> </w:t>
      </w:r>
      <w:r>
        <w:t xml:space="preserve">“it feels like the individual is being looked at and taught”</w:t>
      </w:r>
      <w:r>
        <w:t xml:space="preserve"> </w:t>
      </w:r>
      <w:r>
        <w:t xml:space="preserve">(SU_ST20_109).</w:t>
      </w:r>
    </w:p>
    <w:bookmarkEnd w:id="81"/>
    <w:bookmarkStart w:id="82" w:name="text-length"/>
    <w:p>
      <w:pPr>
        <w:pStyle w:val="Heading4"/>
      </w:pPr>
      <w:r>
        <w:t xml:space="preserve">Text length</w:t>
      </w:r>
    </w:p>
    <w:p>
      <w:pPr>
        <w:pStyle w:val="FirstParagraph"/>
      </w:pPr>
      <w:r>
        <w:t xml:space="preserve">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pPr>
        <w:pStyle w:val="BodyText"/>
      </w:pPr>
      <w:r>
        <w:t xml:space="preserve">Exemplars included the AI being</w:t>
      </w:r>
      <w:r>
        <w:t xml:space="preserve"> </w:t>
      </w:r>
      <w:r>
        <w:t xml:space="preserve">“somewhat verbose”</w:t>
      </w:r>
      <w:r>
        <w:t xml:space="preserve"> </w:t>
      </w:r>
      <w:r>
        <w:t xml:space="preserve">(AI_ST23_155) with</w:t>
      </w:r>
      <w:r>
        <w:t xml:space="preserve"> </w:t>
      </w:r>
      <w:r>
        <w:t xml:space="preserve">“so many points… it would be easier to understand if there was a summary”</w:t>
      </w:r>
      <w:r>
        <w:t xml:space="preserve"> </w:t>
      </w:r>
      <w:r>
        <w:t xml:space="preserve">(AI_ST16_047). For supervisors, multiple comments judged entries too brief:</w:t>
      </w:r>
      <w:r>
        <w:t xml:space="preserve"> </w:t>
      </w:r>
      <w:r>
        <w:t xml:space="preserve">“not possible to give feedback with just a few words”</w:t>
      </w:r>
      <w:r>
        <w:t xml:space="preserve"> </w:t>
      </w:r>
      <w:r>
        <w:t xml:space="preserve">(SU_ST16_044);</w:t>
      </w:r>
      <w:r>
        <w:t xml:space="preserve"> </w:t>
      </w:r>
      <w:r>
        <w:t xml:space="preserve">“just too short”</w:t>
      </w:r>
      <w:r>
        <w:t xml:space="preserve"> </w:t>
      </w:r>
      <w:r>
        <w:t xml:space="preserve">(SU_FA05_020);</w:t>
      </w:r>
      <w:r>
        <w:t xml:space="preserve"> </w:t>
      </w:r>
      <w:r>
        <w:t xml:space="preserve">“I don’t think a simple</w:t>
      </w:r>
      <w:r>
        <w:t xml:space="preserve"> </w:t>
      </w:r>
      <w:r>
        <w:t xml:space="preserve">‘Thank you for your hard work’</w:t>
      </w:r>
      <w:r>
        <w:t xml:space="preserve"> </w:t>
      </w:r>
      <w:r>
        <w:t xml:space="preserve">would be considered feedback”</w:t>
      </w:r>
      <w:r>
        <w:t xml:space="preserve"> </w:t>
      </w:r>
      <w:r>
        <w:t xml:space="preserve">(SU_FA09_094); and</w:t>
      </w:r>
      <w:r>
        <w:t xml:space="preserve"> </w:t>
      </w:r>
      <w:r>
        <w:t xml:space="preserve">“too simple and doesn’t amount to feedback”</w:t>
      </w:r>
      <w:r>
        <w:t xml:space="preserve"> </w:t>
      </w:r>
      <w:r>
        <w:t xml:space="preserve">(SU_FA11_131). A counterexample highlighted that brevity can still work when targeted:</w:t>
      </w:r>
      <w:r>
        <w:t xml:space="preserve"> </w:t>
      </w:r>
      <w:r>
        <w:t xml:space="preserve">“concise feedback that includes the necessary content… motivates the student for future practice”</w:t>
      </w:r>
      <w:r>
        <w:t xml:space="preserve"> </w:t>
      </w:r>
      <w:r>
        <w:t xml:space="preserve">(SU_ST15_034).</w:t>
      </w:r>
    </w:p>
    <w:bookmarkEnd w:id="82"/>
    <w:bookmarkEnd w:id="83"/>
    <w:bookmarkStart w:id="91" w:name="X01bb3417fd4971b816d1200b89fc4d2acf53b02"/>
    <w:p>
      <w:pPr>
        <w:pStyle w:val="Heading3"/>
      </w:pPr>
      <w:r>
        <w:t xml:space="preserve">Integration of Quantitative and Qualitative Results</w:t>
      </w:r>
    </w:p>
    <w:p>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w:t>
      </w:r>
      <w:r>
        <w:t xml:space="preserve"> </w:t>
      </w:r>
      <w:hyperlink w:anchor="tbl-joint_display">
        <w:r>
          <w:rPr>
            <w:rStyle w:val="Hyperlink"/>
          </w:rPr>
          <w:t xml:space="preserve">Table 7</w:t>
        </w:r>
      </w:hyperlink>
      <w:r>
        <w:t xml:space="preserve">, while the themes identified in the qualitative analysis are shown in the third column. The fourth column shows how the quantitative and qualitative results are related. Below, we explain the integrated insights obtained from each row.</w:t>
      </w:r>
    </w:p>
    <w:tbl>
      <w:tblPr>
        <w:tblStyle w:val="Table"/>
        <w:tblW w:type="pct" w:w="5000"/>
        <w:tblLayout w:type="fixed"/>
        <w:tblLook w:firstRow="0" w:lastRow="0" w:firstColumn="0" w:lastColumn="0" w:noHBand="0" w:noVBand="0" w:val="0000"/>
      </w:tblPr>
      <w:tblGrid>
        <w:gridCol w:w="7920"/>
      </w:tblGrid>
      <w:tr>
        <w:tc>
          <w:tcPr/>
          <w:bookmarkStart w:id="84" w:name="tbl-joint_display"/>
          <w:p>
            <w:pPr>
              <w:jc w:val="start"/>
              <w:spacing w:before="200"/>
              <w:pStyle w:val="ImageCaption"/>
            </w:pPr>
            <w:r>
              <w:t xml:space="preserve">Table 7: Joint Display Integrating Quantitative and Qualitative Findings From a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864"/>
              <w:gridCol w:w="2592"/>
              <w:gridCol w:w="2592"/>
              <w:gridCol w:w="2592"/>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Quantitative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Qualitative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Type of Integration</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length difference (AI &gt;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Qualitative findings explain quantitative results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and qualitative results complement each other</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Correlation between feedback length and rubric score (significant for supervisors, absent for 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Combination of quantitative and qualitative results leads to new insights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Consistency of Feedback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results expand quantitative results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Identification of Feedback Source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"Quality of the Japanese language"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findings explain quantitative results</w:t>
                  </w:r>
                </w:p>
              </w:tc>
            </w:tr>
          </w:tbl>
          <w:p/>
          <w:bookmarkEnd w:id="84"/>
        </w:tc>
      </w:tr>
    </w:tbl>
    <w:bookmarkStart w:id="85" w:name="index-1-text-length-and-feedback-quality"/>
    <w:p>
      <w:pPr>
        <w:pStyle w:val="Heading4"/>
      </w:pPr>
      <w:r>
        <w:t xml:space="preserve">Index 1: Text Length and Feedback Quality</w:t>
      </w:r>
    </w:p>
    <w:p>
      <w:pPr>
        <w:pStyle w:val="FirstParagraph"/>
      </w:pPr>
      <w:r>
        <w:t xml:space="preserve">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bookmarkEnd w:id="85"/>
    <w:bookmarkStart w:id="86" w:name="index-2-adherence-to-rubric-criteria"/>
    <w:p>
      <w:pPr>
        <w:pStyle w:val="Heading4"/>
      </w:pPr>
      <w:r>
        <w:t xml:space="preserve">Index 2: Adherence to Rubric Criteria</w:t>
      </w:r>
    </w:p>
    <w:p>
      <w:pPr>
        <w:pStyle w:val="FirstParagraph"/>
      </w:pPr>
      <w:r>
        <w:t xml:space="preserve">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meets the elements required by the rubric through both structural adherence and sufficient length.</w:t>
      </w:r>
    </w:p>
    <w:bookmarkEnd w:id="86"/>
    <w:bookmarkStart w:id="87" w:name="Xd1c650e3ae642ac87bada9194c8acbe62b9c680"/>
    <w:p>
      <w:pPr>
        <w:pStyle w:val="Heading4"/>
      </w:pPr>
      <w:r>
        <w:t xml:space="preserve">Index 3: Length-Quality Correlation Patterns</w:t>
      </w:r>
    </w:p>
    <w:p>
      <w:pPr>
        <w:pStyle w:val="FirstParagraph"/>
      </w:pPr>
      <w:r>
        <w:t xml:space="preserve">A particularly illuminating pattern emerged from combining quantitative correlation analysis with qualitative text length observations. Quantitative examination revealed that while there was no correlation between length and quality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excels at covering necessary elements, while supervisors excel at contextual prioritization. Combining these findings reveals that feedback requires sufficient length to include necessary items, while prioritization is also important, and longer is not necessarily better.</w:t>
      </w:r>
    </w:p>
    <w:bookmarkEnd w:id="87"/>
    <w:bookmarkStart w:id="88" w:name="X75c9f45f769c997232980d27b432b05b41cc210"/>
    <w:p>
      <w:pPr>
        <w:pStyle w:val="Heading4"/>
      </w:pPr>
      <w:r>
        <w:t xml:space="preserve">Index 4: Quality Consistency and Variability</w:t>
      </w:r>
    </w:p>
    <w:p>
      <w:pPr>
        <w:pStyle w:val="FirstParagraph"/>
      </w:pPr>
      <w:r>
        <w:t xml:space="preserve">The quantitative finding that AI feedback quality was more consistent while supervisor feedback quality was more variable was supported by qualitative observations regarding adherence to feedback criteria and structure. The qualitative analysis described AI feedback as closely following the rubric, leading to more uniform quality, whereas supervisors often deviated from the rubric, resulting in variable quality. This integration demonstrates how structural consistency in AI feedback translates directly into measurable quality consistency.</w:t>
      </w:r>
    </w:p>
    <w:bookmarkEnd w:id="88"/>
    <w:bookmarkStart w:id="89" w:name="index-5-clinical-context-and-perspective"/>
    <w:p>
      <w:pPr>
        <w:pStyle w:val="Heading4"/>
      </w:pPr>
      <w:r>
        <w:t xml:space="preserve">Index 5: Clinical Context and Perspective</w:t>
      </w:r>
    </w:p>
    <w:p>
      <w:pPr>
        <w:pStyle w:val="FirstParagraph"/>
      </w:pPr>
      <w:r>
        <w:t xml:space="preserve">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bookmarkEnd w:id="89"/>
    <w:bookmarkStart w:id="90" w:name="X4da3c695ca00bef982cbcc6bfc184f1b852278a"/>
    <w:p>
      <w:pPr>
        <w:pStyle w:val="Heading4"/>
      </w:pPr>
      <w:r>
        <w:t xml:space="preserve">Index 6: Distinguishability of Feedback Sources</w:t>
      </w:r>
    </w:p>
    <w:p>
      <w:pPr>
        <w:pStyle w:val="FirstParagraph"/>
      </w:pPr>
      <w:r>
        <w:t xml:space="preserve">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bookmarkEnd w:id="90"/>
    <w:bookmarkEnd w:id="91"/>
    <w:bookmarkEnd w:id="92"/>
    <w:bookmarkStart w:id="98" w:name="discussion"/>
    <w:p>
      <w:pPr>
        <w:pStyle w:val="Heading2"/>
      </w:pPr>
      <w:r>
        <w:t xml:space="preserve">Discussion</w:t>
      </w:r>
    </w:p>
    <w:bookmarkStart w:id="93" w:name="principal-findings"/>
    <w:p>
      <w:pPr>
        <w:pStyle w:val="Heading3"/>
      </w:pPr>
      <w:r>
        <w:t xml:space="preserve">Principal Findings</w:t>
      </w:r>
    </w:p>
    <w:p>
      <w:pPr>
        <w:pStyle w:val="FirstParagraph"/>
      </w:pPr>
      <w:r>
        <w:t xml:space="preserve">This study compared AI-generated feedback with supervisor-provided feedback on medical student clinical clerkship logs through mixed-methods analysis, integrating results using a Joint Display Analysis. AI feedback was significantly longer and demonstrated superior adherence to rubric-based criteria, particularly in providing criteria-based guidance and clear directions for improvement. While supervisor feedback showed greater variability in quality, with length correlating positively with perceived quality, AI feedback maintained consistent quality regardless of length, suggesting systematic coverage of necessary elements.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bookmarkEnd w:id="93"/>
    <w:bookmarkStart w:id="94" w:name="comparison-with-the-literature"/>
    <w:p>
      <w:pPr>
        <w:pStyle w:val="Heading3"/>
      </w:pPr>
      <w:r>
        <w:t xml:space="preserve">Comparison with the Literature</w:t>
      </w:r>
    </w:p>
    <w:p>
      <w:pPr>
        <w:pStyle w:val="FirstParagraph"/>
      </w:pPr>
      <w:r>
        <w:t xml:space="preserve">Our findings align with and extend previous research on AI-generated feedback in several key areas. Regarding feedback length, prior studies have reported various findings</w:t>
      </w:r>
      <w:r>
        <w:t xml:space="preserve"> </w:t>
      </w:r>
      <w:r>
        <w:t xml:space="preserve">[20,23–25]</w:t>
      </w:r>
      <w:r>
        <w:t xml:space="preserve">. Our study demonstrated that AI feedback was significantly longer than supervisor feedback, which is consistent with some previous findings</w:t>
      </w:r>
      <w:r>
        <w:t xml:space="preserve"> </w:t>
      </w:r>
      <w:r>
        <w:t xml:space="preserve">[20,23,24]</w:t>
      </w:r>
      <w:r>
        <w:t xml:space="preserve">. In our research, the supervisors providing feedback were working in busy clinical environments, which likely contributed to their tendency to provide shorter feedback. Furthermore, our results showed no correlation between AI feedback length and quality, while supervisor feedback demonstrated a positive correlation between length and quality. Some reports indicate that feedback length does not contribute to quality improvement beyond a certain threshold</w:t>
      </w:r>
      <w:r>
        <w:t xml:space="preserve"> </w:t>
      </w:r>
      <w:r>
        <w:t xml:space="preserve">[50]</w:t>
      </w:r>
      <w:r>
        <w:t xml:space="preserve">.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w:t>
      </w:r>
      <w:r>
        <w:t xml:space="preserve"> </w:t>
      </w:r>
      <w:r>
        <w:t xml:space="preserve">[28,51]</w:t>
      </w:r>
      <w:r>
        <w:t xml:space="preserve">. Our findings suggest that AI-generated feedback may be able to complement elements that tend to be missing in supervisors’ brief feedback.</w:t>
      </w:r>
    </w:p>
    <w:p>
      <w:pPr>
        <w:pStyle w:val="BodyText"/>
      </w:pPr>
      <w:r>
        <w:t xml:space="preserve">Regarding consistency in feedback quality, previous research has shown mixed results about whether AI or human feedback demonstrates greater consistency</w:t>
      </w:r>
      <w:r>
        <w:t xml:space="preserve"> </w:t>
      </w:r>
      <w:r>
        <w:t xml:space="preserve">[25,29–32]</w:t>
      </w:r>
      <w:r>
        <w:t xml:space="preserve">.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 Previous research has identified multiple factors that influence feedback quality variability, including feedback length</w:t>
      </w:r>
      <w:r>
        <w:t xml:space="preserve"> </w:t>
      </w:r>
      <w:r>
        <w:t xml:space="preserve">[29]</w:t>
      </w:r>
      <w:r>
        <w:t xml:space="preserve">, the subject of feedback</w:t>
      </w:r>
      <w:r>
        <w:t xml:space="preserve"> </w:t>
      </w:r>
      <w:r>
        <w:t xml:space="preserve">[30]</w:t>
      </w:r>
      <w:r>
        <w:t xml:space="preserve">, and whether supervisors have received feedback training</w:t>
      </w:r>
      <w:r>
        <w:t xml:space="preserve"> </w:t>
      </w:r>
      <w:r>
        <w:t xml:space="preserve">[52]</w:t>
      </w:r>
      <w:r>
        <w:t xml:space="preserve">. Our findings suggest that in busy clinical environments, AI could provide structurally stable feedback that complements the individualized, experience-driven feedback of supervisors.</w:t>
      </w:r>
    </w:p>
    <w:p>
      <w:pPr>
        <w:pStyle w:val="BodyText"/>
      </w:pPr>
      <w:r>
        <w:t xml:space="preserve">The distinction between text-anchored versus experience-based feedback represents a novel contribution of our study. Most prior comparisons of AI and human feedback have been conducted in classroom or simulation settings</w:t>
      </w:r>
      <w:r>
        <w:t xml:space="preserve"> </w:t>
      </w:r>
      <w:r>
        <w:t xml:space="preserve">[22,24,25,53]</w:t>
      </w:r>
      <w:r>
        <w:t xml:space="preserve">,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 are difficult to articulate in written form and largely inaccessible to AI systems that operate solely on the written log text. Previous research has noted that AI feedback tends to provide comprehensive feedback closely tied to the target text</w:t>
      </w:r>
      <w:r>
        <w:t xml:space="preserve"> </w:t>
      </w:r>
      <w:r>
        <w:t xml:space="preserve">[24,25]</w:t>
      </w:r>
      <w:r>
        <w:t xml:space="preserve">, while human experts in specialized fields provide context-informed feedback which is perceived to be of higher quality</w:t>
      </w:r>
      <w:r>
        <w:t xml:space="preserve"> </w:t>
      </w:r>
      <w:r>
        <w:t xml:space="preserve">[22,53]</w:t>
      </w:r>
      <w:r>
        <w:t xml:space="preserve">.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is documented in the log. These contextual features of clinical clerkships amplify the qualitative differences between AI and supervisor feedback compared to what has been observed in classroom settings, and underscore the importance of studying AI feedback in authentic clinical environments where the complementary nature of each feedback source is most evident.</w:t>
      </w:r>
    </w:p>
    <w:p>
      <w:pPr>
        <w:pStyle w:val="BodyText"/>
      </w:pPr>
      <w:r>
        <w:t xml:space="preserve">Regarding the ability to distinguish between AI and human feedback, previous studies have reported inconsistent findings</w:t>
      </w:r>
      <w:r>
        <w:t xml:space="preserve"> </w:t>
      </w:r>
      <w:r>
        <w:t xml:space="preserve">[33–35]</w:t>
      </w:r>
      <w:r>
        <w:t xml:space="preserve">.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perspective in the busy clinical environment likely served as decisive factors for identification, consistent with all five qualitative themes that highlighted distinct textual characteristics of each feedback type.</w:t>
      </w:r>
    </w:p>
    <w:p>
      <w:pPr>
        <w:pStyle w:val="BodyText"/>
      </w:pPr>
      <w:r>
        <w:t xml:space="preserve">This perfect detection raises two considerations that warrant discussion. On one hand, it suggests that evaluators may have formed implicit judgments about the feedback source during the evaluation process, even though they were not explicitly informed. Prior research has demonstrated that knowledge or perception of the feedback provider can influence how feedback is received and evaluated</w:t>
      </w:r>
      <w:r>
        <w:t xml:space="preserve"> </w:t>
      </w:r>
      <w:r>
        <w:t xml:space="preserve">[43,44]</w:t>
      </w:r>
      <w:r>
        <w:t xml:space="preserve">, and the possibility that such implicit recognition shaped rubric ratings cannot be ruled out. On the other hand, the perfect detection itself constitutes a substantive finding: the qualitative differences between AI-generated and supervisor-provided feedback were sufficiently pronounced that no evaluator was uncertain about the source. Because the identification question was administered only after all quality ratings had been recorded, any influence would have arisen from the textual characteristics of the feedback itself rather than from externally provided labels. This is fundamentally different from an unblinded evaluation in which the source is known a priori. These substantial differences further reinforce the view that AI feedback should not replace human feedback but rather complement it by leveraging their respective strengths. It should be noted, however, that newer large language models continue to improve in generating natural, human-like text, and future iterations may substantially reduce the detectability of AI-generated feedback, potentially altering both evaluator perceptions and the dynamics of blinded evaluation designs.</w:t>
      </w:r>
    </w:p>
    <w:p>
      <w:pPr>
        <w:pStyle w:val="BodyText"/>
      </w:pPr>
      <w:r>
        <w:t xml:space="preserve">An important consideration for interpreting our findings is the linguistic and cultural context in which this study was conducted. All feedback was generated and evaluated in Japanese, and LLM performance has been shown to vary substantially across languages.</w:t>
      </w:r>
      <w:r>
        <w:t xml:space="preserve"> </w:t>
      </w:r>
      <w:r>
        <w:t xml:space="preserve">[54]</w:t>
      </w:r>
      <w:r>
        <w:t xml:space="preserve"> </w:t>
      </w:r>
      <w:r>
        <w:t xml:space="preserve">demonstrated that LLM accuracy on identical medical examination questions differed significantly by language (64%–87%), with English prompts generally yielding higher performance, although advanced models showed comparable results with language-matched prompts in some languages.</w:t>
      </w:r>
      <w:r>
        <w:t xml:space="preserve"> </w:t>
      </w:r>
      <w:r>
        <w:t xml:space="preserve">[55]</w:t>
      </w:r>
      <w:r>
        <w:t xml:space="preserve"> </w:t>
      </w:r>
      <w:r>
        <w:t xml:space="preserve">found that GPT-4 achieved significantly higher accuracy on English-translated radiology questions (median 89 points) than on the original Japanese versions (median 70 points), attributing this gap to the predominance of English in training data and to translation challenges specific to Japanese, including logographic script ambiguity and structural differences. These findings suggest that the quality of AI-generated feedback in our study may be partly shaped by GPT-4o’s language-specific capabilities in Japanese, and that the same prompt and model configuration could produce qualitatively different feedback in other languages. Furthermore, the cultural context of Japanese medical education, where deference to senior clinicians is strongly emphasized, may have influenced evaluators’ perceptions of and receptivity to the two feedback sources. Rather than framing these contextual factors solely as limitations, we note that they underscore the importance of conducting AI feedback research across diverse linguistic and cultural settings, as both AI performance and user reception are likely to be context-dependent.</w:t>
      </w:r>
    </w:p>
    <w:bookmarkEnd w:id="94"/>
    <w:bookmarkStart w:id="95" w:name="implications-of-findings"/>
    <w:p>
      <w:pPr>
        <w:pStyle w:val="Heading3"/>
      </w:pPr>
      <w:r>
        <w:t xml:space="preserve">Implications of Findings</w:t>
      </w:r>
    </w:p>
    <w:p>
      <w:pPr>
        <w:pStyle w:val="FirstParagraph"/>
      </w:pPr>
      <w:r>
        <w:t xml:space="preserve">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w:t>
      </w:r>
      <w:r>
        <w:t xml:space="preserve"> </w:t>
      </w:r>
      <w:r>
        <w:t xml:space="preserve">[56]</w:t>
      </w:r>
      <w:r>
        <w:t xml:space="preserve"> </w:t>
      </w:r>
      <w:r>
        <w:t xml:space="preserve">or conversely, dismissal of AI-generated insights</w:t>
      </w:r>
      <w:r>
        <w:t xml:space="preserve"> </w:t>
      </w:r>
      <w:r>
        <w:t xml:space="preserve">[20]</w:t>
      </w:r>
      <w:r>
        <w:t xml:space="preserve">.</w:t>
      </w:r>
    </w:p>
    <w:p>
      <w:pPr>
        <w:pStyle w:val="BodyText"/>
      </w:pPr>
      <w:r>
        <w:t xml:space="preserve">Various hybrid approaches merit exploration, including AI-drafted feedback refined by educators, role-based distribution where AI and supervisors focus on different aspects of student work, or AI enhancement of educator-authored feedback</w:t>
      </w:r>
      <w:r>
        <w:t xml:space="preserve"> </w:t>
      </w:r>
      <w:r>
        <w:t xml:space="preserve">[57]</w:t>
      </w:r>
      <w:r>
        <w:t xml:space="preserve">. However, empirical research on these hybrid models remains limited, particularly in authentic clinical settings.</w:t>
      </w:r>
    </w:p>
    <w:p>
      <w:pPr>
        <w:pStyle w:val="BodyText"/>
      </w:pPr>
      <w:r>
        <w:t xml:space="preserve">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bookmarkEnd w:id="95"/>
    <w:bookmarkStart w:id="96" w:name="limitations"/>
    <w:p>
      <w:pPr>
        <w:pStyle w:val="Heading3"/>
      </w:pPr>
      <w:r>
        <w:t xml:space="preserve">Limitations</w:t>
      </w:r>
    </w:p>
    <w:p>
      <w:pPr>
        <w:pStyle w:val="FirstParagraph"/>
      </w:pPr>
      <w:r>
        <w:t xml:space="preserve">Several limitations should be acknowledged in this study. 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 may have contributed to higher regard for supervisor feedback and influenced evaluators’ perceptions of the two feedback sources. The specific characteristics of Nagoya University’s clinical clerkship program may further limit representativeness. Second, while our evaluators included both faculty and students, their individual backgrounds and experiences may have influenced their feedback evaluations. The relatively small number of evaluators (10 faculty and 10 students) may also limit the robustness of our findings. 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 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 Fifth, the evaluation rubric used to assess feedback quality was originally developed for written academic feedback</w:t>
      </w:r>
      <w:r>
        <w:t xml:space="preserve"> </w:t>
      </w:r>
      <w:r>
        <w:t xml:space="preserve">[18]</w:t>
      </w:r>
      <w:r>
        <w:t xml:space="preserve"> </w:t>
      </w:r>
      <w:r>
        <w:t xml:space="preserve">and emphasizes structural dimensions such as criteria-based guidance, clarity of directions, and text alignment, which were also explicitly embedded in the AI prompt.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 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 research. 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limited. Eighth, our study evaluated the structural quality of feedback as assessed by the rubric, but did not investigate whether AI-generated or supervisor-provided feedback led to different learning behaviors, revisions, or clinical improvement. The relationship between perceived feedback quality and actual educational outcomes remains an important area for future investigation.</w:t>
      </w:r>
    </w:p>
    <w:bookmarkEnd w:id="96"/>
    <w:bookmarkStart w:id="97" w:name="conclusions"/>
    <w:p>
      <w:pPr>
        <w:pStyle w:val="Heading3"/>
      </w:pPr>
      <w:r>
        <w:t xml:space="preserve">Conclusions</w:t>
      </w:r>
    </w:p>
    <w:p>
      <w:pPr>
        <w:pStyle w:val="FirstParagraph"/>
      </w:pPr>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p>
    <w:bookmarkEnd w:id="97"/>
    <w:bookmarkEnd w:id="98"/>
    <w:bookmarkStart w:id="99" w:name="acknowledgements"/>
    <w:p>
      <w:pPr>
        <w:pStyle w:val="Heading2"/>
      </w:pPr>
      <w:r>
        <w:t xml:space="preserve">Acknowledgements</w:t>
      </w:r>
    </w:p>
    <w:p>
      <w:pPr>
        <w:pStyle w:val="FirstParagraph"/>
      </w:pPr>
      <w:r>
        <w:t xml:space="preserve">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pPr>
        <w:pStyle w:val="BodyText"/>
      </w:pPr>
      <w:r>
        <w:t xml:space="preserve">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pPr>
        <w:pStyle w:val="BodyText"/>
      </w:pPr>
      <w:r>
        <w:t xml:space="preserve">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w:t>
      </w:r>
      <w:r>
        <w:t xml:space="preserve"> </w:t>
      </w:r>
      <w:r>
        <w:t xml:space="preserve">“translate to english”</w:t>
      </w:r>
      <w:r>
        <w:t xml:space="preserve"> </w:t>
      </w:r>
      <w:r>
        <w:t xml:space="preserve">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(GAIDeT),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pPr>
        <w:pStyle w:val="BodyText"/>
      </w:pPr>
      <w:r>
        <w:t xml:space="preserve">This work was supported by JSPS KAKENHI Grant Number 25K06542. The funder had no role in the study design, data collection, analysis, interpretation of results, or the writing of the manuscript.</w:t>
      </w:r>
    </w:p>
    <w:bookmarkEnd w:id="99"/>
    <w:bookmarkStart w:id="100" w:name="data-availability"/>
    <w:p>
      <w:pPr>
        <w:pStyle w:val="Heading2"/>
      </w:pPr>
      <w:r>
        <w:t xml:space="preserve">Data Availability</w:t>
      </w:r>
    </w:p>
    <w:p>
      <w:pPr>
        <w:pStyle w:val="FirstParagraph"/>
      </w:pPr>
      <w:r>
        <w:t xml:space="preserve">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bookmarkEnd w:id="100"/>
    <w:bookmarkStart w:id="101" w:name="conflicts-of-interest"/>
    <w:p>
      <w:pPr>
        <w:pStyle w:val="Heading2"/>
      </w:pPr>
      <w:r>
        <w:t xml:space="preserve">Conflicts of Interest</w:t>
      </w:r>
    </w:p>
    <w:p>
      <w:pPr>
        <w:pStyle w:val="FirstParagraph"/>
      </w:pPr>
      <w:r>
        <w:t xml:space="preserve">None declared.</w:t>
      </w:r>
    </w:p>
    <w:bookmarkEnd w:id="101"/>
    <w:bookmarkStart w:id="102" w:name="multimedia-appendix-1"/>
    <w:p>
      <w:pPr>
        <w:pStyle w:val="Heading2"/>
      </w:pPr>
      <w:r>
        <w:t xml:space="preserve">Multimedia Appendix 1</w:t>
      </w:r>
    </w:p>
    <w:p>
      <w:pPr>
        <w:pStyle w:val="FirstParagraph"/>
      </w:pPr>
      <w:r>
        <w:t xml:space="preserve">This file contains the feedback generation prompt for AI used in this study and its development process.</w:t>
      </w:r>
    </w:p>
    <w:bookmarkEnd w:id="102"/>
    <w:bookmarkStart w:id="103" w:name="multimedia-appendix-2"/>
    <w:p>
      <w:pPr>
        <w:pStyle w:val="Heading2"/>
      </w:pPr>
      <w:r>
        <w:t xml:space="preserve">Multimedia Appendix 2</w:t>
      </w:r>
    </w:p>
    <w:p>
      <w:pPr>
        <w:pStyle w:val="FirstParagraph"/>
      </w:pPr>
      <w:r>
        <w:t xml:space="preserve">This file contains the feedback evaluation rubric used in this study.</w:t>
      </w:r>
    </w:p>
    <w:bookmarkEnd w:id="103"/>
    <w:bookmarkStart w:id="104" w:name="multimedia-appendix-3"/>
    <w:p>
      <w:pPr>
        <w:pStyle w:val="Heading2"/>
      </w:pPr>
      <w:r>
        <w:t xml:space="preserve">Multimedia Appendix 3</w:t>
      </w:r>
    </w:p>
    <w:p>
      <w:pPr>
        <w:pStyle w:val="FirstParagraph"/>
      </w:pPr>
      <w:r>
        <w:t xml:space="preserve">This file contains the translation process into Japanese for the feedback evaluation rubric used in this study.</w:t>
      </w:r>
    </w:p>
    <w:bookmarkEnd w:id="104"/>
    <w:bookmarkStart w:id="220" w:name="references"/>
    <w:p>
      <w:pPr>
        <w:pStyle w:val="Heading2"/>
      </w:pPr>
      <w:r>
        <w:t xml:space="preserve">References</w:t>
      </w:r>
    </w:p>
    <w:bookmarkStart w:id="219" w:name="refs"/>
    <w:bookmarkStart w:id="106" w:name="ref-Hansen2024-fe"/>
    <w:p>
      <w:pPr>
        <w:pStyle w:val="Bibliography"/>
      </w:pPr>
      <w:r>
        <w:t xml:space="preserve">1.</w:t>
      </w:r>
      <w:r>
        <w:t xml:space="preserve"> </w:t>
      </w:r>
      <w:r>
        <w:t xml:space="preserve">	</w:t>
      </w:r>
      <w:r>
        <w:t xml:space="preserve">Hansen A, Klute RM, Yadav M, Bansal S, Bond WF. How do learners receive feedback on note writing? A scoping review. Acad Med Ovid Technologies (Wolters Kluwer Health); 2024 Jun 1;99(6):683–690. PMID:</w:t>
      </w:r>
      <w:hyperlink r:id="rId105">
        <w:r>
          <w:rPr>
            <w:rStyle w:val="Hyperlink"/>
          </w:rPr>
          <w:t xml:space="preserve">38306581</w:t>
        </w:r>
      </w:hyperlink>
    </w:p>
    <w:bookmarkEnd w:id="106"/>
    <w:bookmarkStart w:id="108" w:name="ref-Ende1983-yv"/>
    <w:p>
      <w:pPr>
        <w:pStyle w:val="Bibliography"/>
      </w:pPr>
      <w:r>
        <w:t xml:space="preserve">2.</w:t>
      </w:r>
      <w:r>
        <w:t xml:space="preserve"> </w:t>
      </w:r>
      <w:r>
        <w:t xml:space="preserve">	</w:t>
      </w:r>
      <w:r>
        <w:t xml:space="preserve">Ende J. Feedback in clinical medical education. JAMA 1983 Aug 12;250(6):777–781. doi:</w:t>
      </w:r>
      <w:r>
        <w:t xml:space="preserve"> </w:t>
      </w:r>
      <w:hyperlink r:id="rId107">
        <w:r>
          <w:rPr>
            <w:rStyle w:val="Hyperlink"/>
          </w:rPr>
          <w:t xml:space="preserve">10.1001/jama.1983.03340060055026</w:t>
        </w:r>
      </w:hyperlink>
    </w:p>
    <w:bookmarkEnd w:id="108"/>
    <w:bookmarkStart w:id="110" w:name="ref-Norcini2007-dh"/>
    <w:p>
      <w:pPr>
        <w:pStyle w:val="Bibliography"/>
      </w:pPr>
      <w:r>
        <w:t xml:space="preserve">3.</w:t>
      </w:r>
      <w:r>
        <w:t xml:space="preserve"> </w:t>
      </w:r>
      <w:r>
        <w:t xml:space="preserve">	</w:t>
      </w:r>
      <w:r>
        <w:t xml:space="preserve">Norcini JJ, Burch V. Workplace-based assessment as an educational tool: AMEE Guide No. 31. Med Teach 2007 Nov;29(9):855–871. PMID:</w:t>
      </w:r>
      <w:hyperlink r:id="rId109">
        <w:r>
          <w:rPr>
            <w:rStyle w:val="Hyperlink"/>
          </w:rPr>
          <w:t xml:space="preserve">18158655</w:t>
        </w:r>
      </w:hyperlink>
    </w:p>
    <w:bookmarkEnd w:id="110"/>
    <w:bookmarkStart w:id="112" w:name="ref-Burgess2020-tj"/>
    <w:p>
      <w:pPr>
        <w:pStyle w:val="Bibliography"/>
      </w:pPr>
      <w:r>
        <w:t xml:space="preserve">4.</w:t>
      </w:r>
      <w:r>
        <w:t xml:space="preserve"> </w:t>
      </w:r>
      <w:r>
        <w:t xml:space="preserve">	</w:t>
      </w:r>
      <w:r>
        <w:t xml:space="preserve">Burgess A, van Diggele C, Roberts C, Mellis C. Feedback in the clinical setting. BMC Med Educ 2020 Dec 3;20(Suppl 2):460. PMID:</w:t>
      </w:r>
      <w:hyperlink r:id="rId111">
        <w:r>
          <w:rPr>
            <w:rStyle w:val="Hyperlink"/>
          </w:rPr>
          <w:t xml:space="preserve">33272265</w:t>
        </w:r>
      </w:hyperlink>
    </w:p>
    <w:bookmarkEnd w:id="112"/>
    <w:bookmarkStart w:id="114" w:name="ref-Elnicki1998-df"/>
    <w:p>
      <w:pPr>
        <w:pStyle w:val="Bibliography"/>
      </w:pPr>
      <w:r>
        <w:t xml:space="preserve">5.</w:t>
      </w:r>
      <w:r>
        <w:t xml:space="preserve"> </w:t>
      </w:r>
      <w:r>
        <w:t xml:space="preserve">	</w:t>
      </w:r>
      <w:r>
        <w:t xml:space="preserve">Elnicki DM, Layne RD, Ogden PE, Morris DK. Oral versus written feedback in medical clinic. J Gen Intern Med Springer Nature; 1998 Mar;13(3):155–158. PMID:</w:t>
      </w:r>
      <w:hyperlink r:id="rId113">
        <w:r>
          <w:rPr>
            <w:rStyle w:val="Hyperlink"/>
          </w:rPr>
          <w:t xml:space="preserve">9541371</w:t>
        </w:r>
      </w:hyperlink>
    </w:p>
    <w:bookmarkEnd w:id="114"/>
    <w:bookmarkStart w:id="116" w:name="ref-Harvey2013-hx"/>
    <w:p>
      <w:pPr>
        <w:pStyle w:val="Bibliography"/>
      </w:pPr>
      <w:r>
        <w:t xml:space="preserve">6.</w:t>
      </w:r>
      <w:r>
        <w:t xml:space="preserve"> </w:t>
      </w:r>
      <w:r>
        <w:t xml:space="preserve">	</w:t>
      </w:r>
      <w:r>
        <w:t xml:space="preserve">Harvey P, Radomski N, O’Connor D. Written feedback and continuity of learning in a geographically distributed medical education program. Med Teach Informa UK Limited; 2013 Dec 1;35(12):1009–1013. PMID:</w:t>
      </w:r>
      <w:hyperlink r:id="rId115">
        <w:r>
          <w:rPr>
            <w:rStyle w:val="Hyperlink"/>
          </w:rPr>
          <w:t xml:space="preserve">23971889</w:t>
        </w:r>
      </w:hyperlink>
    </w:p>
    <w:bookmarkEnd w:id="116"/>
    <w:bookmarkStart w:id="118" w:name="ref-Greviana2024-xd"/>
    <w:p>
      <w:pPr>
        <w:pStyle w:val="Bibliography"/>
      </w:pPr>
      <w:r>
        <w:t xml:space="preserve">7.</w:t>
      </w:r>
      <w:r>
        <w:t xml:space="preserve"> </w:t>
      </w:r>
      <w:r>
        <w:t xml:space="preserve">	</w:t>
      </w:r>
      <w:r>
        <w:t xml:space="preserve">Greviana N, Pinasthika A, Soemantri D. The best of both worlds: Exploring the interplay between written and verbal feedback in the continuum of medical education. Med Sci Educ Springer Science and Business Media LLC; 2024 Dec 2;1–9. doi:</w:t>
      </w:r>
      <w:r>
        <w:t xml:space="preserve"> </w:t>
      </w:r>
      <w:hyperlink r:id="rId117">
        <w:r>
          <w:rPr>
            <w:rStyle w:val="Hyperlink"/>
          </w:rPr>
          <w:t xml:space="preserve">10.1007/s40670-024-02244-0</w:t>
        </w:r>
      </w:hyperlink>
    </w:p>
    <w:bookmarkEnd w:id="118"/>
    <w:bookmarkStart w:id="120" w:name="ref-van-der-Vleuten2018-hd"/>
    <w:p>
      <w:pPr>
        <w:pStyle w:val="Bibliography"/>
      </w:pPr>
      <w:r>
        <w:t xml:space="preserve">8.</w:t>
      </w:r>
      <w:r>
        <w:t xml:space="preserve"> </w:t>
      </w:r>
      <w:r>
        <w:t xml:space="preserve">	</w:t>
      </w:r>
      <w:r>
        <w:t xml:space="preserve">van der Vleuten C, Lindemann I, Schmidt L. Programmatic assessment: the process, rationale and evidence for modern evaluation approaches in medical education. Med J Aust AMPCo; 2018 Nov 5;209(9):386–388. PMID:</w:t>
      </w:r>
      <w:hyperlink r:id="rId119">
        <w:r>
          <w:rPr>
            <w:rStyle w:val="Hyperlink"/>
          </w:rPr>
          <w:t xml:space="preserve">30376659</w:t>
        </w:r>
      </w:hyperlink>
    </w:p>
    <w:bookmarkEnd w:id="120"/>
    <w:bookmarkStart w:id="122" w:name="ref-Branfield_Day2020-gi"/>
    <w:p>
      <w:pPr>
        <w:pStyle w:val="Bibliography"/>
      </w:pPr>
      <w:r>
        <w:t xml:space="preserve">9.</w:t>
      </w:r>
      <w:r>
        <w:t xml:space="preserve"> </w:t>
      </w:r>
      <w:r>
        <w:t xml:space="preserve">	</w:t>
      </w:r>
      <w:r>
        <w:t xml:space="preserve">Branfield Day L, Miles A, Ginsburg S, Melvin L. Resident Perceptions of Assessment and Feedback in Competency-Based Medical Education: A Focus Group Study of One Internal Medicine Residency Program. Acad Med 2020 Nov;95(11):1712–1717. PMID:</w:t>
      </w:r>
      <w:hyperlink r:id="rId121">
        <w:r>
          <w:rPr>
            <w:rStyle w:val="Hyperlink"/>
          </w:rPr>
          <w:t xml:space="preserve">32195692</w:t>
        </w:r>
      </w:hyperlink>
    </w:p>
    <w:bookmarkEnd w:id="122"/>
    <w:bookmarkStart w:id="124" w:name="ref-Canavan2010-zh"/>
    <w:p>
      <w:pPr>
        <w:pStyle w:val="Bibliography"/>
      </w:pPr>
      <w:r>
        <w:t xml:space="preserve">10.</w:t>
      </w:r>
      <w:r>
        <w:t xml:space="preserve"> </w:t>
      </w:r>
      <w:r>
        <w:t xml:space="preserve">	</w:t>
      </w:r>
      <w:r>
        <w:t xml:space="preserve">Canavan C, Holtman MC, Richmond M, Katsufrakis PJ. The quality of written comments on professional behaviors in a developmental multisource feedback program. Acad Med 2010 Oct;85(10 Suppl):S106–9. PMID:</w:t>
      </w:r>
      <w:hyperlink r:id="rId123">
        <w:r>
          <w:rPr>
            <w:rStyle w:val="Hyperlink"/>
          </w:rPr>
          <w:t xml:space="preserve">20881691</w:t>
        </w:r>
      </w:hyperlink>
    </w:p>
    <w:bookmarkEnd w:id="124"/>
    <w:bookmarkStart w:id="126" w:name="ref-Lucas2024-rd"/>
    <w:p>
      <w:pPr>
        <w:pStyle w:val="Bibliography"/>
      </w:pPr>
      <w:r>
        <w:t xml:space="preserve">11.</w:t>
      </w:r>
      <w:r>
        <w:t xml:space="preserve"> </w:t>
      </w:r>
      <w:r>
        <w:t xml:space="preserve">	</w:t>
      </w:r>
      <w:r>
        <w:t xml:space="preserve">Lucas HC, Upperman JS, Robinson JR. A systematic review of large language models and their implications in medical education. Med Educ Wiley; 2024 Nov 1;58(11):1276–1285. PMID:</w:t>
      </w:r>
      <w:hyperlink r:id="rId125">
        <w:r>
          <w:rPr>
            <w:rStyle w:val="Hyperlink"/>
          </w:rPr>
          <w:t xml:space="preserve">38639098</w:t>
        </w:r>
      </w:hyperlink>
    </w:p>
    <w:bookmarkEnd w:id="126"/>
    <w:bookmarkStart w:id="128" w:name="ref-Dai2023-gk"/>
    <w:p>
      <w:pPr>
        <w:pStyle w:val="Bibliography"/>
      </w:pPr>
      <w:r>
        <w:t xml:space="preserve">12.</w:t>
      </w:r>
      <w:r>
        <w:t xml:space="preserve"> </w:t>
      </w:r>
      <w:r>
        <w:t xml:space="preserve">	</w:t>
      </w:r>
      <w:r>
        <w:t xml:space="preserve">Dai W, Lin J, Jin H, Li T, Tsai Y-S, Gašević D, Chen G. Can large language models provide feedback to students? A case study on ChatGPT. 2023 IEEE International Conference on Advanced Learning Technologies (ICALT) IEEE; 2023. p. 323–325. doi:</w:t>
      </w:r>
      <w:r>
        <w:t xml:space="preserve"> </w:t>
      </w:r>
      <w:hyperlink r:id="rId127">
        <w:r>
          <w:rPr>
            <w:rStyle w:val="Hyperlink"/>
          </w:rPr>
          <w:t xml:space="preserve">10.1109/icalt58122.2023.00100</w:t>
        </w:r>
      </w:hyperlink>
    </w:p>
    <w:bookmarkEnd w:id="128"/>
    <w:bookmarkStart w:id="130" w:name="ref-Jarry-Trujillo2024-kg"/>
    <w:p>
      <w:pPr>
        <w:pStyle w:val="Bibliography"/>
      </w:pPr>
      <w:r>
        <w:t xml:space="preserve">13.</w:t>
      </w:r>
      <w:r>
        <w:t xml:space="preserve"> </w:t>
      </w:r>
      <w:r>
        <w:t xml:space="preserve">	</w:t>
      </w:r>
      <w:r>
        <w:t xml:space="preserve">Jarry Trujillo C, Vela Ulloa J, Escalona Vivas G, Grasset Escobar E, Villagrán Gutiérrez I, Achurra Tirado P, Varas Cohen J. Surgeons vs ChatGPT: Assessment and feedback performance based on real surgical scenarios. J Surg Educ Elsevier BV; 2024 Jul 1;81(7):960–966. PMID:</w:t>
      </w:r>
      <w:hyperlink r:id="rId129">
        <w:r>
          <w:rPr>
            <w:rStyle w:val="Hyperlink"/>
          </w:rPr>
          <w:t xml:space="preserve">38749814</w:t>
        </w:r>
      </w:hyperlink>
    </w:p>
    <w:bookmarkEnd w:id="130"/>
    <w:bookmarkStart w:id="132" w:name="ref-Abd-Alrazaq2023-tz"/>
    <w:p>
      <w:pPr>
        <w:pStyle w:val="Bibliography"/>
      </w:pPr>
      <w:r>
        <w:t xml:space="preserve">14.</w:t>
      </w:r>
      <w:r>
        <w:t xml:space="preserve"> </w:t>
      </w:r>
      <w:r>
        <w:t xml:space="preserve">	</w:t>
      </w:r>
      <w:r>
        <w:t xml:space="preserve">Abd-Alrazaq A, AlSaad R, Alhuwail D, Ahmed A, Healy PM, Latifi S, Aziz S, Damseh R, Alabed Alrazak S, Sheikh J. Large language models in medical education: Opportunities, challenges, and future directions. JMIR Med Educ JMIR Medical Education; 2023 Jun 1;9(1):e48291. PMID:</w:t>
      </w:r>
      <w:hyperlink r:id="rId131">
        <w:r>
          <w:rPr>
            <w:rStyle w:val="Hyperlink"/>
          </w:rPr>
          <w:t xml:space="preserve">37261894</w:t>
        </w:r>
      </w:hyperlink>
    </w:p>
    <w:bookmarkEnd w:id="132"/>
    <w:bookmarkStart w:id="134" w:name="ref-LeCun2015-gf"/>
    <w:p>
      <w:pPr>
        <w:pStyle w:val="Bibliography"/>
      </w:pPr>
      <w:r>
        <w:t xml:space="preserve">15.</w:t>
      </w:r>
      <w:r>
        <w:t xml:space="preserve"> </w:t>
      </w:r>
      <w:r>
        <w:t xml:space="preserve">	</w:t>
      </w:r>
      <w:r>
        <w:t xml:space="preserve">LeCun Y, Bengio Y, Hinton G. Deep learning. Nature 2015 May 28;521(7553):436–444. PMID:</w:t>
      </w:r>
      <w:hyperlink r:id="rId133">
        <w:r>
          <w:rPr>
            <w:rStyle w:val="Hyperlink"/>
          </w:rPr>
          <w:t xml:space="preserve">26017442</w:t>
        </w:r>
      </w:hyperlink>
    </w:p>
    <w:bookmarkEnd w:id="134"/>
    <w:bookmarkStart w:id="136" w:name="ref-Khan2023-vr"/>
    <w:p>
      <w:pPr>
        <w:pStyle w:val="Bibliography"/>
      </w:pPr>
      <w:r>
        <w:t xml:space="preserve">16.</w:t>
      </w:r>
      <w:r>
        <w:t xml:space="preserve"> </w:t>
      </w:r>
      <w:r>
        <w:t xml:space="preserve">	</w:t>
      </w:r>
      <w:r>
        <w:t xml:space="preserve">Khan RA, Jawaid M, Khan AR, Sajjad M. ChatGPT - Reshaping medical education and clinical management. Pak J Med Sci Q 2023;39(2):605–607. PMID:</w:t>
      </w:r>
      <w:hyperlink r:id="rId135">
        <w:r>
          <w:rPr>
            <w:rStyle w:val="Hyperlink"/>
          </w:rPr>
          <w:t xml:space="preserve">36950398</w:t>
        </w:r>
      </w:hyperlink>
    </w:p>
    <w:bookmarkEnd w:id="136"/>
    <w:bookmarkStart w:id="138" w:name="ref-Lee2024-th"/>
    <w:p>
      <w:pPr>
        <w:pStyle w:val="Bibliography"/>
      </w:pPr>
      <w:r>
        <w:t xml:space="preserve">17.</w:t>
      </w:r>
      <w:r>
        <w:t xml:space="preserve"> </w:t>
      </w:r>
      <w:r>
        <w:t xml:space="preserve">	</w:t>
      </w:r>
      <w:r>
        <w:t xml:space="preserve">Lee H. The rise of ChatGPT: Exploring its potential in medical education. Anat Sci Educ Wiley; 2024 Jul;17(5):926–931. PMID:</w:t>
      </w:r>
      <w:hyperlink r:id="rId137">
        <w:r>
          <w:rPr>
            <w:rStyle w:val="Hyperlink"/>
          </w:rPr>
          <w:t xml:space="preserve">36916887</w:t>
        </w:r>
      </w:hyperlink>
    </w:p>
    <w:bookmarkEnd w:id="138"/>
    <w:bookmarkStart w:id="140" w:name="ref-Steiss2024-ra"/>
    <w:p>
      <w:pPr>
        <w:pStyle w:val="Bibliography"/>
      </w:pPr>
      <w:r>
        <w:t xml:space="preserve">18.</w:t>
      </w:r>
      <w:r>
        <w:t xml:space="preserve"> </w:t>
      </w:r>
      <w:r>
        <w:t xml:space="preserve">	</w:t>
      </w:r>
      <w:r>
        <w:t xml:space="preserve">Steiss J, Tate T, Graham S, Cruz J, Hebert M, Wang J, Moon Y, Tseng W, Warschauer M, Olson CB. Comparing the quality of human and ChatGPT feedback of students’ writing. Learning and Instruction 2024 Jun 1;91:101894. doi:</w:t>
      </w:r>
      <w:r>
        <w:t xml:space="preserve"> </w:t>
      </w:r>
      <w:hyperlink r:id="rId139">
        <w:r>
          <w:rPr>
            <w:rStyle w:val="Hyperlink"/>
          </w:rPr>
          <w:t xml:space="preserve">10.1016/j.learninstruc.2024.101894</w:t>
        </w:r>
      </w:hyperlink>
    </w:p>
    <w:bookmarkEnd w:id="140"/>
    <w:bookmarkStart w:id="142" w:name="ref-Ortega-Ochoa2024-ub"/>
    <w:p>
      <w:pPr>
        <w:pStyle w:val="Bibliography"/>
      </w:pPr>
      <w:r>
        <w:t xml:space="preserve">19.</w:t>
      </w:r>
      <w:r>
        <w:t xml:space="preserve"> </w:t>
      </w:r>
      <w:r>
        <w:t xml:space="preserve">	</w:t>
      </w:r>
      <w:r>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w:t>
      </w:r>
      <w:r>
        <w:t xml:space="preserve"> </w:t>
      </w:r>
      <w:hyperlink r:id="rId141">
        <w:r>
          <w:rPr>
            <w:rStyle w:val="Hyperlink"/>
          </w:rPr>
          <w:t xml:space="preserve">10.1016/j.iot.2024.101101</w:t>
        </w:r>
      </w:hyperlink>
    </w:p>
    <w:bookmarkEnd w:id="142"/>
    <w:bookmarkStart w:id="144" w:name="ref-Jayawardena2025-gj"/>
    <w:p>
      <w:pPr>
        <w:pStyle w:val="Bibliography"/>
      </w:pPr>
      <w:r>
        <w:t xml:space="preserve">20.</w:t>
      </w:r>
      <w:r>
        <w:t xml:space="preserve"> </w:t>
      </w:r>
      <w:r>
        <w:t xml:space="preserve">	</w:t>
      </w:r>
      <w:r>
        <w:t xml:space="preserve">Jayawardena CK, Gunathilake Y, Ihalagedara D. Dental students’ learning experience: Artificial intelligence vs human feedback on assignments. Int Dent J Elsevier BV; 2025 Feb 1;75(1):100–108. PMID:</w:t>
      </w:r>
      <w:hyperlink r:id="rId143">
        <w:r>
          <w:rPr>
            <w:rStyle w:val="Hyperlink"/>
          </w:rPr>
          <w:t xml:space="preserve">39799065</w:t>
        </w:r>
      </w:hyperlink>
    </w:p>
    <w:bookmarkEnd w:id="144"/>
    <w:bookmarkStart w:id="146" w:name="ref-Haider2025-tc"/>
    <w:p>
      <w:pPr>
        <w:pStyle w:val="Bibliography"/>
      </w:pPr>
      <w:r>
        <w:t xml:space="preserve">21.</w:t>
      </w:r>
      <w:r>
        <w:t xml:space="preserve"> </w:t>
      </w:r>
      <w:r>
        <w:t xml:space="preserve">	</w:t>
      </w:r>
      <w:r>
        <w:t xml:space="preserve">Haider N, Morjaria L, Sheth U, Al-Jabouri N, Sibbald M. MD student perceptions of ChatGPT for reflective writing feedback in undergraduate medical education. International Medical Education MDPI AG; 2025 Jul 23;4(3):27. doi:</w:t>
      </w:r>
      <w:r>
        <w:t xml:space="preserve"> </w:t>
      </w:r>
      <w:hyperlink r:id="rId145">
        <w:r>
          <w:rPr>
            <w:rStyle w:val="Hyperlink"/>
          </w:rPr>
          <w:t xml:space="preserve">10.3390/ime4030027</w:t>
        </w:r>
      </w:hyperlink>
    </w:p>
    <w:bookmarkEnd w:id="146"/>
    <w:bookmarkStart w:id="148" w:name="ref-Cicek2025-ru"/>
    <w:p>
      <w:pPr>
        <w:pStyle w:val="Bibliography"/>
      </w:pPr>
      <w:r>
        <w:t xml:space="preserve">22.</w:t>
      </w:r>
      <w:r>
        <w:t xml:space="preserve"> </w:t>
      </w:r>
      <w:r>
        <w:t xml:space="preserve">	</w:t>
      </w:r>
      <w:r>
        <w:t xml:space="preserve">Çiçek FE, Ülker M, Özer M, Kıyak YS. ChatGPT versus expert feedback on clinical reasoning questions and their effect on learning: a randomized controlled trial. Postgrad Med J Postgrad Med J; 2025 Apr 22;101(1195):458–463. PMID:</w:t>
      </w:r>
      <w:hyperlink r:id="rId147">
        <w:r>
          <w:rPr>
            <w:rStyle w:val="Hyperlink"/>
          </w:rPr>
          <w:t xml:space="preserve">39656920</w:t>
        </w:r>
      </w:hyperlink>
    </w:p>
    <w:bookmarkEnd w:id="148"/>
    <w:bookmarkStart w:id="150" w:name="ref-Usher2025-md"/>
    <w:p>
      <w:pPr>
        <w:pStyle w:val="Bibliography"/>
      </w:pPr>
      <w:r>
        <w:t xml:space="preserve">23.</w:t>
      </w:r>
      <w:r>
        <w:t xml:space="preserve"> </w:t>
      </w:r>
      <w:r>
        <w:t xml:space="preserve">	</w:t>
      </w:r>
      <w:r>
        <w:t xml:space="preserve">Usher M. Generative AI vs. instructor vs. peer assessments: a comparison of grading and feedback in higher education. Assess Eval High Educ Informa UK Limited; 2025 Aug 18;50(6):912–927. doi:</w:t>
      </w:r>
      <w:r>
        <w:t xml:space="preserve"> </w:t>
      </w:r>
      <w:hyperlink r:id="rId149">
        <w:r>
          <w:rPr>
            <w:rStyle w:val="Hyperlink"/>
          </w:rPr>
          <w:t xml:space="preserve">10.1080/02602938.2025.2487495</w:t>
        </w:r>
      </w:hyperlink>
    </w:p>
    <w:bookmarkEnd w:id="150"/>
    <w:bookmarkStart w:id="152" w:name="ref-Er2025-is"/>
    <w:p>
      <w:pPr>
        <w:pStyle w:val="Bibliography"/>
      </w:pPr>
      <w:r>
        <w:t xml:space="preserve">24.</w:t>
      </w:r>
      <w:r>
        <w:t xml:space="preserve"> </w:t>
      </w:r>
      <w:r>
        <w:t xml:space="preserve">	</w:t>
      </w:r>
      <w:r>
        <w:t xml:space="preserve">Er E, Akçapınar G, Bayazıt A, Noroozi O, Banihashem SK. Assessing student perceptions and use of instructor versus AI‐generated feedback. Br J Educ Technol Wiley; 2025 May 1;56(3):1074–1091. doi:</w:t>
      </w:r>
      <w:r>
        <w:t xml:space="preserve"> </w:t>
      </w:r>
      <w:hyperlink r:id="rId151">
        <w:r>
          <w:rPr>
            <w:rStyle w:val="Hyperlink"/>
          </w:rPr>
          <w:t xml:space="preserve">10.1111/bjet.13558</w:t>
        </w:r>
      </w:hyperlink>
    </w:p>
    <w:bookmarkEnd w:id="152"/>
    <w:bookmarkStart w:id="154" w:name="ref-Ali2025-fd"/>
    <w:p>
      <w:pPr>
        <w:pStyle w:val="Bibliography"/>
      </w:pPr>
      <w:r>
        <w:t xml:space="preserve">25.</w:t>
      </w:r>
      <w:r>
        <w:t xml:space="preserve"> </w:t>
      </w:r>
      <w:r>
        <w:t xml:space="preserve">	</w:t>
      </w:r>
      <w:r>
        <w:t xml:space="preserve">Ali M, Harbieh I, Haider KH. Bytes versus brains: A comparative study of AI-generated feedback and human tutor feedback in medical education. Med Teach Taylor &amp; Francis; 2025 Jun 18;1–11. PMID:</w:t>
      </w:r>
      <w:hyperlink r:id="rId153">
        <w:r>
          <w:rPr>
            <w:rStyle w:val="Hyperlink"/>
          </w:rPr>
          <w:t xml:space="preserve">40528415</w:t>
        </w:r>
      </w:hyperlink>
    </w:p>
    <w:bookmarkEnd w:id="154"/>
    <w:bookmarkStart w:id="156" w:name="ref-Andreou2024-mt"/>
    <w:p>
      <w:pPr>
        <w:pStyle w:val="Bibliography"/>
      </w:pPr>
      <w:r>
        <w:t xml:space="preserve">26.</w:t>
      </w:r>
      <w:r>
        <w:t xml:space="preserve"> </w:t>
      </w:r>
      <w:r>
        <w:t xml:space="preserve">	</w:t>
      </w:r>
      <w:r>
        <w:t xml:space="preserve">Andreou V, Peters S, Eggermont J, Schoenmakers B. Evaluating feedback comments in Entrustable Professional Activities: A cross-sectional study. J Med Educ Curric Dev J Med Educ Curric Dev; 2024 Jan 24;11:23821205241275810. PMID:</w:t>
      </w:r>
      <w:hyperlink r:id="rId155">
        <w:r>
          <w:rPr>
            <w:rStyle w:val="Hyperlink"/>
          </w:rPr>
          <w:t xml:space="preserve">39346122</w:t>
        </w:r>
      </w:hyperlink>
    </w:p>
    <w:bookmarkEnd w:id="156"/>
    <w:bookmarkStart w:id="158" w:name="ref-Poeppelman2025-iv"/>
    <w:p>
      <w:pPr>
        <w:pStyle w:val="Bibliography"/>
      </w:pPr>
      <w:r>
        <w:t xml:space="preserve">27.</w:t>
      </w:r>
      <w:r>
        <w:t xml:space="preserve"> </w:t>
      </w:r>
      <w:r>
        <w:t xml:space="preserve">	</w:t>
      </w:r>
      <w:r>
        <w:t xml:space="preserve">Poeppelman RS, Cho J, Nachbor K, Sekhar TC, Pruett J, Baim A, Strul S, Barsam A, Langworthy B, Waxman EL, Culican SM.</w:t>
      </w:r>
      <w:r>
        <w:t xml:space="preserve"> </w:t>
      </w:r>
      <w:r>
        <w:t xml:space="preserve">“but why?”</w:t>
      </w:r>
      <w:r>
        <w:t xml:space="preserve">: Explanatory feedback is a reliable marker of high-quality narrative assessment of surgical performance. Acad Med Ovid Technologies (Wolters Kluwer Health); 2025 May 1;100(5):614–620. PMID:</w:t>
      </w:r>
      <w:hyperlink r:id="rId157">
        <w:r>
          <w:rPr>
            <w:rStyle w:val="Hyperlink"/>
          </w:rPr>
          <w:t xml:space="preserve">39889694</w:t>
        </w:r>
      </w:hyperlink>
    </w:p>
    <w:bookmarkEnd w:id="158"/>
    <w:bookmarkStart w:id="160" w:name="ref-Lu2023-da"/>
    <w:p>
      <w:pPr>
        <w:pStyle w:val="Bibliography"/>
      </w:pPr>
      <w:r>
        <w:t xml:space="preserve">28.</w:t>
      </w:r>
      <w:r>
        <w:t xml:space="preserve"> </w:t>
      </w:r>
      <w:r>
        <w:t xml:space="preserve">	</w:t>
      </w:r>
      <w:r>
        <w:t xml:space="preserve">Lu KJQ, Meaney C, Guo E, Leung F-H. Evaluating the applicability of existing lexicon-based sentiment analysis techniques on family medicine resident feedback field notes: Retrospective cohort study. JMIR Med Educ JMIR Publications Inc.; 2023 Jul 27;9:e41953. PMID:</w:t>
      </w:r>
      <w:hyperlink r:id="rId159">
        <w:r>
          <w:rPr>
            <w:rStyle w:val="Hyperlink"/>
          </w:rPr>
          <w:t xml:space="preserve">37498660</w:t>
        </w:r>
      </w:hyperlink>
    </w:p>
    <w:bookmarkEnd w:id="160"/>
    <w:bookmarkStart w:id="162" w:name="ref-Mooney2022-hy"/>
    <w:p>
      <w:pPr>
        <w:pStyle w:val="Bibliography"/>
      </w:pPr>
      <w:r>
        <w:t xml:space="preserve">29.</w:t>
      </w:r>
      <w:r>
        <w:t xml:space="preserve"> </w:t>
      </w:r>
      <w:r>
        <w:t xml:space="preserve">	</w:t>
      </w:r>
      <w:r>
        <w:t xml:space="preserve">Mooney CJ, Pascoe JM, Blatt AE, Lang VJ, Kelly MS, Braun MK, Burch JE, Stone RT. Predictors of faculty narrative evaluation quality in medical school clerkships. Medical education Med Educ; 2022 Dec;56(12). PMID:</w:t>
      </w:r>
      <w:hyperlink r:id="rId161">
        <w:r>
          <w:rPr>
            <w:rStyle w:val="Hyperlink"/>
          </w:rPr>
          <w:t xml:space="preserve">35950329</w:t>
        </w:r>
      </w:hyperlink>
    </w:p>
    <w:bookmarkEnd w:id="162"/>
    <w:bookmarkStart w:id="164" w:name="ref-Coughlin2022-qj"/>
    <w:p>
      <w:pPr>
        <w:pStyle w:val="Bibliography"/>
      </w:pPr>
      <w:r>
        <w:t xml:space="preserve">30.</w:t>
      </w:r>
      <w:r>
        <w:t xml:space="preserve"> </w:t>
      </w:r>
      <w:r>
        <w:t xml:space="preserve">	</w:t>
      </w:r>
      <w:r>
        <w:t xml:space="preserve">Coughlin RF, Tsyrulnik A, Gottlieb M, Bod J, Barnicle R, Dziura J, Della-Giustina D, Goldflam K. Differences in faculty feedback for high, expected, and below-expected clinically performing emergency medicine residents. AEM Educ Train Wiley; 2022 Oct 17;6(5):e10788. PMID:</w:t>
      </w:r>
      <w:hyperlink r:id="rId163">
        <w:r>
          <w:rPr>
            <w:rStyle w:val="Hyperlink"/>
          </w:rPr>
          <w:t xml:space="preserve">36189452</w:t>
        </w:r>
      </w:hyperlink>
    </w:p>
    <w:bookmarkEnd w:id="164"/>
    <w:bookmarkStart w:id="166" w:name="ref-Van-Ostaeyen2023-wo"/>
    <w:p>
      <w:pPr>
        <w:pStyle w:val="Bibliography"/>
      </w:pPr>
      <w:r>
        <w:t xml:space="preserve">31.</w:t>
      </w:r>
      <w:r>
        <w:t xml:space="preserve"> </w:t>
      </w:r>
      <w:r>
        <w:t xml:space="preserve">	</w:t>
      </w:r>
      <w:r>
        <w:t xml:space="preserve">Van Ostaeyen S, Embo M, Rotsaert T, De Clercq O, Schellens T, Valcke M. A qualitative textual analysis of feedback comments in ePortfolios: Quality and alignment with the CanMEDS roles. Perspect Med Educ Perspect Med Educ; 2023 Dec 22;12(1):584–593. PMID:</w:t>
      </w:r>
      <w:hyperlink r:id="rId165">
        <w:r>
          <w:rPr>
            <w:rStyle w:val="Hyperlink"/>
          </w:rPr>
          <w:t xml:space="preserve">38144672</w:t>
        </w:r>
      </w:hyperlink>
    </w:p>
    <w:bookmarkEnd w:id="166"/>
    <w:bookmarkStart w:id="168" w:name="ref-Lin2024-zt"/>
    <w:p>
      <w:pPr>
        <w:pStyle w:val="Bibliography"/>
      </w:pPr>
      <w:r>
        <w:t xml:space="preserve">32.</w:t>
      </w:r>
      <w:r>
        <w:t xml:space="preserve"> </w:t>
      </w:r>
      <w:r>
        <w:t xml:space="preserve">	</w:t>
      </w:r>
      <w:r>
        <w:t xml:space="preserve">Lin S, Crosthwaite P. The grass is not always greener: Teacher vs. GPT-assisted written corrective feedback. System Elsevier BV; 2024 Dec 1;127(103529):103529. doi:</w:t>
      </w:r>
      <w:r>
        <w:t xml:space="preserve"> </w:t>
      </w:r>
      <w:hyperlink r:id="rId167">
        <w:r>
          <w:rPr>
            <w:rStyle w:val="Hyperlink"/>
          </w:rPr>
          <w:t xml:space="preserve">10.1016/j.system.2024.103529</w:t>
        </w:r>
      </w:hyperlink>
    </w:p>
    <w:bookmarkEnd w:id="168"/>
    <w:bookmarkStart w:id="170" w:name="ref-Nazaretsky2024-sf"/>
    <w:p>
      <w:pPr>
        <w:pStyle w:val="Bibliography"/>
      </w:pPr>
      <w:r>
        <w:t xml:space="preserve">33.</w:t>
      </w:r>
      <w:r>
        <w:t xml:space="preserve"> </w:t>
      </w:r>
      <w:r>
        <w:t xml:space="preserve">	</w:t>
      </w:r>
      <w:r>
        <w:t xml:space="preserve">Nazaretsky T, Mejia-Domenzain P, Swamy V, Frej J, Käser T. AI or human? Evaluating student feedback perceptions in higher education. Lecture Notes in Computer Science Springer Nature Switzerland; 2024. p. 284–298. doi:</w:t>
      </w:r>
      <w:r>
        <w:t xml:space="preserve"> </w:t>
      </w:r>
      <w:hyperlink r:id="rId169">
        <w:r>
          <w:rPr>
            <w:rStyle w:val="Hyperlink"/>
          </w:rPr>
          <w:t xml:space="preserve">10.1007/978-3-031-72315-5_20</w:t>
        </w:r>
      </w:hyperlink>
      <w:r>
        <w:t xml:space="preserve">ISBN:9783031723148</w:t>
      </w:r>
    </w:p>
    <w:bookmarkEnd w:id="170"/>
    <w:bookmarkStart w:id="172" w:name="ref-Zhang2025-cg"/>
    <w:p>
      <w:pPr>
        <w:pStyle w:val="Bibliography"/>
      </w:pPr>
      <w:r>
        <w:t xml:space="preserve">34.</w:t>
      </w:r>
      <w:r>
        <w:t xml:space="preserve"> </w:t>
      </w:r>
      <w:r>
        <w:t xml:space="preserve">	</w:t>
      </w:r>
      <w:r>
        <w:t xml:space="preserve">Zhang A, Gao Y, Suraworachet W, Nazaretsky T, Cukurova M. Evaluating trust in AI, human, and co-produced feedback among undergraduate students. arXiv [csHC] 2025. doi:</w:t>
      </w:r>
      <w:r>
        <w:t xml:space="preserve"> </w:t>
      </w:r>
      <w:hyperlink r:id="rId171">
        <w:r>
          <w:rPr>
            <w:rStyle w:val="Hyperlink"/>
          </w:rPr>
          <w:t xml:space="preserve">10.48550/arXiv.2504.10961</w:t>
        </w:r>
      </w:hyperlink>
    </w:p>
    <w:bookmarkEnd w:id="172"/>
    <w:bookmarkStart w:id="174" w:name="ref-Rudian2025-nq"/>
    <w:p>
      <w:pPr>
        <w:pStyle w:val="Bibliography"/>
      </w:pPr>
      <w:r>
        <w:t xml:space="preserve">35.</w:t>
      </w:r>
      <w:r>
        <w:t xml:space="preserve"> </w:t>
      </w:r>
      <w:r>
        <w:t xml:space="preserve">	</w:t>
      </w:r>
      <w:r>
        <w:t xml:space="preserve">Rüdian S, Podelo J, Kužílek J, Pinkwart N. Feedback on feedback: Student’s perceptions for feedback from teachers and few-shot LLMs. Proceedings of the 15th International Learning Analytics and Knowledge Conference ACM; 2025. p. 82–92. doi:</w:t>
      </w:r>
      <w:r>
        <w:t xml:space="preserve"> </w:t>
      </w:r>
      <w:hyperlink r:id="rId173">
        <w:r>
          <w:rPr>
            <w:rStyle w:val="Hyperlink"/>
          </w:rPr>
          <w:t xml:space="preserve">10.1145/3706468.3706479</w:t>
        </w:r>
      </w:hyperlink>
    </w:p>
    <w:bookmarkEnd w:id="174"/>
    <w:bookmarkStart w:id="176" w:name="ref-Nishigori2024-rr"/>
    <w:p>
      <w:pPr>
        <w:pStyle w:val="Bibliography"/>
      </w:pPr>
      <w:r>
        <w:t xml:space="preserve">36.</w:t>
      </w:r>
      <w:r>
        <w:t xml:space="preserve"> </w:t>
      </w:r>
      <w:r>
        <w:t xml:space="preserve">	</w:t>
      </w:r>
      <w:r>
        <w:t xml:space="preserve">Nishigori H. Medical education in Japan. Med Teach Informa UK Limited; 2024 Sep 4;46(sup1):S4–S10. PMID:</w:t>
      </w:r>
      <w:hyperlink r:id="rId175">
        <w:r>
          <w:rPr>
            <w:rStyle w:val="Hyperlink"/>
          </w:rPr>
          <w:t xml:space="preserve">39545499</w:t>
        </w:r>
      </w:hyperlink>
    </w:p>
    <w:bookmarkEnd w:id="176"/>
    <w:bookmarkStart w:id="178" w:name="ref-Fetters2013-ob"/>
    <w:p>
      <w:pPr>
        <w:pStyle w:val="Bibliography"/>
      </w:pPr>
      <w:r>
        <w:t xml:space="preserve">37.</w:t>
      </w:r>
      <w:r>
        <w:t xml:space="preserve"> </w:t>
      </w:r>
      <w:r>
        <w:t xml:space="preserve">	</w:t>
      </w:r>
      <w:r>
        <w:t xml:space="preserve">Fetters MD, Curry LA, Creswell JW. Achieving integration in mixed methods designs-principles and practices. Health Serv Res 2013 Dec;48(6 Pt 2):2134–2156. PMID:</w:t>
      </w:r>
      <w:hyperlink r:id="rId177">
        <w:r>
          <w:rPr>
            <w:rStyle w:val="Hyperlink"/>
          </w:rPr>
          <w:t xml:space="preserve">24279835</w:t>
        </w:r>
      </w:hyperlink>
    </w:p>
    <w:bookmarkEnd w:id="178"/>
    <w:bookmarkStart w:id="180" w:name="ref-Maudsley2011-wz"/>
    <w:p>
      <w:pPr>
        <w:pStyle w:val="Bibliography"/>
      </w:pPr>
      <w:r>
        <w:t xml:space="preserve">38.</w:t>
      </w:r>
      <w:r>
        <w:t xml:space="preserve"> </w:t>
      </w:r>
      <w:r>
        <w:t xml:space="preserve">	</w:t>
      </w:r>
      <w:r>
        <w:t xml:space="preserve">Maudsley G. Mixing it but not mixed-up: mixed methods research in medical education (a critical narrative review). Med Teach 2011;33(2):e92–104. PMID:</w:t>
      </w:r>
      <w:hyperlink r:id="rId179">
        <w:r>
          <w:rPr>
            <w:rStyle w:val="Hyperlink"/>
          </w:rPr>
          <w:t xml:space="preserve">21275539</w:t>
        </w:r>
      </w:hyperlink>
    </w:p>
    <w:bookmarkEnd w:id="180"/>
    <w:bookmarkStart w:id="182" w:name="ref-Jacobsen2023-jl"/>
    <w:p>
      <w:pPr>
        <w:pStyle w:val="Bibliography"/>
      </w:pPr>
      <w:r>
        <w:t xml:space="preserve">39.</w:t>
      </w:r>
      <w:r>
        <w:t xml:space="preserve"> </w:t>
      </w:r>
      <w:r>
        <w:t xml:space="preserve">	</w:t>
      </w:r>
      <w:r>
        <w:t xml:space="preserve">Jacobsen LJ, Weber KE. The Promises and Pitfalls of ChatGPT as a Feedback Provider in Higher Education: An Exploratory Study of Prompt Engineering and the Quality of AI-Driven Feedback. OSF Preprints; 2023. doi:</w:t>
      </w:r>
      <w:r>
        <w:t xml:space="preserve"> </w:t>
      </w:r>
      <w:hyperlink r:id="rId181">
        <w:r>
          <w:rPr>
            <w:rStyle w:val="Hyperlink"/>
          </w:rPr>
          <w:t xml:space="preserve">10.31219/osf.io/cr257</w:t>
        </w:r>
      </w:hyperlink>
    </w:p>
    <w:bookmarkEnd w:id="182"/>
    <w:bookmarkStart w:id="184" w:name="ref-Van_Ostaeyen2023-ut"/>
    <w:p>
      <w:pPr>
        <w:pStyle w:val="Bibliography"/>
      </w:pPr>
      <w:r>
        <w:t xml:space="preserve">40.</w:t>
      </w:r>
      <w:r>
        <w:t xml:space="preserve"> </w:t>
      </w:r>
      <w:r>
        <w:t xml:space="preserve">	</w:t>
      </w:r>
      <w:r>
        <w:t xml:space="preserve">Van Ostaeyen S, De Langhe L, De Clercq O, Embo M, Schellens T, Valcke M. Automating the Identification of Feedback Quality Criteria and the CanMEDS Roles in Written Feedback Comments Using Natural Language Processing. Perspect Med Educ 2023 Dec 18;12(1):540–549. PMID:</w:t>
      </w:r>
      <w:hyperlink r:id="rId183">
        <w:r>
          <w:rPr>
            <w:rStyle w:val="Hyperlink"/>
          </w:rPr>
          <w:t xml:space="preserve">38144670</w:t>
        </w:r>
      </w:hyperlink>
    </w:p>
    <w:bookmarkEnd w:id="184"/>
    <w:bookmarkStart w:id="186" w:name="ref-OpenAI2024-uk"/>
    <w:p>
      <w:pPr>
        <w:pStyle w:val="Bibliography"/>
      </w:pPr>
      <w:r>
        <w:t xml:space="preserve">41.</w:t>
      </w:r>
      <w:r>
        <w:t xml:space="preserve"> </w:t>
      </w:r>
      <w:r>
        <w:t xml:space="preserve">	</w:t>
      </w:r>
      <w:r>
        <w:t xml:space="preserve">OpenAI. Models GPT-4o - OpenAI API. OpanAI Platform 2024. Available from:</w:t>
      </w:r>
      <w:r>
        <w:t xml:space="preserve"> </w:t>
      </w:r>
      <w:hyperlink r:id="rId185">
        <w:r>
          <w:rPr>
            <w:rStyle w:val="Hyperlink"/>
          </w:rPr>
          <w:t xml:space="preserve">https://platform.openai.com/docs/models/gpt-4o</w:t>
        </w:r>
        <w:r>
          <w:rPr>
            <w:rStyle w:val="Hyperlink"/>
          </w:rPr>
          <w:t xml:space="preserve"> </w:t>
        </w:r>
      </w:hyperlink>
    </w:p>
    <w:bookmarkEnd w:id="186"/>
    <w:bookmarkStart w:id="188" w:name="ref-Walde2023-vi"/>
    <w:p>
      <w:pPr>
        <w:pStyle w:val="Bibliography"/>
      </w:pPr>
      <w:r>
        <w:t xml:space="preserve">42.</w:t>
      </w:r>
      <w:r>
        <w:t xml:space="preserve"> </w:t>
      </w:r>
      <w:r>
        <w:t xml:space="preserve">	</w:t>
      </w:r>
      <w:r>
        <w:t xml:space="preserve">Walde P, Völlm BA. The TRAPD approach as a method for questionnaire translation. Front Psychiatry 2023 Jun 15;14:1199989. PMID:</w:t>
      </w:r>
      <w:hyperlink r:id="rId187">
        <w:r>
          <w:rPr>
            <w:rStyle w:val="Hyperlink"/>
          </w:rPr>
          <w:t xml:space="preserve">37398605</w:t>
        </w:r>
      </w:hyperlink>
    </w:p>
    <w:bookmarkEnd w:id="188"/>
    <w:bookmarkStart w:id="190" w:name="ref-van-de-Ridder2014-ld"/>
    <w:p>
      <w:pPr>
        <w:pStyle w:val="Bibliography"/>
      </w:pPr>
      <w:r>
        <w:t xml:space="preserve">43.</w:t>
      </w:r>
      <w:r>
        <w:t xml:space="preserve"> </w:t>
      </w:r>
      <w:r>
        <w:t xml:space="preserve">	</w:t>
      </w:r>
      <w:r>
        <w:t xml:space="preserve">van de Ridder JMM, Berk FCJ, Stokking KM, Ten Cate OTJ. Feedback providers’ credibility impacts students’ satisfaction with feedback and delayed performance. Med Teach Informa Healthcare; 2014 Oct 13;37(8):1–8. PMID:</w:t>
      </w:r>
      <w:hyperlink r:id="rId189">
        <w:r>
          <w:rPr>
            <w:rStyle w:val="Hyperlink"/>
          </w:rPr>
          <w:t xml:space="preserve">25306959</w:t>
        </w:r>
      </w:hyperlink>
    </w:p>
    <w:bookmarkEnd w:id="190"/>
    <w:bookmarkStart w:id="192" w:name="ref-Tripodi2021-mc"/>
    <w:p>
      <w:pPr>
        <w:pStyle w:val="Bibliography"/>
      </w:pPr>
      <w:r>
        <w:t xml:space="preserve">44.</w:t>
      </w:r>
      <w:r>
        <w:t xml:space="preserve"> </w:t>
      </w:r>
      <w:r>
        <w:t xml:space="preserve">	</w:t>
      </w:r>
      <w:r>
        <w:t xml:space="preserve">Tripodi N, Feehan J, Wospil R, Vaughan B. Twelve tips for developing feedback literacy in health professions learners. Med Teach 2021 Aug;43(8):960–965. PMID:</w:t>
      </w:r>
      <w:hyperlink r:id="rId191">
        <w:r>
          <w:rPr>
            <w:rStyle w:val="Hyperlink"/>
          </w:rPr>
          <w:t xml:space="preserve">33131374</w:t>
        </w:r>
      </w:hyperlink>
    </w:p>
    <w:bookmarkEnd w:id="192"/>
    <w:bookmarkStart w:id="194" w:name="ref-R-Core-Team2024-jc"/>
    <w:p>
      <w:pPr>
        <w:pStyle w:val="Bibliography"/>
      </w:pPr>
      <w:r>
        <w:t xml:space="preserve">45.</w:t>
      </w:r>
      <w:r>
        <w:t xml:space="preserve"> </w:t>
      </w:r>
      <w:r>
        <w:t xml:space="preserve">	</w:t>
      </w:r>
      <w:r>
        <w:t xml:space="preserve">R Core Team. R: A Language and Environment for Statistical Computing. 2024. Available from:</w:t>
      </w:r>
      <w:r>
        <w:t xml:space="preserve"> </w:t>
      </w:r>
      <w:hyperlink r:id="rId193">
        <w:r>
          <w:rPr>
            <w:rStyle w:val="Hyperlink"/>
          </w:rPr>
          <w:t xml:space="preserve">https://www.R-project.org/</w:t>
        </w:r>
        <w:r>
          <w:rPr>
            <w:rStyle w:val="Hyperlink"/>
          </w:rPr>
          <w:t xml:space="preserve"> </w:t>
        </w:r>
      </w:hyperlink>
    </w:p>
    <w:bookmarkEnd w:id="194"/>
    <w:bookmarkStart w:id="196" w:name="ref-Zhang2018-kh"/>
    <w:p>
      <w:pPr>
        <w:pStyle w:val="Bibliography"/>
      </w:pPr>
      <w:r>
        <w:t xml:space="preserve">46.</w:t>
      </w:r>
      <w:r>
        <w:t xml:space="preserve"> </w:t>
      </w:r>
      <w:r>
        <w:t xml:space="preserve">	</w:t>
      </w:r>
      <w:r>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w:t>
      </w:r>
      <w:r>
        <w:t xml:space="preserve"> </w:t>
      </w:r>
      <w:hyperlink r:id="rId195">
        <w:r>
          <w:rPr>
            <w:rStyle w:val="Hyperlink"/>
          </w:rPr>
          <w:t xml:space="preserve">10.18653/v1/w18-6303</w:t>
        </w:r>
      </w:hyperlink>
    </w:p>
    <w:bookmarkEnd w:id="196"/>
    <w:bookmarkStart w:id="198" w:name="ref-Nowell2017-qr"/>
    <w:p>
      <w:pPr>
        <w:pStyle w:val="Bibliography"/>
      </w:pPr>
      <w:r>
        <w:t xml:space="preserve">47.</w:t>
      </w:r>
      <w:r>
        <w:t xml:space="preserve"> </w:t>
      </w:r>
      <w:r>
        <w:t xml:space="preserve">	</w:t>
      </w:r>
      <w:r>
        <w:t xml:space="preserve">Nowell LS, Norris JM, White DE, Moules NJ. Thematic analysis. Int J Qual Methods SAGE Publications; 2017 Dec;16(1):160940691773384. doi:</w:t>
      </w:r>
      <w:r>
        <w:t xml:space="preserve"> </w:t>
      </w:r>
      <w:hyperlink r:id="rId197">
        <w:r>
          <w:rPr>
            <w:rStyle w:val="Hyperlink"/>
          </w:rPr>
          <w:t xml:space="preserve">10.1177/1609406917733847</w:t>
        </w:r>
      </w:hyperlink>
    </w:p>
    <w:bookmarkEnd w:id="198"/>
    <w:bookmarkStart w:id="200" w:name="ref-Guetterman2015-qt"/>
    <w:p>
      <w:pPr>
        <w:pStyle w:val="Bibliography"/>
      </w:pPr>
      <w:r>
        <w:t xml:space="preserve">48.</w:t>
      </w:r>
      <w:r>
        <w:t xml:space="preserve"> </w:t>
      </w:r>
      <w:r>
        <w:t xml:space="preserve">	</w:t>
      </w:r>
      <w:r>
        <w:t xml:space="preserve">Guetterman TC, Fetters MD, Creswell JW. Integrating quantitative and qualitative results in health science mixed methods research through joint displays. Ann Fam Med Annals of Family Medicine; 2015 Nov;13(6):554–561. PMID:</w:t>
      </w:r>
      <w:hyperlink r:id="rId199">
        <w:r>
          <w:rPr>
            <w:rStyle w:val="Hyperlink"/>
          </w:rPr>
          <w:t xml:space="preserve">26553895</w:t>
        </w:r>
      </w:hyperlink>
    </w:p>
    <w:bookmarkEnd w:id="200"/>
    <w:bookmarkStart w:id="202" w:name="ref-McCrudden2021-eo"/>
    <w:p>
      <w:pPr>
        <w:pStyle w:val="Bibliography"/>
      </w:pPr>
      <w:r>
        <w:t xml:space="preserve">49.</w:t>
      </w:r>
      <w:r>
        <w:t xml:space="preserve"> </w:t>
      </w:r>
      <w:r>
        <w:t xml:space="preserve">	</w:t>
      </w:r>
      <w:r>
        <w:t xml:space="preserve">McCrudden MT, Marchand G, Schutz PA. Joint displays for mixed methods research in psychology. Meth Psychol Elsevier BV; 2021 Dec 1;5(100067):100067. doi:</w:t>
      </w:r>
      <w:r>
        <w:t xml:space="preserve"> </w:t>
      </w:r>
      <w:hyperlink r:id="rId201">
        <w:r>
          <w:rPr>
            <w:rStyle w:val="Hyperlink"/>
          </w:rPr>
          <w:t xml:space="preserve">10.1016/j.metip.2021.100067</w:t>
        </w:r>
      </w:hyperlink>
    </w:p>
    <w:bookmarkEnd w:id="202"/>
    <w:bookmarkStart w:id="204" w:name="ref-Curtis2024-yo"/>
    <w:p>
      <w:pPr>
        <w:pStyle w:val="Bibliography"/>
      </w:pPr>
      <w:r>
        <w:t xml:space="preserve">50.</w:t>
      </w:r>
      <w:r>
        <w:t xml:space="preserve"> </w:t>
      </w:r>
      <w:r>
        <w:t xml:space="preserve">	</w:t>
      </w:r>
      <w:r>
        <w:t xml:space="preserve">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hyperlink r:id="rId203">
        <w:r>
          <w:rPr>
            <w:rStyle w:val="Hyperlink"/>
          </w:rPr>
          <w:t xml:space="preserve">39807150</w:t>
        </w:r>
      </w:hyperlink>
    </w:p>
    <w:bookmarkEnd w:id="204"/>
    <w:bookmarkStart w:id="206" w:name="ref-Leclair2023-ul"/>
    <w:p>
      <w:pPr>
        <w:pStyle w:val="Bibliography"/>
      </w:pPr>
      <w:r>
        <w:t xml:space="preserve">51.</w:t>
      </w:r>
      <w:r>
        <w:t xml:space="preserve"> </w:t>
      </w:r>
      <w:r>
        <w:t xml:space="preserve">	</w:t>
      </w:r>
      <w:r>
        <w:t xml:space="preserve">Leclair R, Ho JSS, Braund H, Kouzmina E, Bruzzese S, Awad S, Mann S, Zevin B. Exploring the quality of narrative feedback provided to residents during ambulatory patient care in medicine and surgery. J Med Educ Curric Dev J Med Educ Curric Dev; 2023 Jan 16;10:23821205231175734. PMID:</w:t>
      </w:r>
      <w:hyperlink r:id="rId205">
        <w:r>
          <w:rPr>
            <w:rStyle w:val="Hyperlink"/>
          </w:rPr>
          <w:t xml:space="preserve">37216002</w:t>
        </w:r>
      </w:hyperlink>
    </w:p>
    <w:bookmarkEnd w:id="206"/>
    <w:bookmarkStart w:id="208" w:name="ref-Renting2023-pk"/>
    <w:p>
      <w:pPr>
        <w:pStyle w:val="Bibliography"/>
      </w:pPr>
      <w:r>
        <w:t xml:space="preserve">52.</w:t>
      </w:r>
      <w:r>
        <w:t xml:space="preserve"> </w:t>
      </w:r>
      <w:r>
        <w:t xml:space="preserve">	</w:t>
      </w:r>
      <w:r>
        <w:t xml:space="preserve">Renting N, Jaarsma D, Borleffs JC, Slaets JPJ, Cohen-Schotanus J, Gans ROB. Effectiveness of a supervisor training on quality of feedback to internal medicine residents: a controlled longitudinal multicentre study. BMJ Open BMJ; 2023 Sep 28;13(9):e076946. PMID:</w:t>
      </w:r>
      <w:hyperlink r:id="rId207">
        <w:r>
          <w:rPr>
            <w:rStyle w:val="Hyperlink"/>
          </w:rPr>
          <w:t xml:space="preserve">37770280</w:t>
        </w:r>
      </w:hyperlink>
    </w:p>
    <w:bookmarkEnd w:id="208"/>
    <w:bookmarkStart w:id="210" w:name="ref-Zhou2025-fj"/>
    <w:p>
      <w:pPr>
        <w:pStyle w:val="Bibliography"/>
      </w:pPr>
      <w:r>
        <w:t xml:space="preserve">53.</w:t>
      </w:r>
      <w:r>
        <w:t xml:space="preserve"> </w:t>
      </w:r>
      <w:r>
        <w:t xml:space="preserve">	</w:t>
      </w:r>
      <w:r>
        <w:t xml:space="preserve">Zhou Z, Rizwan A, Rogoza N, Chung AD, Kwan BY. Differentiating between GPT-generated and human-written feedback for radiology residents. Curr Probl Diagn Radiol Elsevier BV; 2025 Sep 1;54(5):574–578. PMID:</w:t>
      </w:r>
      <w:hyperlink r:id="rId209">
        <w:r>
          <w:rPr>
            <w:rStyle w:val="Hyperlink"/>
          </w:rPr>
          <w:t xml:space="preserve">39984362</w:t>
        </w:r>
      </w:hyperlink>
    </w:p>
    <w:bookmarkEnd w:id="210"/>
    <w:bookmarkStart w:id="212" w:name="ref-strasser-2026"/>
    <w:p>
      <w:pPr>
        <w:pStyle w:val="Bibliography"/>
      </w:pPr>
      <w:r>
        <w:t xml:space="preserve">54.</w:t>
      </w:r>
      <w:r>
        <w:t xml:space="preserve"> </w:t>
      </w:r>
      <w:r>
        <w:t xml:space="preserve">	</w:t>
      </w:r>
      <w:r>
        <w:t xml:space="preserve">Strasser LM, Anschuetz W, Dennstädt F, Hastings J. Performance Evaluation of Large Language Models in Multilingual Medical Multiple-Choice Questions: Mixed Methods Study. JMIR Med Educ JMIR Publications Inc.; 2026 Mar 5;12:e81399–e81399. doi:</w:t>
      </w:r>
      <w:r>
        <w:t xml:space="preserve"> </w:t>
      </w:r>
      <w:hyperlink r:id="rId211">
        <w:r>
          <w:rPr>
            <w:rStyle w:val="Hyperlink"/>
          </w:rPr>
          <w:t xml:space="preserve">10.2196/81399</w:t>
        </w:r>
      </w:hyperlink>
    </w:p>
    <w:bookmarkEnd w:id="212"/>
    <w:bookmarkStart w:id="214" w:name="ref-harigai-2024"/>
    <w:p>
      <w:pPr>
        <w:pStyle w:val="Bibliography"/>
      </w:pPr>
      <w:r>
        <w:t xml:space="preserve">55.</w:t>
      </w:r>
      <w:r>
        <w:t xml:space="preserve"> </w:t>
      </w:r>
      <w:r>
        <w:t xml:space="preserve">	</w:t>
      </w:r>
      <w:r>
        <w:t xml:space="preserve">Harigai A, Toyama Y, Nagano M, Abe M, Kawabata M, Li L, Yamamura J, Takase K. Response accuracy of GPT-4 across languages: insights from an expert-level diagnostic radiology examination in Japan. Jpn J Radiol Springer Science and Business Media LLC; 2024 Oct 28;43(2):319–329. doi:</w:t>
      </w:r>
      <w:r>
        <w:t xml:space="preserve"> </w:t>
      </w:r>
      <w:hyperlink r:id="rId213">
        <w:r>
          <w:rPr>
            <w:rStyle w:val="Hyperlink"/>
          </w:rPr>
          <w:t xml:space="preserve">10.1007/s11604-024-01673-6</w:t>
        </w:r>
      </w:hyperlink>
    </w:p>
    <w:bookmarkEnd w:id="214"/>
    <w:bookmarkStart w:id="216" w:name="ref-Khojasteh2025-vd"/>
    <w:p>
      <w:pPr>
        <w:pStyle w:val="Bibliography"/>
      </w:pPr>
      <w:r>
        <w:t xml:space="preserve">56.</w:t>
      </w:r>
      <w:r>
        <w:t xml:space="preserve"> </w:t>
      </w:r>
      <w:r>
        <w:t xml:space="preserve">	</w:t>
      </w:r>
      <w:r>
        <w:t xml:space="preserve">Khojasteh L, Kafipour R, Pakdel F, Mukundan J. Empowering medical students with AI writing co-pilots: design and validation of AI self-assessment toolkit. BMC Med Educ BioMed Central; 2025 Jan 31;25(1):159. PMID:</w:t>
      </w:r>
      <w:hyperlink r:id="rId215">
        <w:r>
          <w:rPr>
            <w:rStyle w:val="Hyperlink"/>
          </w:rPr>
          <w:t xml:space="preserve">39891148</w:t>
        </w:r>
      </w:hyperlink>
    </w:p>
    <w:bookmarkEnd w:id="216"/>
    <w:bookmarkStart w:id="218" w:name="ref-Banihashem2025-zo"/>
    <w:p>
      <w:pPr>
        <w:pStyle w:val="Bibliography"/>
      </w:pPr>
      <w:r>
        <w:t xml:space="preserve">57.</w:t>
      </w:r>
      <w:r>
        <w:t xml:space="preserve"> </w:t>
      </w:r>
      <w:r>
        <w:t xml:space="preserve">	</w:t>
      </w:r>
      <w:r>
        <w:t xml:space="preserve">Banihashem SK, Noroozi O, Khosravi H, Schunn CD, Drachsler H. Pedagogical framework for hybrid intelligent feedback. Innov Educ Teach Int Informa UK Limited; 2025 Apr 29;1–17. doi:</w:t>
      </w:r>
      <w:r>
        <w:t xml:space="preserve"> </w:t>
      </w:r>
      <w:hyperlink r:id="rId217">
        <w:r>
          <w:rPr>
            <w:rStyle w:val="Hyperlink"/>
          </w:rPr>
          <w:t xml:space="preserve">10.1080/14703297.2025.2499174</w:t>
        </w:r>
      </w:hyperlink>
    </w:p>
    <w:bookmarkEnd w:id="218"/>
    <w:bookmarkEnd w:id="219"/>
    <w:bookmarkEnd w:id="220"/>
    <w:bookmarkEnd w:id="2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svg" /><Relationship Type="http://schemas.openxmlformats.org/officeDocument/2006/relationships/image" Id="rId53" Target="media/rId53.svg" /><Relationship Type="http://schemas.openxmlformats.org/officeDocument/2006/relationships/image" Id="rId65" Target="media/rId65.svg" /><Relationship Type="http://schemas.openxmlformats.org/officeDocument/2006/relationships/image" Id="rId48" Target="media/rId48.svg" /><Relationship Type="http://schemas.openxmlformats.org/officeDocument/2006/relationships/image" Id="rId26" Target="media/rId26.svg" /><Relationship Type="http://schemas.openxmlformats.org/officeDocument/2006/relationships/hyperlink" Id="rId107" Target="https://doi.org/10.1001/jama.1983.03340060055026" TargetMode="External" /><Relationship Type="http://schemas.openxmlformats.org/officeDocument/2006/relationships/hyperlink" Id="rId169" Target="https://doi.org/10.1007/978-3-031-72315-5_20" TargetMode="External" /><Relationship Type="http://schemas.openxmlformats.org/officeDocument/2006/relationships/hyperlink" Id="rId213" Target="https://doi.org/10.1007/s11604-024-01673-6" TargetMode="External" /><Relationship Type="http://schemas.openxmlformats.org/officeDocument/2006/relationships/hyperlink" Id="rId117" Target="https://doi.org/10.1007/s40670-024-02244-0" TargetMode="External" /><Relationship Type="http://schemas.openxmlformats.org/officeDocument/2006/relationships/hyperlink" Id="rId141" Target="https://doi.org/10.1016/j.iot.2024.101101" TargetMode="External" /><Relationship Type="http://schemas.openxmlformats.org/officeDocument/2006/relationships/hyperlink" Id="rId139" Target="https://doi.org/10.1016/j.learninstruc.2024.101894" TargetMode="External" /><Relationship Type="http://schemas.openxmlformats.org/officeDocument/2006/relationships/hyperlink" Id="rId201" Target="https://doi.org/10.1016/j.metip.2021.100067" TargetMode="External" /><Relationship Type="http://schemas.openxmlformats.org/officeDocument/2006/relationships/hyperlink" Id="rId167" Target="https://doi.org/10.1016/j.system.2024.103529" TargetMode="External" /><Relationship Type="http://schemas.openxmlformats.org/officeDocument/2006/relationships/hyperlink" Id="rId149" Target="https://doi.org/10.1080/02602938.2025.2487495" TargetMode="External" /><Relationship Type="http://schemas.openxmlformats.org/officeDocument/2006/relationships/hyperlink" Id="rId217" Target="https://doi.org/10.1080/14703297.2025.2499174" TargetMode="External" /><Relationship Type="http://schemas.openxmlformats.org/officeDocument/2006/relationships/hyperlink" Id="rId127" Target="https://doi.org/10.1109/icalt58122.2023.00100" TargetMode="External" /><Relationship Type="http://schemas.openxmlformats.org/officeDocument/2006/relationships/hyperlink" Id="rId151" Target="https://doi.org/10.1111/bjet.13558" TargetMode="External" /><Relationship Type="http://schemas.openxmlformats.org/officeDocument/2006/relationships/hyperlink" Id="rId173" Target="https://doi.org/10.1145/3706468.3706479" TargetMode="External" /><Relationship Type="http://schemas.openxmlformats.org/officeDocument/2006/relationships/hyperlink" Id="rId197" Target="https://doi.org/10.1177/1609406917733847" TargetMode="External" /><Relationship Type="http://schemas.openxmlformats.org/officeDocument/2006/relationships/hyperlink" Id="rId195" Target="https://doi.org/10.18653/v1/w18-6303" TargetMode="External" /><Relationship Type="http://schemas.openxmlformats.org/officeDocument/2006/relationships/hyperlink" Id="rId211" Target="https://doi.org/10.2196/81399" TargetMode="External" /><Relationship Type="http://schemas.openxmlformats.org/officeDocument/2006/relationships/hyperlink" Id="rId181" Target="https://doi.org/10.31219/osf.io/cr257" TargetMode="External" /><Relationship Type="http://schemas.openxmlformats.org/officeDocument/2006/relationships/hyperlink" Id="rId145" Target="https://doi.org/10.3390/ime4030027" TargetMode="External" /><Relationship Type="http://schemas.openxmlformats.org/officeDocument/2006/relationships/hyperlink" Id="rId171" Target="https://doi.org/10.48550/arXiv.2504.10961" TargetMode="External" /><Relationship Type="http://schemas.openxmlformats.org/officeDocument/2006/relationships/hyperlink" Id="rId185" Target="https://platform.openai.com/docs/models/gpt-4o" TargetMode="External" /><Relationship Type="http://schemas.openxmlformats.org/officeDocument/2006/relationships/hyperlink" Id="rId193" Target="https://www.R-project.org/" TargetMode="External" /><Relationship Type="http://schemas.openxmlformats.org/officeDocument/2006/relationships/hyperlink" Id="rId109" Target="https://www.ncbi.nlm.nih.gov/pubmed/18158655" TargetMode="External" /><Relationship Type="http://schemas.openxmlformats.org/officeDocument/2006/relationships/hyperlink" Id="rId123" Target="https://www.ncbi.nlm.nih.gov/pubmed/20881691" TargetMode="External" /><Relationship Type="http://schemas.openxmlformats.org/officeDocument/2006/relationships/hyperlink" Id="rId179" Target="https://www.ncbi.nlm.nih.gov/pubmed/21275539" TargetMode="External" /><Relationship Type="http://schemas.openxmlformats.org/officeDocument/2006/relationships/hyperlink" Id="rId115" Target="https://www.ncbi.nlm.nih.gov/pubmed/23971889" TargetMode="External" /><Relationship Type="http://schemas.openxmlformats.org/officeDocument/2006/relationships/hyperlink" Id="rId177" Target="https://www.ncbi.nlm.nih.gov/pubmed/24279835" TargetMode="External" /><Relationship Type="http://schemas.openxmlformats.org/officeDocument/2006/relationships/hyperlink" Id="rId189" Target="https://www.ncbi.nlm.nih.gov/pubmed/25306959" TargetMode="External" /><Relationship Type="http://schemas.openxmlformats.org/officeDocument/2006/relationships/hyperlink" Id="rId133" Target="https://www.ncbi.nlm.nih.gov/pubmed/26017442" TargetMode="External" /><Relationship Type="http://schemas.openxmlformats.org/officeDocument/2006/relationships/hyperlink" Id="rId199" Target="https://www.ncbi.nlm.nih.gov/pubmed/26553895" TargetMode="External" /><Relationship Type="http://schemas.openxmlformats.org/officeDocument/2006/relationships/hyperlink" Id="rId119" Target="https://www.ncbi.nlm.nih.gov/pubmed/30376659" TargetMode="External" /><Relationship Type="http://schemas.openxmlformats.org/officeDocument/2006/relationships/hyperlink" Id="rId121" Target="https://www.ncbi.nlm.nih.gov/pubmed/32195692" TargetMode="External" /><Relationship Type="http://schemas.openxmlformats.org/officeDocument/2006/relationships/hyperlink" Id="rId191" Target="https://www.ncbi.nlm.nih.gov/pubmed/33131374" TargetMode="External" /><Relationship Type="http://schemas.openxmlformats.org/officeDocument/2006/relationships/hyperlink" Id="rId111" Target="https://www.ncbi.nlm.nih.gov/pubmed/33272265" TargetMode="External" /><Relationship Type="http://schemas.openxmlformats.org/officeDocument/2006/relationships/hyperlink" Id="rId161" Target="https://www.ncbi.nlm.nih.gov/pubmed/35950329" TargetMode="External" /><Relationship Type="http://schemas.openxmlformats.org/officeDocument/2006/relationships/hyperlink" Id="rId163" Target="https://www.ncbi.nlm.nih.gov/pubmed/36189452" TargetMode="External" /><Relationship Type="http://schemas.openxmlformats.org/officeDocument/2006/relationships/hyperlink" Id="rId137" Target="https://www.ncbi.nlm.nih.gov/pubmed/36916887" TargetMode="External" /><Relationship Type="http://schemas.openxmlformats.org/officeDocument/2006/relationships/hyperlink" Id="rId135" Target="https://www.ncbi.nlm.nih.gov/pubmed/36950398" TargetMode="External" /><Relationship Type="http://schemas.openxmlformats.org/officeDocument/2006/relationships/hyperlink" Id="rId205" Target="https://www.ncbi.nlm.nih.gov/pubmed/37216002" TargetMode="External" /><Relationship Type="http://schemas.openxmlformats.org/officeDocument/2006/relationships/hyperlink" Id="rId131" Target="https://www.ncbi.nlm.nih.gov/pubmed/37261894" TargetMode="External" /><Relationship Type="http://schemas.openxmlformats.org/officeDocument/2006/relationships/hyperlink" Id="rId187" Target="https://www.ncbi.nlm.nih.gov/pubmed/37398605" TargetMode="External" /><Relationship Type="http://schemas.openxmlformats.org/officeDocument/2006/relationships/hyperlink" Id="rId159" Target="https://www.ncbi.nlm.nih.gov/pubmed/37498660" TargetMode="External" /><Relationship Type="http://schemas.openxmlformats.org/officeDocument/2006/relationships/hyperlink" Id="rId207" Target="https://www.ncbi.nlm.nih.gov/pubmed/37770280" TargetMode="External" /><Relationship Type="http://schemas.openxmlformats.org/officeDocument/2006/relationships/hyperlink" Id="rId183" Target="https://www.ncbi.nlm.nih.gov/pubmed/38144670" TargetMode="External" /><Relationship Type="http://schemas.openxmlformats.org/officeDocument/2006/relationships/hyperlink" Id="rId165" Target="https://www.ncbi.nlm.nih.gov/pubmed/38144672" TargetMode="External" /><Relationship Type="http://schemas.openxmlformats.org/officeDocument/2006/relationships/hyperlink" Id="rId105" Target="https://www.ncbi.nlm.nih.gov/pubmed/38306581" TargetMode="External" /><Relationship Type="http://schemas.openxmlformats.org/officeDocument/2006/relationships/hyperlink" Id="rId125" Target="https://www.ncbi.nlm.nih.gov/pubmed/38639098" TargetMode="External" /><Relationship Type="http://schemas.openxmlformats.org/officeDocument/2006/relationships/hyperlink" Id="rId129" Target="https://www.ncbi.nlm.nih.gov/pubmed/38749814" TargetMode="External" /><Relationship Type="http://schemas.openxmlformats.org/officeDocument/2006/relationships/hyperlink" Id="rId155" Target="https://www.ncbi.nlm.nih.gov/pubmed/39346122" TargetMode="External" /><Relationship Type="http://schemas.openxmlformats.org/officeDocument/2006/relationships/hyperlink" Id="rId175" Target="https://www.ncbi.nlm.nih.gov/pubmed/39545499" TargetMode="External" /><Relationship Type="http://schemas.openxmlformats.org/officeDocument/2006/relationships/hyperlink" Id="rId147" Target="https://www.ncbi.nlm.nih.gov/pubmed/39656920" TargetMode="External" /><Relationship Type="http://schemas.openxmlformats.org/officeDocument/2006/relationships/hyperlink" Id="rId143" Target="https://www.ncbi.nlm.nih.gov/pubmed/39799065" TargetMode="External" /><Relationship Type="http://schemas.openxmlformats.org/officeDocument/2006/relationships/hyperlink" Id="rId203" Target="https://www.ncbi.nlm.nih.gov/pubmed/39807150" TargetMode="External" /><Relationship Type="http://schemas.openxmlformats.org/officeDocument/2006/relationships/hyperlink" Id="rId157" Target="https://www.ncbi.nlm.nih.gov/pubmed/39889694" TargetMode="External" /><Relationship Type="http://schemas.openxmlformats.org/officeDocument/2006/relationships/hyperlink" Id="rId215" Target="https://www.ncbi.nlm.nih.gov/pubmed/39891148" TargetMode="External" /><Relationship Type="http://schemas.openxmlformats.org/officeDocument/2006/relationships/hyperlink" Id="rId209" Target="https://www.ncbi.nlm.nih.gov/pubmed/39984362" TargetMode="External" /><Relationship Type="http://schemas.openxmlformats.org/officeDocument/2006/relationships/hyperlink" Id="rId153" Target="https://www.ncbi.nlm.nih.gov/pubmed/40528415" TargetMode="External" /><Relationship Type="http://schemas.openxmlformats.org/officeDocument/2006/relationships/hyperlink" Id="rId113" Target="https://www.ncbi.nlm.nih.gov/pubmed/9541371"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01/jama.1983.03340060055026" TargetMode="External" /><Relationship Type="http://schemas.openxmlformats.org/officeDocument/2006/relationships/hyperlink" Id="rId169" Target="https://doi.org/10.1007/978-3-031-72315-5_20" TargetMode="External" /><Relationship Type="http://schemas.openxmlformats.org/officeDocument/2006/relationships/hyperlink" Id="rId213" Target="https://doi.org/10.1007/s11604-024-01673-6" TargetMode="External" /><Relationship Type="http://schemas.openxmlformats.org/officeDocument/2006/relationships/hyperlink" Id="rId117" Target="https://doi.org/10.1007/s40670-024-02244-0" TargetMode="External" /><Relationship Type="http://schemas.openxmlformats.org/officeDocument/2006/relationships/hyperlink" Id="rId141" Target="https://doi.org/10.1016/j.iot.2024.101101" TargetMode="External" /><Relationship Type="http://schemas.openxmlformats.org/officeDocument/2006/relationships/hyperlink" Id="rId139" Target="https://doi.org/10.1016/j.learninstruc.2024.101894" TargetMode="External" /><Relationship Type="http://schemas.openxmlformats.org/officeDocument/2006/relationships/hyperlink" Id="rId201" Target="https://doi.org/10.1016/j.metip.2021.100067" TargetMode="External" /><Relationship Type="http://schemas.openxmlformats.org/officeDocument/2006/relationships/hyperlink" Id="rId167" Target="https://doi.org/10.1016/j.system.2024.103529" TargetMode="External" /><Relationship Type="http://schemas.openxmlformats.org/officeDocument/2006/relationships/hyperlink" Id="rId149" Target="https://doi.org/10.1080/02602938.2025.2487495" TargetMode="External" /><Relationship Type="http://schemas.openxmlformats.org/officeDocument/2006/relationships/hyperlink" Id="rId217" Target="https://doi.org/10.1080/14703297.2025.2499174" TargetMode="External" /><Relationship Type="http://schemas.openxmlformats.org/officeDocument/2006/relationships/hyperlink" Id="rId127" Target="https://doi.org/10.1109/icalt58122.2023.00100" TargetMode="External" /><Relationship Type="http://schemas.openxmlformats.org/officeDocument/2006/relationships/hyperlink" Id="rId151" Target="https://doi.org/10.1111/bjet.13558" TargetMode="External" /><Relationship Type="http://schemas.openxmlformats.org/officeDocument/2006/relationships/hyperlink" Id="rId173" Target="https://doi.org/10.1145/3706468.3706479" TargetMode="External" /><Relationship Type="http://schemas.openxmlformats.org/officeDocument/2006/relationships/hyperlink" Id="rId197" Target="https://doi.org/10.1177/1609406917733847" TargetMode="External" /><Relationship Type="http://schemas.openxmlformats.org/officeDocument/2006/relationships/hyperlink" Id="rId195" Target="https://doi.org/10.18653/v1/w18-6303" TargetMode="External" /><Relationship Type="http://schemas.openxmlformats.org/officeDocument/2006/relationships/hyperlink" Id="rId211" Target="https://doi.org/10.2196/81399" TargetMode="External" /><Relationship Type="http://schemas.openxmlformats.org/officeDocument/2006/relationships/hyperlink" Id="rId181" Target="https://doi.org/10.31219/osf.io/cr257" TargetMode="External" /><Relationship Type="http://schemas.openxmlformats.org/officeDocument/2006/relationships/hyperlink" Id="rId145" Target="https://doi.org/10.3390/ime4030027" TargetMode="External" /><Relationship Type="http://schemas.openxmlformats.org/officeDocument/2006/relationships/hyperlink" Id="rId171" Target="https://doi.org/10.48550/arXiv.2504.10961" TargetMode="External" /><Relationship Type="http://schemas.openxmlformats.org/officeDocument/2006/relationships/hyperlink" Id="rId185" Target="https://platform.openai.com/docs/models/gpt-4o" TargetMode="External" /><Relationship Type="http://schemas.openxmlformats.org/officeDocument/2006/relationships/hyperlink" Id="rId193" Target="https://www.R-project.org/" TargetMode="External" /><Relationship Type="http://schemas.openxmlformats.org/officeDocument/2006/relationships/hyperlink" Id="rId109" Target="https://www.ncbi.nlm.nih.gov/pubmed/18158655" TargetMode="External" /><Relationship Type="http://schemas.openxmlformats.org/officeDocument/2006/relationships/hyperlink" Id="rId123" Target="https://www.ncbi.nlm.nih.gov/pubmed/20881691" TargetMode="External" /><Relationship Type="http://schemas.openxmlformats.org/officeDocument/2006/relationships/hyperlink" Id="rId179" Target="https://www.ncbi.nlm.nih.gov/pubmed/21275539" TargetMode="External" /><Relationship Type="http://schemas.openxmlformats.org/officeDocument/2006/relationships/hyperlink" Id="rId115" Target="https://www.ncbi.nlm.nih.gov/pubmed/23971889" TargetMode="External" /><Relationship Type="http://schemas.openxmlformats.org/officeDocument/2006/relationships/hyperlink" Id="rId177" Target="https://www.ncbi.nlm.nih.gov/pubmed/24279835" TargetMode="External" /><Relationship Type="http://schemas.openxmlformats.org/officeDocument/2006/relationships/hyperlink" Id="rId189" Target="https://www.ncbi.nlm.nih.gov/pubmed/25306959" TargetMode="External" /><Relationship Type="http://schemas.openxmlformats.org/officeDocument/2006/relationships/hyperlink" Id="rId133" Target="https://www.ncbi.nlm.nih.gov/pubmed/26017442" TargetMode="External" /><Relationship Type="http://schemas.openxmlformats.org/officeDocument/2006/relationships/hyperlink" Id="rId199" Target="https://www.ncbi.nlm.nih.gov/pubmed/26553895" TargetMode="External" /><Relationship Type="http://schemas.openxmlformats.org/officeDocument/2006/relationships/hyperlink" Id="rId119" Target="https://www.ncbi.nlm.nih.gov/pubmed/30376659" TargetMode="External" /><Relationship Type="http://schemas.openxmlformats.org/officeDocument/2006/relationships/hyperlink" Id="rId121" Target="https://www.ncbi.nlm.nih.gov/pubmed/32195692" TargetMode="External" /><Relationship Type="http://schemas.openxmlformats.org/officeDocument/2006/relationships/hyperlink" Id="rId191" Target="https://www.ncbi.nlm.nih.gov/pubmed/33131374" TargetMode="External" /><Relationship Type="http://schemas.openxmlformats.org/officeDocument/2006/relationships/hyperlink" Id="rId111" Target="https://www.ncbi.nlm.nih.gov/pubmed/33272265" TargetMode="External" /><Relationship Type="http://schemas.openxmlformats.org/officeDocument/2006/relationships/hyperlink" Id="rId161" Target="https://www.ncbi.nlm.nih.gov/pubmed/35950329" TargetMode="External" /><Relationship Type="http://schemas.openxmlformats.org/officeDocument/2006/relationships/hyperlink" Id="rId163" Target="https://www.ncbi.nlm.nih.gov/pubmed/36189452" TargetMode="External" /><Relationship Type="http://schemas.openxmlformats.org/officeDocument/2006/relationships/hyperlink" Id="rId137" Target="https://www.ncbi.nlm.nih.gov/pubmed/36916887" TargetMode="External" /><Relationship Type="http://schemas.openxmlformats.org/officeDocument/2006/relationships/hyperlink" Id="rId135" Target="https://www.ncbi.nlm.nih.gov/pubmed/36950398" TargetMode="External" /><Relationship Type="http://schemas.openxmlformats.org/officeDocument/2006/relationships/hyperlink" Id="rId205" Target="https://www.ncbi.nlm.nih.gov/pubmed/37216002" TargetMode="External" /><Relationship Type="http://schemas.openxmlformats.org/officeDocument/2006/relationships/hyperlink" Id="rId131" Target="https://www.ncbi.nlm.nih.gov/pubmed/37261894" TargetMode="External" /><Relationship Type="http://schemas.openxmlformats.org/officeDocument/2006/relationships/hyperlink" Id="rId187" Target="https://www.ncbi.nlm.nih.gov/pubmed/37398605" TargetMode="External" /><Relationship Type="http://schemas.openxmlformats.org/officeDocument/2006/relationships/hyperlink" Id="rId159" Target="https://www.ncbi.nlm.nih.gov/pubmed/37498660" TargetMode="External" /><Relationship Type="http://schemas.openxmlformats.org/officeDocument/2006/relationships/hyperlink" Id="rId207" Target="https://www.ncbi.nlm.nih.gov/pubmed/37770280" TargetMode="External" /><Relationship Type="http://schemas.openxmlformats.org/officeDocument/2006/relationships/hyperlink" Id="rId183" Target="https://www.ncbi.nlm.nih.gov/pubmed/38144670" TargetMode="External" /><Relationship Type="http://schemas.openxmlformats.org/officeDocument/2006/relationships/hyperlink" Id="rId165" Target="https://www.ncbi.nlm.nih.gov/pubmed/38144672" TargetMode="External" /><Relationship Type="http://schemas.openxmlformats.org/officeDocument/2006/relationships/hyperlink" Id="rId105" Target="https://www.ncbi.nlm.nih.gov/pubmed/38306581" TargetMode="External" /><Relationship Type="http://schemas.openxmlformats.org/officeDocument/2006/relationships/hyperlink" Id="rId125" Target="https://www.ncbi.nlm.nih.gov/pubmed/38639098" TargetMode="External" /><Relationship Type="http://schemas.openxmlformats.org/officeDocument/2006/relationships/hyperlink" Id="rId129" Target="https://www.ncbi.nlm.nih.gov/pubmed/38749814" TargetMode="External" /><Relationship Type="http://schemas.openxmlformats.org/officeDocument/2006/relationships/hyperlink" Id="rId155" Target="https://www.ncbi.nlm.nih.gov/pubmed/39346122" TargetMode="External" /><Relationship Type="http://schemas.openxmlformats.org/officeDocument/2006/relationships/hyperlink" Id="rId175" Target="https://www.ncbi.nlm.nih.gov/pubmed/39545499" TargetMode="External" /><Relationship Type="http://schemas.openxmlformats.org/officeDocument/2006/relationships/hyperlink" Id="rId147" Target="https://www.ncbi.nlm.nih.gov/pubmed/39656920" TargetMode="External" /><Relationship Type="http://schemas.openxmlformats.org/officeDocument/2006/relationships/hyperlink" Id="rId143" Target="https://www.ncbi.nlm.nih.gov/pubmed/39799065" TargetMode="External" /><Relationship Type="http://schemas.openxmlformats.org/officeDocument/2006/relationships/hyperlink" Id="rId203" Target="https://www.ncbi.nlm.nih.gov/pubmed/39807150" TargetMode="External" /><Relationship Type="http://schemas.openxmlformats.org/officeDocument/2006/relationships/hyperlink" Id="rId157" Target="https://www.ncbi.nlm.nih.gov/pubmed/39889694" TargetMode="External" /><Relationship Type="http://schemas.openxmlformats.org/officeDocument/2006/relationships/hyperlink" Id="rId215" Target="https://www.ncbi.nlm.nih.gov/pubmed/39891148" TargetMode="External" /><Relationship Type="http://schemas.openxmlformats.org/officeDocument/2006/relationships/hyperlink" Id="rId209" Target="https://www.ncbi.nlm.nih.gov/pubmed/39984362" TargetMode="External" /><Relationship Type="http://schemas.openxmlformats.org/officeDocument/2006/relationships/hyperlink" Id="rId153" Target="https://www.ncbi.nlm.nih.gov/pubmed/40528415" TargetMode="External" /><Relationship Type="http://schemas.openxmlformats.org/officeDocument/2006/relationships/hyperlink" Id="rId113" Target="https://www.ncbi.nlm.nih.gov/pubmed/95413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dcterms:created xsi:type="dcterms:W3CDTF">2026-03-15T01:36:55Z</dcterms:created>
  <dcterms:modified xsi:type="dcterms:W3CDTF">2026-03-15T01:36:55Z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