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reply-to-reviewers-round-2"/>
    <w:p>
      <w:pPr>
        <w:pStyle w:val="Heading1"/>
      </w:pPr>
      <w:r>
        <w:t xml:space="preserve">Reply to Reviewers (Round 2)</w:t>
      </w:r>
    </w:p>
    <w:bookmarkStart w:id="25" w:name="editor-comments"/>
    <w:p>
      <w:pPr>
        <w:pStyle w:val="Heading2"/>
      </w:pPr>
      <w:r>
        <w:t xml:space="preserve">EDITOR COMMENTS</w:t>
      </w:r>
    </w:p>
    <w:bookmarkStart w:id="20" w:name="general-comments"/>
    <w:p>
      <w:pPr>
        <w:pStyle w:val="Heading3"/>
      </w:pPr>
      <w:r>
        <w:t xml:space="preserve">General comments</w:t>
      </w:r>
    </w:p>
    <w:p>
      <w:pPr>
        <w:pStyle w:val="BlockText"/>
      </w:pPr>
      <w:r>
        <w:t xml:space="preserve">Thank you for the revision. Please address some outstanding issues.</w:t>
      </w:r>
    </w:p>
    <w:p>
      <w:pPr>
        <w:pStyle w:val="FirstParagraph"/>
      </w:pPr>
      <w:r>
        <w:t xml:space="preserve">RESPONSE: We thank the Editor and the reviewers for the second round of constructive feedback. Each Editor and reviewer comment is addressed individually below.</w:t>
      </w:r>
    </w:p>
    <w:bookmarkEnd w:id="20"/>
    <w:bookmarkStart w:id="21" w:name="editor-comment.1"/>
    <w:p>
      <w:pPr>
        <w:pStyle w:val="Heading3"/>
      </w:pPr>
      <w:r>
        <w:t xml:space="preserve">Editor Comment.1</w:t>
      </w:r>
    </w:p>
    <w:p>
      <w:pPr>
        <w:pStyle w:val="BlockText"/>
      </w:pPr>
      <w:r>
        <w:t xml:space="preserve">Comment: There are still important elements of information about the methodology and analyses that are missing from the manuscript. For example,</w:t>
      </w:r>
      <w:r>
        <w:t xml:space="preserve"> </w:t>
      </w:r>
      <w:r>
        <w:t xml:space="preserve">“Methodological Integrity”</w:t>
      </w:r>
      <w:r>
        <w:t xml:space="preserve"> </w:t>
      </w:r>
      <w:r>
        <w:t xml:space="preserve">is missing, among other elements https://apastyle.apa.org/jars/qual-table-1.pdf Please ensure that all elements from both the quantitative and qualitative checklists are addressed in the manuscript.</w:t>
      </w:r>
    </w:p>
    <w:p>
      <w:pPr>
        <w:pStyle w:val="FirstParagraph"/>
      </w:pPr>
      <w:r>
        <w:t xml:space="preserve">RESPONSE: Thank you for directing us to the APA JARS qualitative checklist (Levitt et al., 2018, American Psychologist, 73[1], 26-46). We have audited the Methods section against both the JARS-Qual (Table 1) and JARS-Quant (Table 1) checklists. To address your concern, we have (a) added a new dedicated subsection titled</w:t>
      </w:r>
      <w:r>
        <w:t xml:space="preserve"> </w:t>
      </w:r>
      <w:r>
        <w:t xml:space="preserve">“Methodological Integrity”</w:t>
      </w:r>
      <w:r>
        <w:t xml:space="preserve"> </w:t>
      </w:r>
      <w:r>
        <w:t xml:space="preserve">under the Qualitative Analysis subsection of the Methods, and (b) strengthened the Reflexivity subsection with a statement on the researcher-participant relationship. We show the newly added text below and annotate the specific JARS elements it addresses in square brackets.</w:t>
      </w:r>
    </w:p>
    <w:p>
      <w:pPr>
        <w:pStyle w:val="BodyText"/>
      </w:pPr>
      <w:r>
        <w:t xml:space="preserve">Addition 1. The full text of the new</w:t>
      </w:r>
      <w:r>
        <w:t xml:space="preserve"> </w:t>
      </w:r>
      <w:r>
        <w:t xml:space="preserve">“Methodological Integrity”</w:t>
      </w:r>
      <w:r>
        <w:t xml:space="preserve"> </w:t>
      </w:r>
      <w:r>
        <w:t xml:space="preserve">subsection under Qualitative Analysis is reproduced verbatim below, with inline annotations marking each JARS-Qual element:</w:t>
      </w:r>
    </w:p>
    <w:p>
      <w:pPr>
        <w:pStyle w:val="BlockText"/>
      </w:pPr>
      <w:r>
        <w:t xml:space="preserve">“Methodological integrity was pursued along the two dimensions articulated in the APA Journal Article Reporting Standards for Qualitative Research (Levitt et al., 2018): fidelity to the subject matter and utility in achieving the research goals. With respect to data adequacy [JARS-Qual: Adequacy of data], the analytic corpus comprised the complete set of open-ended comments from all 20 evaluators (10 faculty and 10 students) across 161 datasets spanning 12 clinical departments; because this full-corpus approach precluded iterative sampling to saturation in the conventional sense, we treated the breadth of the evaluator pool (two assessor types and multiple specialties) as the operational criterion for sufficiency. Themes are illustrated in the Results section with verbatim excerpts to maintain groundedness [JARS-Qual: Groundedness].”</w:t>
      </w:r>
    </w:p>
    <w:p>
      <w:pPr>
        <w:pStyle w:val="BlockText"/>
      </w:pPr>
      <w:r>
        <w:t xml:space="preserve">“Credibility was supported by several analytic checks [JARS-Qual: Credibility/Confirmability]. Initial coding (steps 1 and 2) was double-coded by TK and HN, with discussion to agreement. Theme development (steps 3 to 6) was opened to three additional analysts (SH, SR, JD) with distinct disciplinary perspectives, functioning as analyst triangulation across clinical practice, medical education, programmatic assessment, self-regulated learning, and statistics and AI. The bilingual workflow (Japanese for initial coding, English for theme development) further served as a translational check on interpretive fidelity. All analytic discussions were recorded, providing an audit trail. Themes were iteratively examined for within-theme disconfirming instances [JARS-Qual: Negative case analysis], and cases contradicting the dominant pattern (for example, brief supervisor feedback that was nonetheless judged effective, or AI feedback judged overly prescriptive) were retained in the theme descriptions rather than treated as outliers.”</w:t>
      </w:r>
    </w:p>
    <w:p>
      <w:pPr>
        <w:pStyle w:val="BlockText"/>
      </w:pPr>
      <w:r>
        <w:t xml:space="preserve">“Member checking was not conducted [JARS-Qual: Member checks, with justification] because evaluators participated as unpaid volunteers, including sixth-year students approaching the national licensing examination and clinically active faculty, for whom additional engagement would have been incompatible with our commitment to minimize participant burden (see Ethical Considerations). Credibility was instead supported by the multi-analyst procedures described above. Meaningful coherence between findings and interpretation [JARS-Qual: Meaningful coherence] was pursued through Joint Display Analysis, in which each quantitative result was aligned with its corresponding qualitative theme (see Integration of Results). To support transferability [JARS-Qual: Transferability], the Setting subsection provides detailed contextual information about the Japanese undergraduate clinical clerkship environment so readers can judge applicability to other educational contexts.”</w:t>
      </w:r>
    </w:p>
    <w:p>
      <w:pPr>
        <w:pStyle w:val="FirstParagraph"/>
      </w:pPr>
      <w:r>
        <w:t xml:space="preserve">The previous brief statement on data saturation has been removed from the Qualitative Analysis subsection because its content is now absorbed and elaborated within the new</w:t>
      </w:r>
      <w:r>
        <w:t xml:space="preserve"> </w:t>
      </w:r>
      <w:r>
        <w:t xml:space="preserve">“Adequacy of data”</w:t>
      </w:r>
      <w:r>
        <w:t xml:space="preserve"> </w:t>
      </w:r>
      <w:r>
        <w:t xml:space="preserve">sentence above.</w:t>
      </w:r>
    </w:p>
    <w:p>
      <w:pPr>
        <w:pStyle w:val="BodyText"/>
      </w:pPr>
      <w:r>
        <w:t xml:space="preserve">Addition 2. The following sentence on the researcher-participant relationship has been appended to the closing paragraph of the Reflexivity subsection:</w:t>
      </w:r>
    </w:p>
    <w:p>
      <w:pPr>
        <w:pStyle w:val="BlockText"/>
      </w:pPr>
      <w:r>
        <w:t xml:space="preserve">“The research team had no direct supervisory or assessment-related authority over the evaluators who provided the qualitative data [JARS-Qual: Researcher-participant relationship]; evaluators were recruited independently (see Sampling Procedures) and participated on an opt-in voluntary basis.”</w:t>
      </w:r>
    </w:p>
    <w:p>
      <w:pPr>
        <w:pStyle w:val="FirstParagraph"/>
      </w:pPr>
      <w:r>
        <w:t xml:space="preserve">Coverage of the other JARS-Qual elements that were already present in the previous revision is as follows: Research Design Overview in the Design subsection; Study Participants and Data Sources in the Participants subsection and the opening of Qualitative Analysis; Researcher Description in the Reflexivity subsection; Participant Recruitment in the Sampling Procedures subsection; Data Collection in the Data Collection subsection; and Data Analytic Strategy in the opening paragraph of the Qualitative Analysis subsection.</w:t>
      </w:r>
    </w:p>
    <w:p>
      <w:pPr>
        <w:pStyle w:val="BodyText"/>
      </w:pPr>
      <w:r>
        <w:t xml:space="preserve">Coverage of the JARS-Quant elements added in the first round of revision (Participants with Inclusion and Exclusion, Participant Characteristics, and Sampling Procedures; Materials; Sample Size, Power, and Precision; Data Collection; and Quantitative Analysis with effect sizes, confidence intervals, alpha level, multiple-comparison correction, and the random-effects structure of the cumulative link mixed models) remain in place. The remaining JARS-Quant element on missing data is addressed separately in our response to Editor Comment 4 below.</w:t>
      </w:r>
    </w:p>
    <w:bookmarkEnd w:id="21"/>
    <w:bookmarkStart w:id="22" w:name="editor-comment.2"/>
    <w:p>
      <w:pPr>
        <w:pStyle w:val="Heading3"/>
      </w:pPr>
      <w:r>
        <w:t xml:space="preserve">Editor Comment.2</w:t>
      </w:r>
    </w:p>
    <w:p>
      <w:pPr>
        <w:pStyle w:val="BlockText"/>
      </w:pPr>
      <w:r>
        <w:t xml:space="preserve">Comment: Please include a thematic map https://www.sciencedirect.com/science/article/pii/S2949916X25000222</w:t>
      </w:r>
    </w:p>
    <w:p>
      <w:pPr>
        <w:pStyle w:val="FirstParagraph"/>
      </w:pPr>
      <w:r>
        <w:t xml:space="preserve">RESPONSE: Thank you for this helpful suggestion and for directing us to the Ahmed et al. (2025) article on thematic analysis (Journal of Medicine, Surgery, and Public Health, 6, 100198). We have designed and added a new figure (Figure 6, thematic map) at the opening of the Qualitative Analysis subsection of the Results. Because the thematic map visualizes the same themes and sub-themes that were also presented in the Themes table, we removed the Themes table to avoid redundancy.</w:t>
      </w:r>
    </w:p>
    <w:p>
      <w:pPr>
        <w:pStyle w:val="BodyText"/>
      </w:pPr>
      <w:r>
        <w:t xml:space="preserve">The new figure is introduced by the following revised passage, which replaces the previous single-sentence pointer to the Themes table:</w:t>
      </w:r>
    </w:p>
    <w:p>
      <w:pPr>
        <w:pStyle w:val="BlockText"/>
      </w:pPr>
      <w:r>
        <w:t xml:space="preserve">“The qualitative analysis of the free-text comments provided by the evaluators revealed several themes regarding the differences between AI and supervisor feedback. Following the thematic-map guidance of Ahmed et al. (2025), the thematic map in Figure 6 visualizes the research question, the five themes, and their sub-themes arranged by feedback provider.”</w:t>
      </w:r>
    </w:p>
    <w:bookmarkEnd w:id="22"/>
    <w:bookmarkStart w:id="23" w:name="editor-comment.3"/>
    <w:p>
      <w:pPr>
        <w:pStyle w:val="Heading3"/>
      </w:pPr>
      <w:r>
        <w:t xml:space="preserve">Editor Comment.3</w:t>
      </w:r>
    </w:p>
    <w:p>
      <w:pPr>
        <w:pStyle w:val="BlockText"/>
      </w:pPr>
      <w:r>
        <w:t xml:space="preserve">Comment: There are still several statements/sections in the discussion without references. Please include supporting references for all statements.</w:t>
      </w:r>
    </w:p>
    <w:p>
      <w:pPr>
        <w:pStyle w:val="FirstParagraph"/>
      </w:pPr>
      <w:r>
        <w:t xml:space="preserve">RESPONSE: We re-audited the Discussion and added citations at two locations.</w:t>
      </w:r>
    </w:p>
    <w:p>
      <w:pPr>
        <w:pStyle w:val="BodyText"/>
      </w:pPr>
      <w:r>
        <w:t xml:space="preserve">Addition 1 (Comparison with the Literature, third paragraph). The sentence on tacit knowledge in clerkship learning now reads:</w:t>
      </w:r>
    </w:p>
    <w:p>
      <w:pPr>
        <w:pStyle w:val="BlockText"/>
      </w:pPr>
      <w:r>
        <w:t xml:space="preserve">“Clinical reasoning, situational awareness, and tacit professional knowledge, which are central to clerkship learning (Dornan et al., 2014), are difficult to articulate in written form (Yardley et al., 2012) and largely inaccessible to AI systems that operate solely on the written log text.”</w:t>
      </w:r>
    </w:p>
    <w:p>
      <w:pPr>
        <w:pStyle w:val="FirstParagraph"/>
      </w:pPr>
      <w:r>
        <w:t xml:space="preserve">Dornan et al. (2014, Advances in Health Sciences Education, 19[5], 721-749) is the Experience-Based Learning paper establishing that clerkship learning is</w:t>
      </w:r>
      <w:r>
        <w:t xml:space="preserve"> </w:t>
      </w:r>
      <w:r>
        <w:t xml:space="preserve">“too tacit, complex, contextualised, and individual to be defined as a set of competencies.”</w:t>
      </w:r>
      <w:r>
        <w:t xml:space="preserve"> </w:t>
      </w:r>
      <w:r>
        <w:t xml:space="preserve">Yardley et al. (2012, Medical Teacher AMEE Guide No. 63, 34[2], e102-e115) establishes that tacit workplace learning</w:t>
      </w:r>
      <w:r>
        <w:t xml:space="preserve"> </w:t>
      </w:r>
      <w:r>
        <w:t xml:space="preserve">“is probably the largest part of the learning process in workplaces”</w:t>
      </w:r>
      <w:r>
        <w:t xml:space="preserve"> </w:t>
      </w:r>
      <w:r>
        <w:t xml:space="preserve">and that practitioners</w:t>
      </w:r>
      <w:r>
        <w:t xml:space="preserve"> </w:t>
      </w:r>
      <w:r>
        <w:t xml:space="preserve">“have difficulty describing the more complex aspects of their work.”</w:t>
      </w:r>
    </w:p>
    <w:p>
      <w:pPr>
        <w:pStyle w:val="BodyText"/>
      </w:pPr>
      <w:r>
        <w:t xml:space="preserve">Addition 2 (Implications of Findings, second paragraph). The hybrid-approaches sentence now reads:</w:t>
      </w:r>
    </w:p>
    <w:p>
      <w:pPr>
        <w:pStyle w:val="BlockText"/>
      </w:pPr>
      <w:r>
        <w:t xml:space="preserve">“Various hybrid approaches merit exploration, including AI-drafted feedback refined by educators, role-based distribution where AI and supervisors focus on different aspects of student work, or AI enhancement of educator-authored feedback (Banihashem et al., 2025; Zhang et al., 2025).”</w:t>
      </w:r>
    </w:p>
    <w:p>
      <w:pPr>
        <w:pStyle w:val="FirstParagraph"/>
      </w:pPr>
      <w:r>
        <w:t xml:space="preserve">Zhang et al. (2025, arXiv:2504.10961) empirically tests co-produced feedback in a generative-AI setting (Claude 3.5 Sonnet); its conditions include</w:t>
      </w:r>
      <w:r>
        <w:t xml:space="preserve"> </w:t>
      </w:r>
      <w:r>
        <w:t xml:space="preserve">“AI-initiated feedback reviewed by humans”</w:t>
      </w:r>
      <w:r>
        <w:t xml:space="preserve"> </w:t>
      </w:r>
      <w:r>
        <w:t xml:space="preserve">and</w:t>
      </w:r>
      <w:r>
        <w:t xml:space="preserve"> </w:t>
      </w:r>
      <w:r>
        <w:t xml:space="preserve">“human-generated feedback refined by AI.”</w:t>
      </w:r>
    </w:p>
    <w:p>
      <w:pPr>
        <w:pStyle w:val="BodyText"/>
      </w:pPr>
      <w:r>
        <w:t xml:space="preserve">Statements that remain uncited are those explicitly framed as the authors’ interpretation of their own data (the Principal Findings and Conclusions summaries, and integrative sentences such as</w:t>
      </w:r>
      <w:r>
        <w:t xml:space="preserve"> </w:t>
      </w:r>
      <w:r>
        <w:t xml:space="preserve">“Our findings confirm and deepen this pattern”</w:t>
      </w:r>
      <w:r>
        <w:t xml:space="preserve">) and statements of future research directions.</w:t>
      </w:r>
    </w:p>
    <w:bookmarkEnd w:id="23"/>
    <w:bookmarkStart w:id="24" w:name="editor-comment.4"/>
    <w:p>
      <w:pPr>
        <w:pStyle w:val="Heading3"/>
      </w:pPr>
      <w:r>
        <w:t xml:space="preserve">Editor Comment.4</w:t>
      </w:r>
    </w:p>
    <w:p>
      <w:pPr>
        <w:pStyle w:val="BlockText"/>
      </w:pPr>
      <w:r>
        <w:t xml:space="preserve">Comment: Please mention whether there were any missing data. If there were missing data, provide the proportion of missing data and perform the MCAR test to see if data were missing totally at random and consider performing multiple imputations.</w:t>
      </w:r>
    </w:p>
    <w:p>
      <w:pPr>
        <w:pStyle w:val="FirstParagraph"/>
      </w:pPr>
      <w:r>
        <w:t xml:space="preserve">RESPONSE: No missing data were present. The Participants subsection of the Results now states this explicitly and notes that a missingness test and multiple imputation were therefore not required:</w:t>
      </w:r>
    </w:p>
    <w:p>
      <w:pPr>
        <w:pStyle w:val="BlockText"/>
      </w:pPr>
      <w:r>
        <w:t xml:space="preserve">“No missing data were identified; all 161 records contained complete rubric scores from both assessors across all five items, yielding 3,220 observations with 100% data completeness. Because the dataset was complete, we did not perform a missingness test (such as Little’s MCAR test) or apply multiple imputation.”</w:t>
      </w:r>
    </w:p>
    <w:p>
      <w:r>
        <w:pict>
          <v:rect style="width:0;height:1.5pt" o:hralign="center" o:hrstd="t" o:hr="t"/>
        </w:pict>
      </w:r>
    </w:p>
    <w:bookmarkEnd w:id="24"/>
    <w:bookmarkEnd w:id="25"/>
    <w:bookmarkStart w:id="35" w:name="reviewer-f"/>
    <w:p>
      <w:pPr>
        <w:pStyle w:val="Heading2"/>
      </w:pPr>
      <w:r>
        <w:t xml:space="preserve">Reviewer F</w:t>
      </w:r>
    </w:p>
    <w:bookmarkStart w:id="26" w:name="general-comments-1"/>
    <w:p>
      <w:pPr>
        <w:pStyle w:val="Heading3"/>
      </w:pPr>
      <w:r>
        <w:t xml:space="preserve">General comments</w:t>
      </w:r>
    </w:p>
    <w:p>
      <w:pPr>
        <w:pStyle w:val="BlockText"/>
      </w:pPr>
      <w:r>
        <w:t xml:space="preserve">The authors have made substantial revisions in response to the initial review. In particular, the manuscript is now significantly stronger in its conceptual clarity and methodological transparency… Overall, the manuscript now presents a more credible interpretation of AI versus supervisor feedback, and its central claim of complementarity rather than superiority is much better supported.</w:t>
      </w:r>
      <w:r>
        <w:t xml:space="preserve"> </w:t>
      </w:r>
      <w:r>
        <w:t xml:space="preserve">That said, a few important issues remain, primarily around interpretation, framing, and the implications of some key findings. These are outlined below.</w:t>
      </w:r>
    </w:p>
    <w:p>
      <w:pPr>
        <w:pStyle w:val="FirstParagraph"/>
      </w:pPr>
      <w:r>
        <w:t xml:space="preserve">RESPONSE: We thank you for the detailed second-round comments, which have substantially sharpened the framing of the paper. Point-by-point responses follow.</w:t>
      </w:r>
    </w:p>
    <w:bookmarkEnd w:id="26"/>
    <w:bookmarkStart w:id="30" w:name="major"/>
    <w:p>
      <w:pPr>
        <w:pStyle w:val="Heading3"/>
      </w:pPr>
      <w:r>
        <w:t xml:space="preserve">Major</w:t>
      </w:r>
    </w:p>
    <w:bookmarkStart w:id="27" w:name="X79e372be8bd0e20b9c126bb23e801f00fccf157"/>
    <w:p>
      <w:pPr>
        <w:pStyle w:val="Heading4"/>
      </w:pPr>
      <w:r>
        <w:t xml:space="preserve">F-Major.1: Language around rubric scores and quality</w:t>
      </w:r>
    </w:p>
    <w:p>
      <w:pPr>
        <w:pStyle w:val="BlockText"/>
      </w:pPr>
      <w:r>
        <w:t xml:space="preserve">Comment: Although the authors have improved the discussion of rubric limitations, the manuscript still at times implicitly equates higher rubric scores with better feedback. Even with the added clarification that the rubric captures structural dimensions, the Results and parts of the Discussion still foreground AI’s higher scores in a way that may lead readers to interpret this as overall superiority.</w:t>
      </w:r>
      <w:r>
        <w:t xml:space="preserve"> </w:t>
      </w:r>
      <w:r>
        <w:t xml:space="preserve">This is especially important given that: 1) The AI was explicitly optimized for the rubric; 2) The rubric does not capture core clinical feedback qualities (e.g., judgment, credibility, contextual awareness)</w:t>
      </w:r>
      <w:r>
        <w:t xml:space="preserve"> </w:t>
      </w:r>
      <w:r>
        <w:t xml:space="preserve">It would be better to further tighten the language throughout Results and Discussion to consistently frame findings as: e.g., 1)</w:t>
      </w:r>
      <w:r>
        <w:t xml:space="preserve"> </w:t>
      </w:r>
      <w:r>
        <w:t xml:space="preserve">“better alignment with rubric criteria”</w:t>
      </w:r>
      <w:r>
        <w:t xml:space="preserve"> </w:t>
      </w:r>
      <w:r>
        <w:t xml:space="preserve">rather than</w:t>
      </w:r>
      <w:r>
        <w:t xml:space="preserve"> </w:t>
      </w:r>
      <w:r>
        <w:t xml:space="preserve">“higher quality”</w:t>
      </w:r>
      <w:r>
        <w:t xml:space="preserve">, and 2)</w:t>
      </w:r>
      <w:r>
        <w:t xml:space="preserve"> </w:t>
      </w:r>
      <w:r>
        <w:t xml:space="preserve">“Emphasize that different dimensions of quality are being measured”</w:t>
      </w:r>
      <w:r>
        <w:t xml:space="preserve"> </w:t>
      </w:r>
      <w:r>
        <w:t xml:space="preserve">vs. </w:t>
      </w:r>
      <w:r>
        <w:t xml:space="preserve">“omitted”</w:t>
      </w:r>
    </w:p>
    <w:p>
      <w:pPr>
        <w:pStyle w:val="FirstParagraph"/>
      </w:pPr>
      <w:r>
        <w:t xml:space="preserve">RESPONSE: We agree and have tightened the language in eight Results and Discussion passages where</w:t>
      </w:r>
      <w:r>
        <w:t xml:space="preserve"> </w:t>
      </w:r>
      <w:r>
        <w:t xml:space="preserve">“quality”</w:t>
      </w:r>
      <w:r>
        <w:t xml:space="preserve"> </w:t>
      </w:r>
      <w:r>
        <w:t xml:space="preserve">or</w:t>
      </w:r>
      <w:r>
        <w:t xml:space="preserve"> </w:t>
      </w:r>
      <w:r>
        <w:t xml:space="preserve">“superior”</w:t>
      </w:r>
      <w:r>
        <w:t xml:space="preserve"> </w:t>
      </w:r>
      <w:r>
        <w:t xml:space="preserve">was used in a way that could be read as overall superiority rather than as rubric-specific alignment. In each case,</w:t>
      </w:r>
      <w:r>
        <w:t xml:space="preserve"> </w:t>
      </w:r>
      <w:r>
        <w:t xml:space="preserve">“quality”</w:t>
      </w:r>
      <w:r>
        <w:t xml:space="preserve"> </w:t>
      </w:r>
      <w:r>
        <w:t xml:space="preserve">has been replaced with</w:t>
      </w:r>
      <w:r>
        <w:t xml:space="preserve"> </w:t>
      </w:r>
      <w:r>
        <w:t xml:space="preserve">“rubric scores”</w:t>
      </w:r>
      <w:r>
        <w:t xml:space="preserve"> </w:t>
      </w:r>
      <w:r>
        <w:t xml:space="preserve">(or equivalent) when the phrase referred to our quantitative rubric measurements, and</w:t>
      </w:r>
      <w:r>
        <w:t xml:space="preserve"> </w:t>
      </w:r>
      <w:r>
        <w:t xml:space="preserve">“superior adherence”</w:t>
      </w:r>
      <w:r>
        <w:t xml:space="preserve"> </w:t>
      </w:r>
      <w:r>
        <w:t xml:space="preserve">has been softened to</w:t>
      </w:r>
      <w:r>
        <w:t xml:space="preserve"> </w:t>
      </w:r>
      <w:r>
        <w:t xml:space="preserve">“greater adherence”</w:t>
      </w:r>
      <w:r>
        <w:t xml:space="preserve">. Three Results subsection titles were also renamed accordingly. The framing that</w:t>
      </w:r>
      <w:r>
        <w:t xml:space="preserve"> </w:t>
      </w:r>
      <w:r>
        <w:t xml:space="preserve">“different dimensions of quality are being measured”</w:t>
      </w:r>
      <w:r>
        <w:t xml:space="preserve"> </w:t>
      </w:r>
      <w:r>
        <w:t xml:space="preserve">rather than omitted is retained in the existing Limitations paragraph on the Steiss rubric and in the Methods subsection on the Evaluation Instrument, both of which explicitly state that clinically meaningful dimensions such as diagnostic reasoning and professional judgment are not captured by the rubric.</w:t>
      </w:r>
    </w:p>
    <w:p>
      <w:pPr>
        <w:pStyle w:val="BodyText"/>
      </w:pPr>
      <w:r>
        <w:t xml:space="preserve">Changes by location:</w:t>
      </w:r>
    </w:p>
    <w:p>
      <w:pPr>
        <w:pStyle w:val="BodyText"/>
      </w:pPr>
      <w:r>
        <w:t xml:space="preserve">Results subsection titles (Quantitative analysis and Integration):</w:t>
      </w:r>
    </w:p>
    <w:p>
      <w:pPr>
        <w:pStyle w:val="BlockText"/>
      </w:pPr>
      <w:r>
        <w:t xml:space="preserve">“Consistency of Rubric Scores”</w:t>
      </w:r>
      <w:r>
        <w:t xml:space="preserve"> </w:t>
      </w:r>
      <w:r>
        <w:t xml:space="preserve">(previously</w:t>
      </w:r>
      <w:r>
        <w:t xml:space="preserve"> </w:t>
      </w:r>
      <w:r>
        <w:t xml:space="preserve">“Consistency of Feedback Quality”</w:t>
      </w:r>
      <w:r>
        <w:t xml:space="preserve">)</w:t>
      </w:r>
    </w:p>
    <w:p>
      <w:pPr>
        <w:pStyle w:val="BlockText"/>
      </w:pPr>
      <w:r>
        <w:t xml:space="preserve">“Index 3: Length-Score Correlation Patterns”</w:t>
      </w:r>
      <w:r>
        <w:t xml:space="preserve"> </w:t>
      </w:r>
      <w:r>
        <w:t xml:space="preserve">(previously</w:t>
      </w:r>
      <w:r>
        <w:t xml:space="preserve"> </w:t>
      </w:r>
      <w:r>
        <w:t xml:space="preserve">“Length-Quality Correlation Patterns”</w:t>
      </w:r>
      <w:r>
        <w:t xml:space="preserve">)</w:t>
      </w:r>
    </w:p>
    <w:p>
      <w:pPr>
        <w:pStyle w:val="BlockText"/>
      </w:pPr>
      <w:r>
        <w:t xml:space="preserve">“Index 4: Rubric-Score Consistency and Variability”</w:t>
      </w:r>
      <w:r>
        <w:t xml:space="preserve"> </w:t>
      </w:r>
      <w:r>
        <w:t xml:space="preserve">(previously</w:t>
      </w:r>
      <w:r>
        <w:t xml:space="preserve"> </w:t>
      </w:r>
      <w:r>
        <w:t xml:space="preserve">“Quality Consistency and Variability”</w:t>
      </w:r>
      <w:r>
        <w:t xml:space="preserve">)</w:t>
      </w:r>
    </w:p>
    <w:p>
      <w:pPr>
        <w:pStyle w:val="FirstParagraph"/>
      </w:pPr>
      <w:r>
        <w:t xml:space="preserve">Results, Consistency of Rubric Scores (first sentence and closing sentence of the paragraph):</w:t>
      </w:r>
    </w:p>
    <w:p>
      <w:pPr>
        <w:pStyle w:val="BlockText"/>
      </w:pPr>
      <w:r>
        <w:t xml:space="preserve">“AI exhibited smaller score dispersion, suggesting higher consistency in rubric scores. … suggesting that AI feedback received more consistent rubric scores, whereas supervisor feedback received more variable ones.”</w:t>
      </w:r>
    </w:p>
    <w:p>
      <w:pPr>
        <w:pStyle w:val="FirstParagraph"/>
      </w:pPr>
      <w:r>
        <w:t xml:space="preserve">Results, Integration Index 2 (closing sentence):</w:t>
      </w:r>
    </w:p>
    <w:p>
      <w:pPr>
        <w:pStyle w:val="BlockText"/>
      </w:pPr>
      <w:r>
        <w:t xml:space="preserve">“This complementary integration explains how AI feedback aligns with the rubric’s structural criteria through both structural adherence and sufficient length.”</w:t>
      </w:r>
    </w:p>
    <w:p>
      <w:pPr>
        <w:pStyle w:val="FirstParagraph"/>
      </w:pPr>
      <w:r>
        <w:t xml:space="preserve">Results, Integration Index 3 (opening sentence and penultimate sentence):</w:t>
      </w:r>
    </w:p>
    <w:p>
      <w:pPr>
        <w:pStyle w:val="BlockText"/>
      </w:pPr>
      <w:r>
        <w:t xml:space="preserve">“Quantitative examination revealed that while there was no correlation between length and rubric scores in AI feedback, longer submissions received higher scores in supervisor feedback.”</w:t>
      </w:r>
    </w:p>
    <w:p>
      <w:pPr>
        <w:pStyle w:val="BlockText"/>
      </w:pPr>
      <w:r>
        <w:t xml:space="preserve">“This suggests that AI more systematically covers the elements specified by the rubric, while supervisors excel at contextual prioritization.”</w:t>
      </w:r>
    </w:p>
    <w:p>
      <w:pPr>
        <w:pStyle w:val="FirstParagraph"/>
      </w:pPr>
      <w:r>
        <w:t xml:space="preserve">Results, Integration Index 4 (whole paragraph):</w:t>
      </w:r>
    </w:p>
    <w:p>
      <w:pPr>
        <w:pStyle w:val="BlockText"/>
      </w:pPr>
      <w:r>
        <w:t xml:space="preserve">“The quantitative finding that AI feedback rubric scores were more consistent while supervisor feedback rubric scores were more variable was supported by qualitative observations regarding adherence to feedback criteria and structure. The qualitative analysis described AI feedback as closely following the rubric, leading to more uniform rubric scores, whereas supervisors often deviated from the rubric, resulting in variable scores. This integration demonstrates how structural consistency in AI feedback translates directly into measurable rubric-score consistency.”</w:t>
      </w:r>
    </w:p>
    <w:p>
      <w:pPr>
        <w:pStyle w:val="FirstParagraph"/>
      </w:pPr>
      <w:r>
        <w:t xml:space="preserve">Discussion, Principal Findings (second sentence):</w:t>
      </w:r>
    </w:p>
    <w:p>
      <w:pPr>
        <w:pStyle w:val="BlockText"/>
      </w:pPr>
      <w:r>
        <w:t xml:space="preserve">“AI feedback was significantly longer and demonstrated greater adherence to rubric-based criteria, particularly in providing criteria-based guidance and clear directions for improvement. While supervisor feedback showed greater variability in rubric scores, with length correlating positively with those scores, AI feedback maintained consistent rubric scores regardless of length, suggesting systematic coverage of the structural elements captured by the rubric.”</w:t>
      </w:r>
    </w:p>
    <w:p>
      <w:pPr>
        <w:pStyle w:val="FirstParagraph"/>
      </w:pPr>
      <w:r>
        <w:t xml:space="preserve">Discussion, Comparison with the Literature (feedback length paragraph, length-score clauses):</w:t>
      </w:r>
    </w:p>
    <w:p>
      <w:pPr>
        <w:pStyle w:val="BlockText"/>
      </w:pPr>
      <w:r>
        <w:t xml:space="preserve">“Furthermore, our results showed no correlation between AI feedback length and rubric scores, while supervisor feedback demonstrated a positive correlation between length and rubric scores.”</w:t>
      </w:r>
    </w:p>
    <w:bookmarkEnd w:id="27"/>
    <w:bookmarkStart w:id="28" w:name="Xa720d265eafaadb7207e4e4df8693bb373a4ffc"/>
    <w:p>
      <w:pPr>
        <w:pStyle w:val="Heading4"/>
      </w:pPr>
      <w:r>
        <w:t xml:space="preserve">F-Major.2: Implications of perfect detectability</w:t>
      </w:r>
    </w:p>
    <w:p>
      <w:pPr>
        <w:pStyle w:val="BlockText"/>
      </w:pPr>
      <w:r>
        <w:t xml:space="preserve">Comment: The authors have clarified the evaluation sequence, which is helpful. However, the implications of perfect detectability remain insufficiently explored. This is not just a methodological detail and it is a substantive finding: 1) It suggests that AI and human feedback differ not only in structure but in recognizable</w:t>
      </w:r>
      <w:r>
        <w:t xml:space="preserve"> </w:t>
      </w:r>
      <w:r>
        <w:t xml:space="preserve">“voice”</w:t>
      </w:r>
      <w:r>
        <w:t xml:space="preserve"> </w:t>
      </w:r>
      <w:r>
        <w:t xml:space="preserve">or epistemic stance. 2) It raises questions about:</w:t>
      </w:r>
      <w:r>
        <w:t xml:space="preserve"> </w:t>
      </w:r>
      <w:r>
        <w:t xml:space="preserve">a. Ecological validity (would learners respond differently if they know the source?)</w:t>
      </w:r>
      <w:r>
        <w:t xml:space="preserve"> </w:t>
      </w:r>
      <w:r>
        <w:t xml:space="preserve">b. Potential implicit bias, even if identification occurred after scoring</w:t>
      </w:r>
      <w:r>
        <w:t xml:space="preserve"> </w:t>
      </w:r>
      <w:r>
        <w:t xml:space="preserve">c. The feasibility of integrating AI feedback seamlessly into practice</w:t>
      </w:r>
      <w:r>
        <w:t xml:space="preserve"> </w:t>
      </w:r>
      <w:r>
        <w:t xml:space="preserve">I suggest expanding the Discussion to explicitly theorize: Why AI feedback is so easily identifiable in this context? Whether detectability is a feature (transparency) or a limitation (lack of authenticity)? How this affects real-world implementation and learner trust?</w:t>
      </w:r>
    </w:p>
    <w:p>
      <w:pPr>
        <w:pStyle w:val="FirstParagraph"/>
      </w:pPr>
      <w:r>
        <w:t xml:space="preserve">RESPONSE: Thank you for this substantive comment. We agree that the perfect detectability is a finding in its own right and that it raises three distinct theoretical questions, namely why AI feedback was so easily identifiable, whether detectability is best read as a feature or a limitation, and how it may affect real-world implementation and learner trust. We have added text in three locations of the Discussion to address these questions in turn.</w:t>
      </w:r>
    </w:p>
    <w:p>
      <w:pPr>
        <w:pStyle w:val="BodyText"/>
      </w:pPr>
      <w:r>
        <w:t xml:space="preserve">Addition 1 (Comparison with the Literature). The previous single paragraph has been split into two: one paragraph addressing the implicit-bias concern within the evaluation, one theorizing the detectability finding itself. The two paragraphs read:</w:t>
      </w:r>
    </w:p>
    <w:p>
      <w:pPr>
        <w:pStyle w:val="BlockText"/>
      </w:pPr>
      <w:r>
        <w:t xml:space="preserve">“This perfect detection has implications that warrant discussion along two distinct lines. The first concerns the evaluation itself: because evaluators recognized the feedback source with complete accuracy, they may have formed implicit judgments about source during rubric scoring even though they were not explicitly informed until afterward, and the possibility that such recognition shaped ratings cannot be ruled out. Prior research has demonstrated that knowledge or perception of the feedback provider can influence how feedback is received and evaluated (van de Ridder et al., 2014; Tripodi et al., 2021), and a recent controlled-content experiment further showed that source attribution altered learner engagement by a large margin (Cohen d=0.88-1.56) even when the feedback content was held identical (Morris &amp; Maes, 2026). In our study, however, the identification question was administered only after all rubric scoring and free-text comments had been completed, so any such influence would have arisen from the textual characteristics of the feedback rather than from explicit labels, unlike an unblinded evaluation in which the source is known a priori.”</w:t>
      </w:r>
    </w:p>
    <w:p>
      <w:pPr>
        <w:pStyle w:val="BlockText"/>
      </w:pPr>
      <w:r>
        <w:t xml:space="preserve">“The perfect detection also constitutes a substantive finding in its own right. The five qualitative themes identified in our analysis (adherence to feedback criteria and structure, continuity and consistency, perspective as a clinician, quality of the Japanese language, and text length) collectively describe the lexical, structural, and contextual features that made AI feedback identifiable in this Japanese-language clinical context, with language-level cues such as translation-like phrasing, formatting artifacts, and a formulaic register being particularly salient. At the level of interpretation, these differences suggest that AI and supervisor feedback differ not only in structural properties but in the epistemic voice they carry: supervisor feedback is grounded in lived clinical encounter, whereas AI feedback operates on textual pattern. Similar tensions around authenticity and voice have been raised in recent medical education writing on AI-assisted reflective work (Maher et al., 2026). This voice differential can be read positively as a form of source transparency, since learners and educators are unlikely to mistake one source for the other, but also as an authenticity gap that may affect trust and uptake when AI feedback is delivered to learners. Newer large language models continue to improve in generating natural, human-like text, and future iterations may substantially reduce the detectability of AI-generated feedback, potentially altering both evaluator perceptions and the dynamics of blinded evaluation designs.”</w:t>
      </w:r>
    </w:p>
    <w:p>
      <w:pPr>
        <w:pStyle w:val="FirstParagraph"/>
      </w:pPr>
      <w:r>
        <w:t xml:space="preserve">Addition 2 (Implications of Findings). We have extended the existing risks listing with two sentences that link the detection finding forward to the real-world delivery context and flag that rubric-score advantages cannot be assumed to translate into learner uptake when source is identifiable:</w:t>
      </w:r>
    </w:p>
    <w:p>
      <w:pPr>
        <w:pStyle w:val="BlockText"/>
      </w:pPr>
      <w:r>
        <w:t xml:space="preserve">“Our finding that evaluators recognized feedback source with perfect accuracy suggests that learners in real-world settings would plausibly do the same, and evidence from controlled-content experiments indicates that source attribution can substantially alter learner engagement when feedback is delivered directly (Cohen d=0.88-1.56) (Morris &amp; Maes, 2026). The rubric-score advantages we observed should therefore not be assumed to translate directly into comparable learner uptake or educational impact when AI feedback is delivered to students who can identify its source.”</w:t>
      </w:r>
    </w:p>
    <w:p>
      <w:pPr>
        <w:pStyle w:val="FirstParagraph"/>
      </w:pPr>
      <w:r>
        <w:t xml:space="preserve">Addition 3 (Limitations). Because our design examined third-party evaluator judgments rather than learner reception of feedback, we have expanded the eighth limitation to make this scope distinction explicit and to flag that source-attribution effects lie outside our data:</w:t>
      </w:r>
    </w:p>
    <w:p>
      <w:pPr>
        <w:pStyle w:val="BlockText"/>
      </w:pPr>
      <w:r>
        <w:t xml:space="preserve">“Eighth, our study evaluated the structural quality of feedback as assessed by third-party evaluators using the rubric, but did not examine whether AI-generated or supervisor-provided feedback, when delivered to students, elicited different learning behaviors, revisions, engagement, or clinical improvement. Because our design measured judgments by evaluators rather than responses by learner recipients, source-attribution effects that may arise when identifiable AI feedback is delivered directly to students (Morris &amp; Maes, 2026) fall outside the scope of our data. The relationship between perceived feedback quality, source attribution, and actual educational outcomes remains an important area for future investigation.”</w:t>
      </w:r>
    </w:p>
    <w:bookmarkEnd w:id="28"/>
    <w:bookmarkStart w:id="29" w:name="Xd46d94ba16e0564b5c65ba4f940d00535bb2bc2"/>
    <w:p>
      <w:pPr>
        <w:pStyle w:val="Heading4"/>
      </w:pPr>
      <w:r>
        <w:t xml:space="preserve">F-Major.3: Prompt design as operationalization of educational values</w:t>
      </w:r>
    </w:p>
    <w:p>
      <w:pPr>
        <w:pStyle w:val="BlockText"/>
      </w:pPr>
      <w:r>
        <w:t xml:space="preserve">Comment: The revised manuscript does a good job acknowledging that the AI was rubric-optimized. However, the conceptual implications of prompt design could be further strengthened. Currently, this is framed mainly as a limitation. However, it is also a central intervention in the study, or potentially a design principle for educational AI systems. It would be better to strengthen the Discussion by reframing prompt design as not only a source of bias, but also a mechanism through which educational values are operationalized.</w:t>
      </w:r>
    </w:p>
    <w:p>
      <w:pPr>
        <w:pStyle w:val="FirstParagraph"/>
      </w:pPr>
      <w:r>
        <w:t xml:space="preserve">RESPONSE: Thank you for this comment. We agree that the prompt is a central intervention rather than only a methodological constraint, and we have added a new paragraph in the Implications of Findings subsection of the Discussion that reframes prompt design as a deliberate pedagogical operationalization of educational values.</w:t>
      </w:r>
    </w:p>
    <w:p>
      <w:pPr>
        <w:pStyle w:val="BodyText"/>
      </w:pPr>
      <w:r>
        <w:t xml:space="preserve">The new paragraph reads:</w:t>
      </w:r>
    </w:p>
    <w:p>
      <w:pPr>
        <w:pStyle w:val="BlockText"/>
      </w:pPr>
      <w:r>
        <w:t xml:space="preserve">“Underlying both direct delivery and hybrid configurations is the prompt itself, an object of pedagogical design that shapes what the AI produces in any deployment model. In our case, embedding the rubric criteria directly in the prompt operationalized a particular conception of feedback quality in AI generation. This is analogous to constructive alignment in instructional design (Biggs, 1996), where intended outcomes are aligned with the activities producing them. Recent applied guidance in health professions education has similarly recommended grounding generative AI prompts in institutional pedagogical and assessment frameworks (Sánchez-Mendiola et al., 2025). The rubric-score consistency we observed for AI feedback is therefore best read not as an inherent property of GPT-4o but as an outcome of this prompt configuration, consistent with experimental evidence that detailed prompts combined with low temperature settings yield near-perfect inter-replicate consistency in LLM rubric grading (Yavuz et al., 2024). The same design lever is available to other educators and institutions seeking to align AI feedback with their own assessment frameworks.”</w:t>
      </w:r>
    </w:p>
    <w:bookmarkEnd w:id="29"/>
    <w:bookmarkEnd w:id="30"/>
    <w:bookmarkStart w:id="34" w:name="minor"/>
    <w:p>
      <w:pPr>
        <w:pStyle w:val="Heading3"/>
      </w:pPr>
      <w:r>
        <w:t xml:space="preserve">Minor</w:t>
      </w:r>
    </w:p>
    <w:bookmarkStart w:id="31" w:name="f-minor.1-methodological-repetition"/>
    <w:p>
      <w:pPr>
        <w:pStyle w:val="Heading4"/>
      </w:pPr>
      <w:r>
        <w:t xml:space="preserve">F-Minor.1: Methodological repetition</w:t>
      </w:r>
    </w:p>
    <w:p>
      <w:pPr>
        <w:pStyle w:val="BlockText"/>
      </w:pPr>
      <w:r>
        <w:t xml:space="preserve">Comment: Some methodological explanations (especially around prompt design and rubric alignment) are repeated across sections. Consider tightening for conciseness.</w:t>
      </w:r>
    </w:p>
    <w:p>
      <w:pPr>
        <w:pStyle w:val="FirstParagraph"/>
      </w:pPr>
      <w:r>
        <w:t xml:space="preserve">RESPONSE: We tightened two passages where the same point about rubric embedding in the AI prompt was stated more than once.</w:t>
      </w:r>
    </w:p>
    <w:p>
      <w:pPr>
        <w:pStyle w:val="BodyText"/>
      </w:pPr>
      <w:r>
        <w:t xml:space="preserve">In the Results, the caveat paragraph following the Comparison of Scores subsection was compressed from three sentences to three tighter ones, removing the passive-voice restatement of the asymmetric design that is already established in the Methods. It now reads:</w:t>
      </w:r>
    </w:p>
    <w:p>
      <w:pPr>
        <w:pStyle w:val="BlockText"/>
      </w:pPr>
      <w:r>
        <w:t xml:space="preserve">“These rubric-based findings should be interpreted in light of the asymmetric design described in the Methods: the rubric criteria were explicitly embedded in the AI prompt but not given to supervisors. The observed score differences therefore reflect adherence to these specific structural dimensions rather than overall educational quality. The qualitative findings, particularly the themes of Perspective as a clinician and Continuity with practice, provide complementary evidence of the clinical value that supervisors contribute and that this rubric does not capture.”</w:t>
      </w:r>
    </w:p>
    <w:p>
      <w:pPr>
        <w:pStyle w:val="FirstParagraph"/>
      </w:pPr>
      <w:r>
        <w:t xml:space="preserve">In the Limitations, the fifth limitation previously restated that the rubric dimensions</w:t>
      </w:r>
      <w:r>
        <w:t xml:space="preserve"> </w:t>
      </w:r>
      <w:r>
        <w:t xml:space="preserve">“were also explicitly embedded in the AI prompt”</w:t>
      </w:r>
      <w:r>
        <w:t xml:space="preserve">; this trailing clause was removed because the same point is already made in the Methods, in the Results caveat above, and in the Implications paragraph on prompt design. The opening sentence of the fifth limitation now reads:</w:t>
      </w:r>
    </w:p>
    <w:p>
      <w:pPr>
        <w:pStyle w:val="BlockText"/>
      </w:pPr>
      <w:r>
        <w:t xml:space="preserve">“Fifth, the evaluation rubric used to assess feedback quality was originally developed for written academic feedback (Steiss et al., 2024) and emphasizes structural dimensions such as criteria-based guidance, clarity of directions, and text alignment.”</w:t>
      </w:r>
    </w:p>
    <w:p>
      <w:pPr>
        <w:pStyle w:val="FirstParagraph"/>
      </w:pPr>
      <w:r>
        <w:t xml:space="preserve">The definitional statement in the Methods (Prompt Development subsection), the brief mention within the Discussion Comparison with the Literature subsection, the new Implications paragraph on prompt design as an operationalization of educational values, and the Conclusion were retained because each serves a distinct framing purpose.</w:t>
      </w:r>
    </w:p>
    <w:bookmarkEnd w:id="31"/>
    <w:bookmarkStart w:id="32" w:name="f-minor.2-table-2-density"/>
    <w:p>
      <w:pPr>
        <w:pStyle w:val="Heading4"/>
      </w:pPr>
      <w:r>
        <w:t xml:space="preserve">F-Minor.2: Table 2 density</w:t>
      </w:r>
    </w:p>
    <w:p>
      <w:pPr>
        <w:pStyle w:val="BlockText"/>
      </w:pPr>
      <w:r>
        <w:t xml:space="preserve">Comment: Table 2 remains dense. Consider whether all reported statistics are necessary in the main text vs. appendix.</w:t>
      </w:r>
    </w:p>
    <w:p>
      <w:pPr>
        <w:pStyle w:val="FirstParagraph"/>
      </w:pPr>
      <w:r>
        <w:t xml:space="preserve">RESPONSE: Thank you for the suggestion. We have trimmed Table 2 from seven columns to five, retaining Item, AI Mean (95% CI), Supervisor Mean (95% CI), Cohen d (95% CI), and Bonferroni-corrected P value. The Mean Difference (derivable from the two means) and the uncorrected P value (redundant given the corrected value) have been moved to a new Multimedia Appendix 4 that reproduces the full seven-column table. The Table 2 caption and the Data Availability statement have been updated to point to Multimedia Appendix 4.</w:t>
      </w:r>
    </w:p>
    <w:bookmarkEnd w:id="32"/>
    <w:bookmarkStart w:id="33" w:name="Xc0fd9eb19a12900f2d315c652c6f8f2c007e37f"/>
    <w:p>
      <w:pPr>
        <w:pStyle w:val="Heading4"/>
      </w:pPr>
      <w:r>
        <w:t xml:space="preserve">F-Minor.3: Language/culture and AI detectability</w:t>
      </w:r>
    </w:p>
    <w:p>
      <w:pPr>
        <w:pStyle w:val="BlockText"/>
      </w:pPr>
      <w:r>
        <w:t xml:space="preserve">Comment: The added discussion of the Japanese context is helpful. You may still consider one or two sentences more explicitly linking language/culture to AI detectability.</w:t>
      </w:r>
    </w:p>
    <w:p>
      <w:pPr>
        <w:pStyle w:val="FirstParagraph"/>
      </w:pPr>
      <w:r>
        <w:t xml:space="preserve">RESPONSE: This link is already articulated in the Comparison with the Literature subsection of the Discussion, within the second paragraph on perfect detection that was newly added in response to your earlier Major comment on detectability. The relevant sentence reads:</w:t>
      </w:r>
    </w:p>
    <w:p>
      <w:pPr>
        <w:pStyle w:val="BlockText"/>
      </w:pPr>
      <w:r>
        <w:t xml:space="preserve">“The five qualitative themes identified in our analysis (adherence to feedback criteria and structure, continuity and consistency, perspective as a clinician, quality of the Japanese language, and text length) collectively describe the lexical, structural, and contextual features that made AI feedback identifiable in this Japanese-language clinical context, with language-level cues such as translation-like phrasing, formatting artifacts, and a formulaic register being particularly salient.”</w:t>
      </w:r>
    </w:p>
    <w:p>
      <w:pPr>
        <w:pStyle w:val="FirstParagraph"/>
      </w:pPr>
      <w:r>
        <w:t xml:space="preserve">The three named cues (translation-like phrasing, formatting artifacts, formulaic register) explicitly tie Japanese-language features to the detectability finding. We have therefore not added further sentences to avoid duplication with that newly added passage.</w:t>
      </w:r>
    </w:p>
    <w:p>
      <w:r>
        <w:pict>
          <v:rect style="width:0;height:1.5pt" o:hralign="center" o:hrstd="t" o:hr="t"/>
        </w:pict>
      </w:r>
    </w:p>
    <w:bookmarkEnd w:id="33"/>
    <w:bookmarkEnd w:id="34"/>
    <w:bookmarkEnd w:id="35"/>
    <w:bookmarkStart w:id="40" w:name="reviewer-g"/>
    <w:p>
      <w:pPr>
        <w:pStyle w:val="Heading2"/>
      </w:pPr>
      <w:r>
        <w:t xml:space="preserve">Reviewer G</w:t>
      </w:r>
    </w:p>
    <w:bookmarkStart w:id="36" w:name="general-comments-2"/>
    <w:p>
      <w:pPr>
        <w:pStyle w:val="Heading3"/>
      </w:pPr>
      <w:r>
        <w:t xml:space="preserve">General comments</w:t>
      </w:r>
    </w:p>
    <w:p>
      <w:pPr>
        <w:pStyle w:val="BlockText"/>
      </w:pPr>
      <w:r>
        <w:t xml:space="preserve">The authors have provided sufficient responses to the reviewers’ comments, and the manuscript has been appropriately revised.</w:t>
      </w:r>
    </w:p>
    <w:p>
      <w:pPr>
        <w:pStyle w:val="FirstParagraph"/>
      </w:pPr>
      <w:r>
        <w:t xml:space="preserve">RESPONSE: We thank the reviewer for the careful review across both rounds.</w:t>
      </w:r>
    </w:p>
    <w:bookmarkEnd w:id="36"/>
    <w:bookmarkStart w:id="39" w:name="minor-1"/>
    <w:p>
      <w:pPr>
        <w:pStyle w:val="Heading3"/>
      </w:pPr>
      <w:r>
        <w:t xml:space="preserve">Minor</w:t>
      </w:r>
    </w:p>
    <w:bookmarkStart w:id="37" w:name="Xa23263c2a294413f8cfb4ecc48b100779b779f2"/>
    <w:p>
      <w:pPr>
        <w:pStyle w:val="Heading4"/>
      </w:pPr>
      <w:r>
        <w:t xml:space="preserve">G-Minor.1: Limitations paragraph structure</w:t>
      </w:r>
    </w:p>
    <w:p>
      <w:pPr>
        <w:pStyle w:val="BlockText"/>
      </w:pPr>
      <w:r>
        <w:t xml:space="preserve">Comment: The limitation section currently consists of a single paragraph describing eight limitations. For better readability, it would be preferable to separate them into individual paragraphs.</w:t>
      </w:r>
    </w:p>
    <w:p>
      <w:pPr>
        <w:pStyle w:val="FirstParagraph"/>
      </w:pPr>
      <w:r>
        <w:t xml:space="preserve">RESPONSE: Done. The Limitations section has been split so that each of the eight limitations (First through Eighth) now occupies its own paragraph.</w:t>
      </w:r>
    </w:p>
    <w:bookmarkEnd w:id="37"/>
    <w:bookmarkStart w:id="38" w:name="g-minor.2-gaidet-reference"/>
    <w:p>
      <w:pPr>
        <w:pStyle w:val="Heading4"/>
      </w:pPr>
      <w:r>
        <w:t xml:space="preserve">G-Minor.2: GAIDeT reference</w:t>
      </w:r>
    </w:p>
    <w:p>
      <w:pPr>
        <w:pStyle w:val="BlockText"/>
      </w:pPr>
      <w:r>
        <w:t xml:space="preserve">Comment: As GAIDeT is used in the manuscript, its corresponding reference should be added.</w:t>
      </w:r>
    </w:p>
    <w:p>
      <w:pPr>
        <w:pStyle w:val="FirstParagraph"/>
      </w:pPr>
      <w:r>
        <w:t xml:space="preserve">RESPONSE: The original GAIDeT paper (Suchikova, Tsybuliak, Teixeira da Silva, &amp; Nazarovets, 2026, Accountability in Research, 33[3], 2544331, DOI: 10.1080/08989621.2025.2544331) has been cited at the point of GAIDeT introduction in the Acknowledgements. The revised sentence reads:</w:t>
      </w:r>
    </w:p>
    <w:p>
      <w:pPr>
        <w:pStyle w:val="BlockText"/>
      </w:pPr>
      <w:r>
        <w:t xml:space="preserve">“According to the Generative AI Delegation Taxonomy (GAIDeT) (Suchikova et al., 2026), the following tasks were delegated to generative AI tools under full human supervision: literature search and systematization, code generation, and translation.”</w:t>
      </w:r>
    </w:p>
    <w:p>
      <w:r>
        <w:pict>
          <v:rect style="width:0;height:1.5pt" o:hralign="center" o:hrstd="t" o:hr="t"/>
        </w:pict>
      </w:r>
    </w:p>
    <w:bookmarkEnd w:id="38"/>
    <w:bookmarkEnd w:id="39"/>
    <w:bookmarkEnd w:id="40"/>
    <w:bookmarkStart w:id="45" w:name="reviewer-l"/>
    <w:p>
      <w:pPr>
        <w:pStyle w:val="Heading2"/>
      </w:pPr>
      <w:r>
        <w:t xml:space="preserve">Reviewer L</w:t>
      </w:r>
    </w:p>
    <w:bookmarkStart w:id="41" w:name="general-comments-3"/>
    <w:p>
      <w:pPr>
        <w:pStyle w:val="Heading3"/>
      </w:pPr>
      <w:r>
        <w:t xml:space="preserve">General comments</w:t>
      </w:r>
    </w:p>
    <w:p>
      <w:pPr>
        <w:pStyle w:val="BlockText"/>
      </w:pPr>
      <w:r>
        <w:t xml:space="preserve">This manuscript presents a well-designed convergent mixed-methods study comparing AI-generated and supervisor-provided feedback in an authentic clinical clerkship setting. The study is timely and methodologically rigorous, with strong ecological validity and appropriate integration of quantitative and qualitative analyses. The findings clearly demonstrate complementary strengths of AI and human feedback, and the interpretation is generally balanced and cautious. Overall, this work makes a meaningful contribution to medical education and is suitable for publication.</w:t>
      </w:r>
    </w:p>
    <w:p>
      <w:pPr>
        <w:pStyle w:val="FirstParagraph"/>
      </w:pPr>
      <w:r>
        <w:t xml:space="preserve">RESPONSE: We thank the reviewer for the positive assessment.</w:t>
      </w:r>
    </w:p>
    <w:bookmarkEnd w:id="41"/>
    <w:bookmarkStart w:id="44" w:name="minor-2"/>
    <w:p>
      <w:pPr>
        <w:pStyle w:val="Heading3"/>
      </w:pPr>
      <w:r>
        <w:t xml:space="preserve">Minor</w:t>
      </w:r>
    </w:p>
    <w:bookmarkStart w:id="42" w:name="l-minor.1-languagecontext-dependency"/>
    <w:p>
      <w:pPr>
        <w:pStyle w:val="Heading4"/>
      </w:pPr>
      <w:r>
        <w:t xml:space="preserve">L-Minor.1: Language/context dependency</w:t>
      </w:r>
    </w:p>
    <w:p>
      <w:pPr>
        <w:pStyle w:val="BlockText"/>
      </w:pPr>
      <w:r>
        <w:t xml:space="preserve">Comment: A brief note on potential language/context dependency would strengthen external validity.</w:t>
      </w:r>
    </w:p>
    <w:p>
      <w:pPr>
        <w:pStyle w:val="FirstParagraph"/>
      </w:pPr>
      <w:r>
        <w:t xml:space="preserve">RESPONSE: Language/context dependency and its external-validity implication are addressed in two locations that were added during the first revision round and retained unchanged in this round.</w:t>
      </w:r>
    </w:p>
    <w:p>
      <w:pPr>
        <w:pStyle w:val="BodyText"/>
      </w:pPr>
      <w:r>
        <w:t xml:space="preserve">In the Comparison with the Literature subsection, the paragraph on the Japanese linguistic and cultural context closes with an explicit external-validity statement:</w:t>
      </w:r>
    </w:p>
    <w:p>
      <w:pPr>
        <w:pStyle w:val="BlockText"/>
      </w:pPr>
      <w:r>
        <w:t xml:space="preserve">“Rather than framing these contextual factors solely as limitations, we note that they underscore the importance of conducting AI feedback research across diverse linguistic and cultural settings, as both AI performance and user reception are likely to be context-dependent.”</w:t>
      </w:r>
    </w:p>
    <w:p>
      <w:pPr>
        <w:pStyle w:val="FirstParagraph"/>
      </w:pPr>
      <w:r>
        <w:t xml:space="preserve">The first paragraph of the Limitations section also frames the same point as a generalizability constraint:</w:t>
      </w:r>
    </w:p>
    <w:p>
      <w:pPr>
        <w:pStyle w:val="BlockText"/>
      </w:pPr>
      <w:r>
        <w:t xml:space="preserve">“First, as this research was conducted at a single institution in Japan, the generalizability of our findings to other institutions or cultural contexts needs to be confirmed. The study was conducted entirely in Japanese, and GPT-4o’s performance in Japanese may differ from its performance in English, potentially affecting the naturalness and quality of AI-generated feedback.”</w:t>
      </w:r>
    </w:p>
    <w:p>
      <w:pPr>
        <w:pStyle w:val="FirstParagraph"/>
      </w:pPr>
      <w:r>
        <w:t xml:space="preserve">Together these passages cover both the language-performance dependency (with Strasser et al., 2026 and Harigai et al., 2024 as empirical anchors) and the cultural-reception dependency (Nishigori, 2014), and explicitly flag the external-validity implication for cross-linguistic and cross-cultural extension.</w:t>
      </w:r>
    </w:p>
    <w:bookmarkEnd w:id="42"/>
    <w:bookmarkStart w:id="43" w:name="Xa02b0c8609c3cc50a8580c29be3e8f945406dcd"/>
    <w:p>
      <w:pPr>
        <w:pStyle w:val="Heading4"/>
      </w:pPr>
      <w:r>
        <w:t xml:space="preserve">L-Minor.2: Rubric-embedded prompting in Discussion</w:t>
      </w:r>
    </w:p>
    <w:p>
      <w:pPr>
        <w:pStyle w:val="BlockText"/>
      </w:pPr>
      <w:r>
        <w:t xml:space="preserve">Comment: The role of rubric-embedded prompting is described in Methods; briefly reiterating its impact on results in the Discussion would strengthen interpretation.</w:t>
      </w:r>
    </w:p>
    <w:p>
      <w:pPr>
        <w:pStyle w:val="FirstParagraph"/>
      </w:pPr>
      <w:r>
        <w:t xml:space="preserve">RESPONSE: Thank you for this suggestion. We have added a new paragraph in the Implications of Findings subsection of the Discussion that explicitly attributes the observed rubric-score consistency to the prompt configuration rather than to the model itself. The relevant passage reads:</w:t>
      </w:r>
    </w:p>
    <w:p>
      <w:pPr>
        <w:pStyle w:val="BlockText"/>
      </w:pPr>
      <w:r>
        <w:t xml:space="preserve">“In our case, embedding the rubric criteria directly in the prompt operationalized a particular conception of feedback quality in AI generation. … The rubric-score consistency we observed for AI feedback is therefore best read not as an inherent property of GPT-4o but as an outcome of this prompt configuration, consistent with experimental evidence that detailed prompts combined with low temperature settings yield near-perfect inter-replicate consistency in LLM rubric grading (Yavuz et al., 2024).”</w:t>
      </w:r>
    </w:p>
    <w:p>
      <w:r>
        <w:pict>
          <v:rect style="width:0;height:1.5pt" o:hralign="center" o:hrstd="t" o:hr="t"/>
        </w:pict>
      </w:r>
    </w:p>
    <w:bookmarkEnd w:id="43"/>
    <w:bookmarkEnd w:id="44"/>
    <w:bookmarkEnd w:id="45"/>
    <w:bookmarkStart w:id="47" w:name="reviewer-n"/>
    <w:p>
      <w:pPr>
        <w:pStyle w:val="Heading2"/>
      </w:pPr>
      <w:r>
        <w:t xml:space="preserve">Reviewer N</w:t>
      </w:r>
    </w:p>
    <w:bookmarkStart w:id="46" w:name="general-comments-4"/>
    <w:p>
      <w:pPr>
        <w:pStyle w:val="Heading3"/>
      </w:pPr>
      <w:r>
        <w:t xml:space="preserve">General comments</w:t>
      </w:r>
    </w:p>
    <w:p>
      <w:pPr>
        <w:pStyle w:val="BlockText"/>
      </w:pPr>
      <w:r>
        <w:t xml:space="preserve">Thanks for your response to reviewers. All my previous concerns have been addressed. I have no further questions at this time point.</w:t>
      </w:r>
    </w:p>
    <w:p>
      <w:pPr>
        <w:pStyle w:val="FirstParagraph"/>
      </w:pPr>
      <w:r>
        <w:t xml:space="preserve">RESPONSE: Thank you for your careful review throughout both rounds. We appreciate your confirmation that the previous concerns have been fully addressed.</w:t>
      </w:r>
    </w:p>
    <w:bookmarkEnd w:id="46"/>
    <w:bookmarkEnd w:id="47"/>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2026-04-24T04:05:41Z</dcterms:created>
  <dcterms:modified xsi:type="dcterms:W3CDTF">2026-04-24T04:05:41Z</dcterms:modified>
</cp:coreProperties>
</file>

<file path=docProps/custom.xml><?xml version="1.0" encoding="utf-8"?>
<Properties xmlns="http://schemas.openxmlformats.org/officeDocument/2006/custom-properties" xmlns:vt="http://schemas.openxmlformats.org/officeDocument/2006/docPropsVTypes"/>
</file>