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svg" ContentType="image/svg+xml"/>
  <Override PartName="/word/media/rId53.svg" ContentType="image/svg+xml"/>
  <Override PartName="/word/media/rId65.svg" ContentType="image/svg+xml"/>
  <Override PartName="/word/media/rId48.svg" ContentType="image/svg+xml"/>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23" w:name="Xb0a100bcd5c2d029ed21b1f2e717aceebd65656"/>
    <w:p>
      <w:pPr>
        <w:pStyle w:val="Heading1"/>
      </w:pPr>
      <w:r>
        <w:t xml:space="preserve">AI-generated versus human supervisor feedback on medical students’ clinical clerkship logs: convergent mixed methods study</w:t>
      </w:r>
    </w:p>
    <w:p>
      <w:pPr>
        <w:pStyle w:val="FirstParagraph"/>
      </w:pPr>
      <w:r>
        <w:t xml:space="preserve">Takeshi Kondo ,MD, MHPE, PhD; Jeroen Donkers, PhD; Hiroshi Nishigori, MD, MMEd, PhD; Sanne Rovers, PhD; Sylvia Heeneman, PhD</w:t>
      </w:r>
    </w:p>
    <w:p>
      <w:pPr>
        <w:pStyle w:val="BodyText"/>
      </w:pPr>
      <w:r>
        <w:t xml:space="preserve">Corresponding author:</w:t>
      </w:r>
      <w:r>
        <w:t xml:space="preserve"> </w:t>
      </w:r>
      <w:r>
        <w:t xml:space="preserve">Takeshi Kondo, MD, MHPE, PhD</w:t>
      </w:r>
      <w:r>
        <w:t xml:space="preserve"> </w:t>
      </w:r>
      <w:r>
        <w:t xml:space="preserve">Department of General Medicine/Family &amp; Community Medicine, Nagoya University Graduate School of Medicine, Nagoya, Japan</w:t>
      </w:r>
      <w:r>
        <w:t xml:space="preserve"> </w:t>
      </w:r>
      <w:r>
        <w:t xml:space="preserve">65, Tsurumai-cho, Showa-ku,</w:t>
      </w:r>
      <w:r>
        <w:t xml:space="preserve"> </w:t>
      </w:r>
      <w:r>
        <w:t xml:space="preserve">Nagoya-city, Aichi,</w:t>
      </w:r>
      <w:r>
        <w:t xml:space="preserve"> </w:t>
      </w:r>
      <w:r>
        <w:t xml:space="preserve"> </w:t>
      </w:r>
      <w:r>
        <w:t xml:space="preserve">Japan</w:t>
      </w:r>
      <w:r>
        <w:t xml:space="preserve"> </w:t>
      </w:r>
      <w:r>
        <w:t xml:space="preserve"> </w:t>
      </w:r>
      <w:r>
        <w:t xml:space="preserve">E-mail: ncukondo@gmail.com;</w:t>
      </w:r>
      <w:r>
        <w:t xml:space="preserve"> </w:t>
      </w:r>
      <w:r>
        <w:t xml:space="preserve"> </w:t>
      </w:r>
      <w:r>
        <w:t xml:space="preserve">Tel: +81-52-741-2111</w:t>
      </w:r>
      <w:r>
        <w:t xml:space="preserve"> </w:t>
      </w:r>
      <w:r>
        <w:t xml:space="preserve">Fax: +81-52-741-2111</w:t>
      </w:r>
      <w:r>
        <w:t xml:space="preserve"> </w:t>
      </w:r>
      <w:r>
        <w:t xml:space="preserve">ORCID ID: https://orcid.org/0000-0002-3307-671X</w:t>
      </w:r>
    </w:p>
    <w:bookmarkStart w:id="21" w:name="abstract"/>
    <w:p>
      <w:pPr>
        <w:pStyle w:val="Heading2"/>
      </w:pPr>
      <w:r>
        <w:t xml:space="preserve">Abstract</w:t>
      </w:r>
    </w:p>
    <w:p>
      <w:pPr>
        <w:pStyle w:val="FirstParagraph"/>
      </w:pPr>
      <w:r>
        <w:rPr>
          <w:b/>
          <w:bCs/>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
          <w:bCs/>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
          <w:bCs/>
        </w:rPr>
        <w:t xml:space="preserve">Methods:</w:t>
      </w:r>
      <w:r>
        <w:t xml:space="preserve"> </w:t>
      </w:r>
      <w:r>
        <w:t xml:space="preserve">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 models; α = .05 with Bonferroni correction) were complemented by qualitative thematic analysis and integrated using Joint Display Analysis.</w:t>
      </w:r>
    </w:p>
    <w:p>
      <w:pPr>
        <w:pStyle w:val="BodyText"/>
      </w:pPr>
      <w:r>
        <w:rPr>
          <w:b/>
          <w:bCs/>
        </w:rPr>
        <w:t xml:space="preserve">Results:</w:t>
      </w:r>
      <w:r>
        <w:t xml:space="preserve"> </w:t>
      </w:r>
      <w:r>
        <w:t xml:space="preserve">AI feedback was significantly longer than supervisor feedback (mean 382 vs 98 characters; Cohen</w:t>
      </w:r>
      <w:r>
        <w:t xml:space="preserve"> </w:t>
      </w:r>
      <w:r>
        <w:rPr>
          <w:i/>
          <w:iCs/>
        </w:rPr>
        <w:t xml:space="preserve">d</w:t>
      </w:r>
      <w:r>
        <w:t xml:space="preserve">=2.84, 95% CI 2.50–3.19;</w:t>
      </w:r>
      <w:r>
        <w:t xml:space="preserve"> </w:t>
      </w:r>
      <w:r>
        <w:rPr>
          <w:i/>
          <w:iCs/>
        </w:rPr>
        <w:t xml:space="preserve">P</w:t>
      </w:r>
      <w:r>
        <w:t xml:space="preserve">&lt;.001). Cumulative link mixed models showed AI scored higher on criteria-based (OR 11.81, 95% CI 7.64–18.27;</w:t>
      </w:r>
      <w:r>
        <w:t xml:space="preserve"> </w:t>
      </w:r>
      <w:r>
        <w:rPr>
          <w:i/>
          <w:iCs/>
        </w:rPr>
        <w:t xml:space="preserve">P</w:t>
      </w:r>
      <w:r>
        <w:t xml:space="preserve">&lt;.001) and clear direction (OR 6.61, 95% CI 4.35–10.06;</w:t>
      </w:r>
      <w:r>
        <w:t xml:space="preserve"> </w:t>
      </w:r>
      <w:r>
        <w:rPr>
          <w:i/>
          <w:iCs/>
        </w:rPr>
        <w:t xml:space="preserve">P</w:t>
      </w:r>
      <w:r>
        <w:t xml:space="preserve">&lt;.001), with no significant differences on accuracy (OR 1.35, 95% CI 0.91–2.00;</w:t>
      </w:r>
      <w:r>
        <w:t xml:space="preserve"> </w:t>
      </w:r>
      <w:r>
        <w:rPr>
          <w:i/>
          <w:iCs/>
        </w:rPr>
        <w:t xml:space="preserve">P</w:t>
      </w:r>
      <w:r>
        <w:t xml:space="preserve">&gt;.99), prioritization (OR 1.70, 95% CI 1.16–2.50;</w:t>
      </w:r>
      <w:r>
        <w:t xml:space="preserve"> </w:t>
      </w:r>
      <w:r>
        <w:rPr>
          <w:i/>
          <w:iCs/>
        </w:rPr>
        <w:t xml:space="preserve">P</w:t>
      </w:r>
      <w:r>
        <w:t xml:space="preserve">=.098), or supportive tone (OR 1.34, 95% CI 0.87–2.06;</w:t>
      </w:r>
      <w:r>
        <w:t xml:space="preserve"> </w:t>
      </w:r>
      <w:r>
        <w:rPr>
          <w:i/>
          <w:iCs/>
        </w:rPr>
        <w:t xml:space="preserve">P</w:t>
      </w:r>
      <w:r>
        <w:t xml:space="preserve">&gt;.99). AI feedback showed greater consistency (variance ratio 3.9:1; Levene</w:t>
      </w:r>
      <w:r>
        <w:t xml:space="preserve"> </w:t>
      </w:r>
      <w:r>
        <w:rPr>
          <w:i/>
          <w:iCs/>
        </w:rPr>
        <w:t xml:space="preserve">F</w:t>
      </w:r>
      <w:r>
        <w:t xml:space="preserve">(1,320)=73.20,</w:t>
      </w:r>
      <w:r>
        <w:t xml:space="preserve"> </w:t>
      </w:r>
      <w:r>
        <w:rPr>
          <w:i/>
          <w:iCs/>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
          <w:bCs/>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6"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The e-portfolio automatically compiles the daily entries in the clerkship log into weekly records and sends them to the supervising physicians, who then provide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“AI feedback”</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[39]</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[39]</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[18,40]</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[41]</w:t>
      </w:r>
      <w:r>
        <w:t xml:space="preserve">. Each student log was processed as an independent API call with no shared context between calls, ensuring that feedback for one log could not be influenced by any other log. No maximum token limit (max_tokens parameter) was set at the API level. The term</w:t>
      </w:r>
      <w:r>
        <w:t xml:space="preserve"> </w:t>
      </w:r>
      <w:r>
        <w:t xml:space="preserve">“AI feedback”</w:t>
      </w:r>
      <w:r>
        <w:t xml:space="preserve"> </w:t>
      </w:r>
      <w:r>
        <w:t xml:space="preserve">is used in this study to indicate the feedback generated through this API.</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 Because this rubric emphasizes structural dimensions of feedback quality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[42]</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
          <w:iCs/>
        </w:rPr>
        <w:t xml:space="preserve">d</w:t>
      </w:r>
      <w:r>
        <w:t xml:space="preserve">, which were used to calculate the sample size. In this study, considering the comparison between AI and supervisor feedback, the sample size was calculated based on Cohen</w:t>
      </w:r>
      <w:r>
        <w:t xml:space="preserve"> </w:t>
      </w:r>
      <w:r>
        <w:rPr>
          <w:i/>
          <w:iCs/>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[43,44]</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[45]</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[46]</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3"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[47]</w:t>
      </w:r>
      <w:r>
        <w:t xml:space="preserve">. Thematic analysis consists of the following steps: (1) Familiarize with the data, (2) Generate initial codes, (3) Search for themes, (4) Review themes, (5) Define and name themes, and (6) Produce the report</w:t>
      </w:r>
      <w:r>
        <w:t xml:space="preserve"> </w:t>
      </w:r>
      <w:r>
        <w:t xml:space="preserve">[47]</w:t>
      </w:r>
      <w:r>
        <w:t xml:space="preserve">.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p>
      <w:pPr>
        <w:pStyle w:val="BodyText"/>
      </w:pPr>
      <w:r>
        <w:t xml:space="preserve">Because this study analyzed the complete set of open-ended evaluator comments rather than sampling iteratively until no new themes emerged, data saturation in its conventional sense was not the analytic target. All available qualitative data from the 20 evaluators across 161 datasets were coded and analyzed; the resulting themes are therefore empirically grounded in the full dataset and can be considered theoretically sufficient for the purposes of this study.</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w:t>
      </w:r>
    </w:p>
    <w:bookmarkEnd w:id="42"/>
    <w:bookmarkEnd w:id="43"/>
    <w:bookmarkStart w:id="44"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“joint display”</w:t>
      </w:r>
      <w:r>
        <w:t xml:space="preserve">) to enable explicit integration and the drawing of meta-inferences that would be difficult to see from either strand alone</w:t>
      </w:r>
      <w:r>
        <w:t xml:space="preserve"> </w:t>
      </w:r>
      <w:r>
        <w:t xml:space="preserve">[48,49]</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4"/>
    <w:bookmarkStart w:id="45"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5"/>
    <w:bookmarkEnd w:id="46"/>
    <w:bookmarkStart w:id="92"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7"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7"/>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1" w:name="fig-participant-flowchart"/>
          <w:p>
            <w:pPr>
              <w:pStyle w:val="Compact"/>
              <w:jc w:val="center"/>
            </w:pPr>
            <w:r>
              <w:drawing>
                <wp:inline>
                  <wp:extent cx="5334000" cy="4122094"/>
                  <wp:effectExtent b="0" l="0" r="0" t="0"/>
                  <wp:docPr descr="" title="" id="49" name="Picture"/>
                  <a:graphic>
                    <a:graphicData uri="http://schemas.openxmlformats.org/drawingml/2006/picture">
                      <pic:pic>
                        <pic:nvPicPr>
                          <pic:cNvPr descr="../src/assets/JARS_flowchart/jars-quant-participant-flowchart.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1"/>
        </w:tc>
      </w:tr>
    </w:tbl>
    <w:bookmarkStart w:id="76" w:name="quantitative-analysis-1"/>
    <w:p>
      <w:pPr>
        <w:pStyle w:val="Heading3"/>
      </w:pPr>
      <w:r>
        <w:t xml:space="preserve">Quantitative analysis</w:t>
      </w:r>
    </w:p>
    <w:bookmarkStart w:id="52"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
          <w:iCs/>
        </w:rPr>
        <w:t xml:space="preserve">W</w:t>
      </w:r>
      <w:r>
        <w:t xml:space="preserve">=0.992,</w:t>
      </w:r>
      <w:r>
        <w:t xml:space="preserve"> </w:t>
      </w:r>
      <w:r>
        <w:rPr>
          <w:i/>
          <w:iCs/>
        </w:rPr>
        <w:t xml:space="preserve">P</w:t>
      </w:r>
      <w:r>
        <w:t xml:space="preserve">=.550), supporting the use of the paired t-test for that variable. However, all five rubric score differences departed significantly from normality (all</w:t>
      </w:r>
      <w:r>
        <w:t xml:space="preserve"> </w:t>
      </w:r>
      <w:r>
        <w:rPr>
          <w:i/>
          <w:iCs/>
        </w:rPr>
        <w:t xml:space="preserve">W</w:t>
      </w:r>
      <w:r>
        <w:t xml:space="preserve">≤0.939, all</w:t>
      </w:r>
      <w:r>
        <w:t xml:space="preserve"> </w:t>
      </w:r>
      <w:r>
        <w:rPr>
          <w:i/>
          <w:iCs/>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which do not assume normality of the outcome distribution.</w:t>
      </w:r>
    </w:p>
    <w:bookmarkEnd w:id="52"/>
    <w:bookmarkStart w:id="57"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
          <w:iCs/>
        </w:rPr>
        <w:t xml:space="preserve">P</w:t>
      </w:r>
      <w:r>
        <w:t xml:space="preserve">&lt;.001; Cohen</w:t>
      </w:r>
      <w:r>
        <w:t xml:space="preserve"> </w:t>
      </w:r>
      <w:r>
        <w:rPr>
          <w:i/>
          <w:iCs/>
        </w:rPr>
        <w:t xml:space="preserve">d</w:t>
      </w:r>
      <w:r>
        <w:t xml:space="preserve">=2.84, 95% CI 2.50–3.19).</w:t>
      </w:r>
    </w:p>
    <w:tbl>
      <w:tblPr>
        <w:tblStyle w:val="Table"/>
        <w:tblW w:type="pct" w:w="5000"/>
        <w:tblLayout w:type="fixed"/>
        <w:tblLook w:firstRow="0" w:lastRow="0" w:firstColumn="0" w:lastColumn="0" w:noHBand="0" w:noVBand="0" w:val="0000"/>
      </w:tblPr>
      <w:tblGrid>
        <w:gridCol w:w="7920"/>
      </w:tblGrid>
      <w:tr>
        <w:tc>
          <w:tcPr/>
          <w:bookmarkStart w:id="56" w:name="fig-length_distribution"/>
          <w:p>
            <w:pPr>
              <w:pStyle w:val="Compact"/>
              <w:jc w:val="center"/>
            </w:pPr>
            <w:r>
              <w:drawing>
                <wp:inline>
                  <wp:extent cx="5334000" cy="3200400"/>
                  <wp:effectExtent b="0" l="0" r="0" t="0"/>
                  <wp:docPr descr="" title="" id="54" name="Picture"/>
                  <a:graphic>
                    <a:graphicData uri="http://schemas.openxmlformats.org/drawingml/2006/picture">
                      <pic:pic>
                        <pic:nvPicPr>
                          <pic:cNvPr descr="../result/quantitative/fig_length_distribution.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6"/>
        </w:tc>
      </w:tr>
    </w:tbl>
    <w:bookmarkEnd w:id="57"/>
    <w:bookmarkStart w:id="64"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“supportive”</w:t>
      </w:r>
      <w:r>
        <w:t xml:space="preserve"> </w:t>
      </w:r>
      <w:r>
        <w:t xml:space="preserve">item.</w:t>
      </w:r>
    </w:p>
    <w:tbl>
      <w:tblPr>
        <w:tblStyle w:val="Table"/>
        <w:tblW w:type="pct" w:w="5000"/>
        <w:tblLayout w:type="fixed"/>
        <w:tblLook w:firstRow="0" w:lastRow="0" w:firstColumn="0" w:lastColumn="0" w:noHBand="0" w:noVBand="0" w:val="0000"/>
      </w:tblPr>
      <w:tblGrid>
        <w:gridCol w:w="7920"/>
      </w:tblGrid>
      <w:tr>
        <w:tc>
          <w:tcPr/>
          <w:bookmarkStart w:id="61" w:name="fig-diff-ai-vs-supervisor"/>
          <w:p>
            <w:pPr>
              <w:pStyle w:val="Compact"/>
              <w:jc w:val="center"/>
            </w:pPr>
            <w:r>
              <w:drawing>
                <wp:inline>
                  <wp:extent cx="5334000" cy="3200400"/>
                  <wp:effectExtent b="0" l="0" r="0" t="0"/>
                  <wp:docPr descr="" title="" id="59" name="Picture"/>
                  <a:graphic>
                    <a:graphicData uri="http://schemas.openxmlformats.org/drawingml/2006/picture">
                      <pic:pic>
                        <pic:nvPicPr>
                          <pic:cNvPr descr="../result/quantitative/fig_diff_ai_vs_supervisor.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1"/>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
          <w:iCs/>
        </w:rPr>
        <w:t xml:space="preserve">P</w:t>
      </w:r>
      <w:r>
        <w:t xml:space="preserve">&lt;.001), clear direction (corrected</w:t>
      </w:r>
      <w:r>
        <w:t xml:space="preserve"> </w:t>
      </w:r>
      <w:r>
        <w:rPr>
          <w:i/>
          <w:iCs/>
        </w:rPr>
        <w:t xml:space="preserve">P</w:t>
      </w:r>
      <w:r>
        <w:t xml:space="preserve">&lt;.001), prioritization (corrected</w:t>
      </w:r>
      <w:r>
        <w:t xml:space="preserve"> </w:t>
      </w:r>
      <w:r>
        <w:rPr>
          <w:i/>
          <w:iCs/>
        </w:rPr>
        <w:t xml:space="preserve">P</w:t>
      </w:r>
      <w:r>
        <w:t xml:space="preserve">&lt;.001), accurate (corrected</w:t>
      </w:r>
      <w:r>
        <w:t xml:space="preserve"> </w:t>
      </w:r>
      <w:r>
        <w:rPr>
          <w:i/>
          <w:iCs/>
        </w:rPr>
        <w:t xml:space="preserve">P</w:t>
      </w:r>
      <w:r>
        <w:t xml:space="preserve">&lt;.001), and supportive (corrected</w:t>
      </w:r>
      <w:r>
        <w:t xml:space="preserve"> </w:t>
      </w:r>
      <w:r>
        <w:rPr>
          <w:i/>
          <w:iCs/>
        </w:rPr>
        <w:t xml:space="preserve">P</w:t>
      </w:r>
      <w:r>
        <w:t xml:space="preserve">=.011). Details including uncorrected p-values are shown in</w:t>
      </w:r>
      <w:r>
        <w:t xml:space="preserve"> </w:t>
      </w:r>
      <w:hyperlink w:anchor="tbl-paired_ttest_results">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2"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w:t>
            </w:r>
          </w:p>
          <w:tbl>
            <w:tblPr>
              <w:tblStyle w:val="Table"/>
              <w:tblW w:type="pct" w:w="5000"/>
              <w:tblLayout w:type="fixed"/>
              <w:jc w:val="center"/>
              <w:tblLook w:firstRow="1" w:lastRow="0" w:firstColumn="0" w:lastColumn="0" w:noHBand="0" w:noVBand="1" w:val="0420"/>
            </w:tblPr>
            <w:tblGrid>
              <w:gridCol w:w="1234"/>
              <w:gridCol w:w="1234"/>
              <w:gridCol w:w="1234"/>
              <w:gridCol w:w="1234"/>
              <w:gridCol w:w="1234"/>
              <w:gridCol w:w="1234"/>
              <w:gridCol w:w="123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Mean Difference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 (1.5- 1.9)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1.39 (1.18- 1.59)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 (0.19- 0.56)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 (0.47- 0.88)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0.23 (0.08- 0.38)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2"/>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“Provider: AI”</w:t>
      </w:r>
      <w:r>
        <w:t xml:space="preserve"> </w:t>
      </w:r>
      <w:r>
        <w:t xml:space="preserve">indicates that the larger the OR above 1, the more likely AI is to receive higher scores compared to supervisors.</w:t>
      </w:r>
      <w:r>
        <w:t xml:space="preserve"> </w:t>
      </w:r>
      <w:r>
        <w:t xml:space="preserve">“Assessor type: student”</w:t>
      </w:r>
      <w:r>
        <w:t xml:space="preserve"> </w:t>
      </w:r>
      <w:r>
        <w:t xml:space="preserve">indicates that the larger the OR above 1, the more likely students are to give higher scores compared to faculty.</w:t>
      </w:r>
      <w:r>
        <w:t xml:space="preserve"> </w:t>
      </w:r>
      <w:r>
        <w:t xml:space="preserve">“Interaction: supervisor × student”</w:t>
      </w:r>
      <w:r>
        <w:t xml:space="preserve"> </w:t>
      </w:r>
      <w:r>
        <w:t xml:space="preserve">indicates that the larger the OR above 1, the greater the difference in scores between AI and supervisors among students compared to faculty.</w:t>
      </w:r>
      <w:r>
        <w:t xml:space="preserve"> </w:t>
      </w:r>
      <w:r>
        <w:rPr>
          <w:i/>
          <w:iCs/>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
          <w:iCs/>
        </w:rPr>
        <w:t xml:space="preserve">P</w:t>
      </w:r>
      <w:r>
        <w:t xml:space="preserve">&lt;.001; OR=6.61 [95% CI: 4.35–10.06],</w:t>
      </w:r>
      <w:r>
        <w:t xml:space="preserve"> </w:t>
      </w:r>
      <w:r>
        <w:rPr>
          <w:i/>
          <w:iCs/>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
          <w:iCs/>
        </w:rPr>
        <w:t xml:space="preserve">P</w:t>
      </w:r>
      <w:r>
        <w:t xml:space="preserve">&gt;.99; OR=1.70 [95% CI: 1.16–2.50],</w:t>
      </w:r>
      <w:r>
        <w:t xml:space="preserve"> </w:t>
      </w:r>
      <w:r>
        <w:rPr>
          <w:i/>
          <w:iCs/>
        </w:rPr>
        <w:t xml:space="preserve">P</w:t>
      </w:r>
      <w:r>
        <w:t xml:space="preserve">=.098; OR=1.34 [95% CI: 0.87–2.06],</w:t>
      </w:r>
      <w:r>
        <w:t xml:space="preserve"> </w:t>
      </w:r>
      <w:r>
        <w:rPr>
          <w:i/>
          <w:iCs/>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ayout w:type="fixed"/>
        <w:tblLook w:firstRow="0" w:lastRow="0" w:firstColumn="0" w:lastColumn="0" w:noHBand="0" w:noVBand="0" w:val="0000"/>
      </w:tblPr>
      <w:tblGrid>
        <w:gridCol w:w="7920"/>
      </w:tblGrid>
      <w:tr>
        <w:tc>
          <w:tcPr/>
          <w:bookmarkStart w:id="63" w:name="tbl-ordinal-regression-clmm"/>
          <w:p>
            <w:pPr>
              <w:jc w:val="start"/>
              <w:spacing w:before="200"/>
              <w:pStyle w:val="ImageCaption"/>
            </w:pPr>
            <w:r>
              <w:t xml:space="preserve">Table 3: Cumulative Link Mixed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3"/>
        </w:tc>
      </w:tr>
    </w:tbl>
    <w:p>
      <w:pPr>
        <w:pStyle w:val="BodyText"/>
      </w:pPr>
      <w:r>
        <w:t xml:space="preserve">These rubric-based findings should be interpreted in light of the asymmetric design described in the Methods section: AI feedback was generated with the rubric criteria explicitly embedded in the prompt, whereas supervisor feedback was produced under routine clinical conditions without rubric guidance. The observed score differences therefore reflect, at least in part, the degree to which each feedback type adheres to the specific structural dimensions assessed by this instrument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4"/>
    <w:bookmarkStart w:id="69" w:name="consistency-of-feedback-quality"/>
    <w:p>
      <w:pPr>
        <w:pStyle w:val="Heading4"/>
      </w:pPr>
      <w:r>
        <w:t xml:space="preserve">Consistency of Feedback Quality</w:t>
      </w:r>
    </w:p>
    <w:p>
      <w:pPr>
        <w:pStyle w:val="FirstParagraph"/>
      </w:pPr>
      <w:r>
        <w:t xml:space="preserve">To compare the consistency of feedback quality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feedback quality.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
          <w:iCs/>
        </w:rPr>
        <w:t xml:space="preserve">F</w:t>
      </w:r>
      <w:r>
        <w:t xml:space="preserve">(1, 320)=73.203,</w:t>
      </w:r>
      <w:r>
        <w:t xml:space="preserve"> </w:t>
      </w:r>
      <w:r>
        <w:rPr>
          <w:i/>
          <w:iCs/>
        </w:rPr>
        <w:t xml:space="preserve">P</w:t>
      </w:r>
      <w:r>
        <w:t xml:space="preserve">&lt;.001;</w:t>
      </w:r>
      <w:r>
        <w:t xml:space="preserve"> </w:t>
      </w:r>
      <w:r>
        <w:rPr>
          <w:i/>
          <w:iCs/>
        </w:rPr>
        <w:t xml:space="preserve">F</w:t>
      </w:r>
      <w:r>
        <w:t xml:space="preserve">-test:</w:t>
      </w:r>
      <w:r>
        <w:t xml:space="preserve"> </w:t>
      </w:r>
      <w:r>
        <w:rPr>
          <w:i/>
          <w:iCs/>
        </w:rPr>
        <w:t xml:space="preserve">F</w:t>
      </w:r>
      <w:r>
        <w:t xml:space="preserve">(160, 160)=0.259,</w:t>
      </w:r>
      <w:r>
        <w:t xml:space="preserve"> </w:t>
      </w:r>
      <w:r>
        <w:rPr>
          <w:i/>
          <w:iCs/>
        </w:rPr>
        <w:t xml:space="preserve">P</w:t>
      </w:r>
      <w:r>
        <w:t xml:space="preserve">&lt;.001). The supervisor variance was about 3.9 times that of AI, suggesting that AI feedback quality is more consistent, whereas supervisor feedback quality is more variable.</w:t>
      </w:r>
    </w:p>
    <w:tbl>
      <w:tblPr>
        <w:tblStyle w:val="Table"/>
        <w:tblW w:type="pct" w:w="5000"/>
        <w:tblLayout w:type="fixed"/>
        <w:tblLook w:firstRow="0" w:lastRow="0" w:firstColumn="0" w:lastColumn="0" w:noHBand="0" w:noVBand="0" w:val="0000"/>
      </w:tblPr>
      <w:tblGrid>
        <w:gridCol w:w="7920"/>
      </w:tblGrid>
      <w:tr>
        <w:tc>
          <w:tcPr/>
          <w:bookmarkStart w:id="68" w:name="fig-mean-score-per-record"/>
          <w:p>
            <w:pPr>
              <w:pStyle w:val="Compact"/>
              <w:jc w:val="center"/>
            </w:pPr>
            <w:r>
              <w:drawing>
                <wp:inline>
                  <wp:extent cx="5334000" cy="3200400"/>
                  <wp:effectExtent b="0" l="0" r="0" t="0"/>
                  <wp:docPr descr="" title="" id="66" name="Picture"/>
                  <a:graphic>
                    <a:graphicData uri="http://schemas.openxmlformats.org/drawingml/2006/picture">
                      <pic:pic>
                        <pic:nvPicPr>
                          <pic:cNvPr descr="../result/quantitative/fig_mean_score_per_record.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8"/>
        </w:tc>
      </w:tr>
    </w:tbl>
    <w:bookmarkEnd w:id="69"/>
    <w:bookmarkStart w:id="71"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
          <w:iCs/>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ayout w:type="fixed"/>
        <w:tblLook w:firstRow="0" w:lastRow="0" w:firstColumn="0" w:lastColumn="0" w:noHBand="0" w:noVBand="0" w:val="0000"/>
      </w:tblPr>
      <w:tblGrid>
        <w:gridCol w:w="7920"/>
      </w:tblGrid>
      <w:tr>
        <w:tc>
          <w:tcPr/>
          <w:bookmarkStart w:id="70"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w:t>
                  </w:r>
                  <w:r>
                    <w:rPr>
                      <w:rFonts w:ascii="DejaVu Sans" w:hAnsi="DejaVu Sans" w:eastAsia="DejaVu Sans" w:cs="DejaVu Sans"/>
                      <w:b w:val="true"/>
                      <w:sz w:val="18"/>
                      <w:szCs w:val="18"/>
                      <w:color w:val="000000"/>
                    </w:rPr>
                    <w:br/>
                  </w:r>
                  <w:r>
                    <w:rPr>
                      <w:rFonts w:ascii="DejaVu Sans" w:hAnsi="DejaVu Sans" w:eastAsia="DejaVu Sans" w:cs="DejaVu Sans"/>
                      <w:b w:val="true"/>
                      <w:sz w:val="18"/>
                      <w:szCs w:val="18"/>
                      <w:color w:val="000000"/>
                    </w:rPr>
                    <w:t xml:space="preserve">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0"/>
        </w:tc>
      </w:tr>
    </w:tbl>
    <w:bookmarkEnd w:id="71"/>
    <w:bookmarkStart w:id="72"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
          <w:iCs/>
        </w:rPr>
        <w:t xml:space="preserve">P</w:t>
      </w:r>
      <w:r>
        <w:t xml:space="preserve">&gt;.05), indicating that variation in student log length did not systematically influence rubric scores for either feedback type.</w:t>
      </w:r>
    </w:p>
    <w:bookmarkEnd w:id="72"/>
    <w:bookmarkStart w:id="74"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
          <w:iCs/>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ayout w:type="fixed"/>
        <w:tblLook w:firstRow="0" w:lastRow="0" w:firstColumn="0" w:lastColumn="0" w:noHBand="0" w:noVBand="0" w:val="0000"/>
      </w:tblPr>
      <w:tblGrid>
        <w:gridCol w:w="7920"/>
      </w:tblGrid>
      <w:tr>
        <w:tc>
          <w:tcPr/>
          <w:bookmarkStart w:id="73"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440"/>
              <w:gridCol w:w="1152"/>
              <w:gridCol w:w="576"/>
              <w:gridCol w:w="1008"/>
              <w:gridCol w:w="1008"/>
              <w:gridCol w:w="864"/>
              <w:gridCol w:w="1440"/>
              <w:gridCol w:w="86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3"/>
        </w:tc>
      </w:tr>
    </w:tbl>
    <w:bookmarkEnd w:id="74"/>
    <w:bookmarkStart w:id="75"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5"/>
    <w:bookmarkEnd w:id="76"/>
    <w:bookmarkStart w:id="83"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The themes are shown in</w:t>
      </w:r>
      <w:r>
        <w:t xml:space="preserve"> </w:t>
      </w:r>
      <w:hyperlink w:anchor="tbl-themes">
        <w:r>
          <w:rPr>
            <w:rStyle w:val="Hyperlink"/>
          </w:rPr>
          <w:t xml:space="preserve">Table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tbl-themes"/>
          <w:p>
            <w:pPr>
              <w:jc w:val="start"/>
              <w:spacing w:before="200"/>
              <w:pStyle w:val="ImageCaption"/>
            </w:pPr>
            <w:r>
              <w:t xml:space="preserve">Table 6: Themes Identified in Qualitative Analysis of Evaluator Comments on AI-Generated and Supervisor Feedback. Convergent mixed-methods study, 161 clinical clerkship logs, Nagoya University, Japan, 2024.</w:t>
            </w:r>
          </w:p>
          <w:tbl>
            <w:tblPr>
              <w:tblStyle w:val="Table"/>
              <w:tblW w:type="pct" w:w="5000"/>
              <w:tblLayout w:type="fixed"/>
              <w:jc w:val="center"/>
              <w:tblLook w:firstRow="1" w:lastRow="0" w:firstColumn="0" w:lastColumn="0" w:noHBand="0" w:noVBand="1" w:val="0420"/>
            </w:tblPr>
            <w:tblGrid>
              <w:gridCol w:w="2880"/>
              <w:gridCol w:w="2880"/>
              <w:gridCol w:w="288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Theme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AI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Adherence to the feedback criteria and structure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Mismatch with student preferences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Well-structured feedback that adheres to principles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Entries not complying with feedback principles and standards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Continuity and consistency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based on a comprehensive review of the recorded content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due to lack of understanding of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Support for verbalizing experiences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Variability in feedback quality depending on the content recorded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that does not reflect the content of the report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that takes into account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of feedback within a limited time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Lack of expert perspective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Conflict of interest as an educator</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Expert perspective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Quality of the Japanese language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output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Descriptions that evoke the feeling of being reviewed by a human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Natural expressions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Overly verbose expressions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amount of description</w:t>
                  </w:r>
                </w:p>
              </w:tc>
            </w:tr>
          </w:tbl>
          <w:p/>
          <w:bookmarkEnd w:id="77"/>
        </w:tc>
      </w:tr>
    </w:tbl>
    <w:p>
      <w:pPr>
        <w:pStyle w:val="BodyText"/>
      </w:pPr>
      <w:r>
        <w:t xml:space="preserve">Five themes were identified as differences between AI and supervisor feedback:</w:t>
      </w:r>
      <w:r>
        <w:t xml:space="preserve"> </w:t>
      </w:r>
      <w:r>
        <w:t xml:space="preserve">“Adherence to the feedback criteria and structure”</w:t>
      </w:r>
      <w:r>
        <w:t xml:space="preserve">,</w:t>
      </w:r>
      <w:r>
        <w:t xml:space="preserve"> </w:t>
      </w:r>
      <w:r>
        <w:t xml:space="preserve">“Continuity and consistency”</w:t>
      </w:r>
      <w:r>
        <w:t xml:space="preserve">,</w:t>
      </w:r>
      <w:r>
        <w:t xml:space="preserve"> </w:t>
      </w:r>
      <w:r>
        <w:t xml:space="preserve">“Perspective as a clinician”</w:t>
      </w:r>
      <w:r>
        <w:t xml:space="preserve">,</w:t>
      </w:r>
      <w:r>
        <w:t xml:space="preserve"> </w:t>
      </w:r>
      <w:r>
        <w:t xml:space="preserve">“Quality of the Japanese language”</w:t>
      </w:r>
      <w:r>
        <w:t xml:space="preserve">, and</w:t>
      </w:r>
      <w:r>
        <w:t xml:space="preserve"> </w:t>
      </w:r>
      <w:r>
        <w:t xml:space="preserve">“Text length”</w:t>
      </w:r>
      <w:r>
        <w:t xml:space="preserve">. Below we describe the details of these themes. Citations consist of IDs with three parts. When the first part is</w:t>
      </w:r>
      <w:r>
        <w:t xml:space="preserve"> </w:t>
      </w:r>
      <w:r>
        <w:t xml:space="preserve">“AI_”</w:t>
      </w:r>
      <w:r>
        <w:t xml:space="preserve">, it indicates comments about AI feedback, and when it is</w:t>
      </w:r>
      <w:r>
        <w:t xml:space="preserve"> </w:t>
      </w:r>
      <w:r>
        <w:t xml:space="preserve">“SU_”</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78"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“easy to put into practice,”</w:t>
      </w:r>
      <w:r>
        <w:t xml:space="preserve"> </w:t>
      </w:r>
      <w:r>
        <w:t xml:space="preserve">but some judged it overly prescriptive or formulaic. By contrast, supervisor feedback often departed from the rubric’s structure: at times it omitted actionable</w:t>
      </w:r>
      <w:r>
        <w:t xml:space="preserve"> </w:t>
      </w:r>
      <w:r>
        <w:t xml:space="preserve">“points for improvement,”</w:t>
      </w:r>
      <w:r>
        <w:t xml:space="preserve"> </w:t>
      </w:r>
      <w:r>
        <w:t xml:space="preserve">offered too few details, or listed many items without prioritization. Several comments, however, framed these departures as deliberate,</w:t>
      </w:r>
      <w:r>
        <w:t xml:space="preserve"> </w:t>
      </w:r>
      <w:r>
        <w:t xml:space="preserve">“living”</w:t>
      </w:r>
      <w:r>
        <w:t xml:space="preserve"> </w:t>
      </w:r>
      <w:r>
        <w:t xml:space="preserve">feedback rooted in real clinical work rather than in formal criteria.</w:t>
      </w:r>
    </w:p>
    <w:p>
      <w:pPr>
        <w:pStyle w:val="BodyText"/>
      </w:pPr>
      <w:r>
        <w:t xml:space="preserve">Illustrative comments included:</w:t>
      </w:r>
      <w:r>
        <w:t xml:space="preserve"> </w:t>
      </w:r>
      <w:r>
        <w:t xml:space="preserve">“This is a well-written report that starts with positive feedback, is specific and constructive, and doesn’t have too many points”</w:t>
      </w:r>
      <w:r>
        <w:t xml:space="preserve"> </w:t>
      </w:r>
      <w:r>
        <w:t xml:space="preserve">(AI_FA07_060);</w:t>
      </w:r>
      <w:r>
        <w:t xml:space="preserve"> </w:t>
      </w:r>
      <w:r>
        <w:t xml:space="preserve">“It goes from positive to constructive… priorities are also pointed out… good feedback”</w:t>
      </w:r>
      <w:r>
        <w:t xml:space="preserve"> </w:t>
      </w:r>
      <w:r>
        <w:t xml:space="preserve">(AI_FA07_063); and</w:t>
      </w:r>
      <w:r>
        <w:t xml:space="preserve"> </w:t>
      </w:r>
      <w:r>
        <w:t xml:space="preserve">“It is very specific and detailed. It is written in the classic P‑N‑P format.…”</w:t>
      </w:r>
      <w:r>
        <w:t xml:space="preserve"> </w:t>
      </w:r>
      <w:r>
        <w:t xml:space="preserve">(AI_FA09_086). On limits of the AI style, evaluators noted it could feel templated or prescriptive, e.g.,</w:t>
      </w:r>
      <w:r>
        <w:t xml:space="preserve"> </w:t>
      </w:r>
      <w:r>
        <w:t xml:space="preserve">“sentences were… not natural”</w:t>
      </w:r>
      <w:r>
        <w:t xml:space="preserve"> </w:t>
      </w:r>
      <w:r>
        <w:t xml:space="preserve">(AI_ST18_078) and</w:t>
      </w:r>
      <w:r>
        <w:t xml:space="preserve"> </w:t>
      </w:r>
      <w:r>
        <w:t xml:space="preserve">“it would be better if the suggestions for revision were not given in specific sentences”</w:t>
      </w:r>
      <w:r>
        <w:t xml:space="preserve"> </w:t>
      </w:r>
      <w:r>
        <w:t xml:space="preserve">(AI_ST20_115). For supervisors, one comment praised specificity but worried that</w:t>
      </w:r>
      <w:r>
        <w:t xml:space="preserve"> </w:t>
      </w:r>
      <w:r>
        <w:t xml:space="preserve">“there are many items, there is no priority, and it seems a little harsh”</w:t>
      </w:r>
      <w:r>
        <w:t xml:space="preserve"> </w:t>
      </w:r>
      <w:r>
        <w:t xml:space="preserve">(SU_FA07_058), while many others pointed out missing action points:</w:t>
      </w:r>
      <w:r>
        <w:t xml:space="preserve"> </w:t>
      </w:r>
      <w:r>
        <w:t xml:space="preserve">“There is no specific feedback…”</w:t>
      </w:r>
      <w:r>
        <w:t xml:space="preserve"> </w:t>
      </w:r>
      <w:r>
        <w:t xml:space="preserve">(SU_FA13_163) and</w:t>
      </w:r>
      <w:r>
        <w:t xml:space="preserve"> </w:t>
      </w:r>
      <w:r>
        <w:t xml:space="preserve">“No evaluation was given at all. No feedback… on areas for improvement”</w:t>
      </w:r>
      <w:r>
        <w:t xml:space="preserve"> </w:t>
      </w:r>
      <w:r>
        <w:t xml:space="preserve">(SU_ST21_131). Several remarks captured the trade‑off:</w:t>
      </w:r>
      <w:r>
        <w:t xml:space="preserve"> </w:t>
      </w:r>
      <w:r>
        <w:t xml:space="preserve">“In terms of referring to the evaluation criteria, it is inferior… but it is more in line with the content of the practical training and presents the next task”</w:t>
      </w:r>
      <w:r>
        <w:t xml:space="preserve"> </w:t>
      </w:r>
      <w:r>
        <w:t xml:space="preserve">(SU_FA11_127), and</w:t>
      </w:r>
      <w:r>
        <w:t xml:space="preserve"> </w:t>
      </w:r>
      <w:r>
        <w:t xml:space="preserve">“It’s not feedback that is tailored to a standard, but it feels like</w:t>
      </w:r>
      <w:r>
        <w:t xml:space="preserve"> </w:t>
      </w:r>
      <w:r>
        <w:t xml:space="preserve">‘living’</w:t>
      </w:r>
      <w:r>
        <w:t xml:space="preserve"> </w:t>
      </w:r>
      <w:r>
        <w:t xml:space="preserve">feedback that is likely to bring about behavioral change”</w:t>
      </w:r>
      <w:r>
        <w:t xml:space="preserve"> </w:t>
      </w:r>
      <w:r>
        <w:t xml:space="preserve">(SU_FA09_088).</w:t>
      </w:r>
    </w:p>
    <w:bookmarkEnd w:id="78"/>
    <w:bookmarkStart w:id="79"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“the feedback is tailored to the clinical clerkship logs… points that need to be improved… are mentioned in detail, with specific examples”</w:t>
      </w:r>
      <w:r>
        <w:t xml:space="preserve"> </w:t>
      </w:r>
      <w:r>
        <w:t xml:space="preserve">(AI_ST15_031), and</w:t>
      </w:r>
      <w:r>
        <w:t xml:space="preserve"> </w:t>
      </w:r>
      <w:r>
        <w:t xml:space="preserve">“careful guidance in response to the lack of clinical clerkship logs… specific suggestions for improvement”</w:t>
      </w:r>
      <w:r>
        <w:t xml:space="preserve"> </w:t>
      </w:r>
      <w:r>
        <w:t xml:space="preserve">(AI_ST15_030). Evaluators repeatedly noted that AI</w:t>
      </w:r>
      <w:r>
        <w:t xml:space="preserve"> </w:t>
      </w:r>
      <w:r>
        <w:t xml:space="preserve">“gave feedback after the log had been carefully examined… [with] very specific”</w:t>
      </w:r>
      <w:r>
        <w:t xml:space="preserve"> </w:t>
      </w:r>
      <w:r>
        <w:t xml:space="preserve">next steps (AI_ST21_117) and that its</w:t>
      </w:r>
      <w:r>
        <w:t xml:space="preserve"> </w:t>
      </w:r>
      <w:r>
        <w:t xml:space="preserve">“comments are based on the content”</w:t>
      </w:r>
      <w:r>
        <w:t xml:space="preserve"> </w:t>
      </w:r>
      <w:r>
        <w:t xml:space="preserve">(AI_FA05_034). Yet this text‑level consistency sometimes slipped when context mattered: AI</w:t>
      </w:r>
      <w:r>
        <w:t xml:space="preserve"> </w:t>
      </w:r>
      <w:r>
        <w:t xml:space="preserve">“gives the impression that days without logs = days without practice”</w:t>
      </w:r>
      <w:r>
        <w:t xml:space="preserve"> </w:t>
      </w:r>
      <w:r>
        <w:t xml:space="preserve">(AI_FA10_104), and tended to</w:t>
      </w:r>
      <w:r>
        <w:t xml:space="preserve"> </w:t>
      </w:r>
      <w:r>
        <w:t xml:space="preserve">“encourage learning by improving how they write… [with] a lack of clinical knowledge or perspective”</w:t>
      </w:r>
      <w:r>
        <w:t xml:space="preserve"> </w:t>
      </w:r>
      <w:r>
        <w:t xml:space="preserve">(AI_ST21_121). Several evaluators wished for an overarching synthesis across the week or rotation,</w:t>
      </w:r>
      <w:r>
        <w:t xml:space="preserve"> </w:t>
      </w:r>
      <w:r>
        <w:t xml:space="preserve">“no overall evaluation… perhaps (AI was) a good micro‑manager?”</w:t>
      </w:r>
      <w:r>
        <w:t xml:space="preserve"> </w:t>
      </w:r>
      <w:r>
        <w:t xml:space="preserve">(AI_FA11_117), and</w:t>
      </w:r>
      <w:r>
        <w:t xml:space="preserve"> </w:t>
      </w:r>
      <w:r>
        <w:t xml:space="preserve">“it would be even better if the feedback also took into account the overall outcome”</w:t>
      </w:r>
      <w:r>
        <w:t xml:space="preserve"> </w:t>
      </w:r>
      <w:r>
        <w:t xml:space="preserve">(AI_FA10_109). By contrast, supervisors frequently referenced shared clinical situations and behaviors,</w:t>
      </w:r>
      <w:r>
        <w:t xml:space="preserve"> </w:t>
      </w:r>
      <w:r>
        <w:t xml:space="preserve">“useful because it gave supplementary information that wasn’t included in the medical student’s description”</w:t>
      </w:r>
      <w:r>
        <w:t xml:space="preserve"> </w:t>
      </w:r>
      <w:r>
        <w:t xml:space="preserve">(SU_ST17_062); advice that was</w:t>
      </w:r>
      <w:r>
        <w:t xml:space="preserve"> </w:t>
      </w:r>
      <w:r>
        <w:t xml:space="preserve">“practical and in line with real clinical practice”</w:t>
      </w:r>
      <w:r>
        <w:t xml:space="preserve"> </w:t>
      </w:r>
      <w:r>
        <w:t xml:space="preserve">(SU_ST18_080); and impressions that only a clinician observing the student could offer, such as</w:t>
      </w:r>
      <w:r>
        <w:t xml:space="preserve"> </w:t>
      </w:r>
      <w:r>
        <w:t xml:space="preserve">“he was going about things in a calm and collected way”</w:t>
      </w:r>
      <w:r>
        <w:t xml:space="preserve"> </w:t>
      </w:r>
      <w:r>
        <w:t xml:space="preserve">(SU_ST23_157) and the feeling of</w:t>
      </w:r>
      <w:r>
        <w:t xml:space="preserve"> </w:t>
      </w:r>
      <w:r>
        <w:t xml:space="preserve">“working together with medical students”</w:t>
      </w:r>
      <w:r>
        <w:t xml:space="preserve"> </w:t>
      </w:r>
      <w:r>
        <w:t xml:space="preserve">(SU_FA04_008). However, this experiential continuity often bypassed the portfolio itself:</w:t>
      </w:r>
      <w:r>
        <w:t xml:space="preserve"> </w:t>
      </w:r>
      <w:r>
        <w:t xml:space="preserve">“no mention of the content of the practical training or the learner’s own description”</w:t>
      </w:r>
      <w:r>
        <w:t xml:space="preserve"> </w:t>
      </w:r>
      <w:r>
        <w:t xml:space="preserve">(SU_FA10_109);</w:t>
      </w:r>
      <w:r>
        <w:t xml:space="preserve"> </w:t>
      </w:r>
      <w:r>
        <w:t xml:space="preserve">“they did not evaluate the logs that were written… just a summary evaluation conclusion”</w:t>
      </w:r>
      <w:r>
        <w:t xml:space="preserve"> </w:t>
      </w:r>
      <w:r>
        <w:t xml:space="preserve">(SU_FA11_119); and</w:t>
      </w:r>
      <w:r>
        <w:t xml:space="preserve"> </w:t>
      </w:r>
      <w:r>
        <w:t xml:space="preserve">“feedback was based on the actual content of the practical training… it would be better if there was more feedback on the learning logs”</w:t>
      </w:r>
      <w:r>
        <w:t xml:space="preserve"> </w:t>
      </w:r>
      <w:r>
        <w:t xml:space="preserve">(SU_ST21_124). In some instances, identical or near‑identical messages suggested time‑pressured reuse rather than log‑specific engagement (e.g.,</w:t>
      </w:r>
      <w:r>
        <w:t xml:space="preserve"> </w:t>
      </w:r>
      <w:r>
        <w:t xml:space="preserve">“copied and pasted feedback,”</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79"/>
    <w:bookmarkStart w:id="80"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“did not point out the errors in the words</w:t>
      </w:r>
      <w:r>
        <w:t xml:space="preserve"> </w:t>
      </w:r>
      <w:r>
        <w:t xml:space="preserve">‘pulse irregularity’</w:t>
      </w:r>
      <w:r>
        <w:t xml:space="preserve"> </w:t>
      </w:r>
      <w:r>
        <w:t xml:space="preserve">and</w:t>
      </w:r>
      <w:r>
        <w:t xml:space="preserve"> </w:t>
      </w:r>
      <w:r>
        <w:t xml:space="preserve">‘electrocardiogram holder’</w:t>
      </w:r>
      <w:r>
        <w:t xml:space="preserve">”</w:t>
      </w:r>
      <w:r>
        <w:t xml:space="preserve"> </w:t>
      </w:r>
      <w:r>
        <w:t xml:space="preserve">(AI_FA11_120);</w:t>
      </w:r>
      <w:r>
        <w:t xml:space="preserve"> </w:t>
      </w:r>
      <w:r>
        <w:t xml:space="preserve">“specific examples… are ideas that are not based on much medical expertise”</w:t>
      </w:r>
      <w:r>
        <w:t xml:space="preserve"> </w:t>
      </w:r>
      <w:r>
        <w:t xml:space="preserve">(AI_ST22_143);</w:t>
      </w:r>
      <w:r>
        <w:t xml:space="preserve"> </w:t>
      </w:r>
      <w:r>
        <w:t xml:space="preserve">“suggestions for improvement… are not from the surgeon’s perspective”</w:t>
      </w:r>
      <w:r>
        <w:t xml:space="preserve"> </w:t>
      </w:r>
      <w:r>
        <w:t xml:space="preserve">(AI_FA06_050);</w:t>
      </w:r>
      <w:r>
        <w:t xml:space="preserve"> </w:t>
      </w:r>
      <w:r>
        <w:t xml:space="preserve">“fixated on relatively trivial points… specific feedback lacks accurate knowledge”</w:t>
      </w:r>
      <w:r>
        <w:t xml:space="preserve"> </w:t>
      </w:r>
      <w:r>
        <w:t xml:space="preserve">(AI_ST15_024); and</w:t>
      </w:r>
      <w:r>
        <w:t xml:space="preserve"> </w:t>
      </w:r>
      <w:r>
        <w:t xml:space="preserve">“main points were comments on how to fill in the student logs… lack of clinical feedback”</w:t>
      </w:r>
      <w:r>
        <w:t xml:space="preserve"> </w:t>
      </w:r>
      <w:r>
        <w:t xml:space="preserve">(AI_ST21_123). By contrast, supervisor excerpts highlighted the expert stance:</w:t>
      </w:r>
      <w:r>
        <w:t xml:space="preserve"> </w:t>
      </w:r>
      <w:r>
        <w:t xml:space="preserve">“points out errors in writing and correctly teaches medical knowledge”</w:t>
      </w:r>
      <w:r>
        <w:t xml:space="preserve"> </w:t>
      </w:r>
      <w:r>
        <w:t xml:space="preserve">(SU_FA06_037);</w:t>
      </w:r>
      <w:r>
        <w:t xml:space="preserve"> </w:t>
      </w:r>
      <w:r>
        <w:t xml:space="preserve">“I can get feedback on my knowledge, so it is useful for my studies”</w:t>
      </w:r>
      <w:r>
        <w:t xml:space="preserve"> </w:t>
      </w:r>
      <w:r>
        <w:t xml:space="preserve">(SU_ST17_058); and advice</w:t>
      </w:r>
      <w:r>
        <w:t xml:space="preserve"> </w:t>
      </w:r>
      <w:r>
        <w:t xml:space="preserve">“that would only be conveyed by a clinician, such as the long‑term perspective of</w:t>
      </w:r>
      <w:r>
        <w:t xml:space="preserve"> </w:t>
      </w:r>
      <w:r>
        <w:t xml:space="preserve">‘going home’</w:t>
      </w:r>
      <w:r>
        <w:t xml:space="preserve">”</w:t>
      </w:r>
      <w:r>
        <w:t xml:space="preserve"> </w:t>
      </w:r>
      <w:r>
        <w:t xml:space="preserve">(SU_ST23_150). Potential downsides were also noted:</w:t>
      </w:r>
      <w:r>
        <w:t xml:space="preserve"> </w:t>
      </w:r>
      <w:r>
        <w:t xml:space="preserve">“content is more focused on recruiting students to the department”</w:t>
      </w:r>
      <w:r>
        <w:t xml:space="preserve"> </w:t>
      </w:r>
      <w:r>
        <w:t xml:space="preserve">(SU_FA05_022) and concerns about prioritization,</w:t>
      </w:r>
      <w:r>
        <w:t xml:space="preserve"> </w:t>
      </w:r>
      <w:r>
        <w:t xml:space="preserve">“few opportunities to do peripheral nerve examinations, but… whether this is something that all medical students should learn”</w:t>
      </w:r>
      <w:r>
        <w:t xml:space="preserve"> </w:t>
      </w:r>
      <w:r>
        <w:t xml:space="preserve">(SU_FA10_110). as well as an authority gradient, as exemplified by the following quote:</w:t>
      </w:r>
      <w:r>
        <w:t xml:space="preserve"> </w:t>
      </w:r>
      <w:r>
        <w:t xml:space="preserve">“show the superiority and infallibility of the instructor…makes learners feel an authority gradient”</w:t>
      </w:r>
      <w:r>
        <w:t xml:space="preserve"> </w:t>
      </w:r>
      <w:r>
        <w:t xml:space="preserve">(SU_FA10_108).</w:t>
      </w:r>
    </w:p>
    <w:bookmarkEnd w:id="80"/>
    <w:bookmarkStart w:id="81"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“Expressions such as</w:t>
      </w:r>
      <w:r>
        <w:t xml:space="preserve"> </w:t>
      </w:r>
      <w:r>
        <w:t xml:space="preserve">‘Great job!’</w:t>
      </w:r>
      <w:r>
        <w:t xml:space="preserve"> </w:t>
      </w:r>
      <w:r>
        <w:t xml:space="preserve">and</w:t>
      </w:r>
      <w:r>
        <w:t xml:space="preserve"> </w:t>
      </w:r>
      <w:r>
        <w:t xml:space="preserve">‘I will provide feedback.’</w:t>
      </w:r>
      <w:r>
        <w:t xml:space="preserve"> </w:t>
      </w:r>
      <w:r>
        <w:t xml:space="preserve">are English‑Japanese translation‑like… unnatural as Japanese”</w:t>
      </w:r>
      <w:r>
        <w:t xml:space="preserve"> </w:t>
      </w:r>
      <w:r>
        <w:t xml:space="preserve">(AI_ST23_149);</w:t>
      </w:r>
      <w:r>
        <w:t xml:space="preserve"> </w:t>
      </w:r>
      <w:r>
        <w:t xml:space="preserve">“mysterious extra characters”</w:t>
      </w:r>
      <w:r>
        <w:t xml:space="preserve"> </w:t>
      </w:r>
      <w:r>
        <w:t xml:space="preserve">(AI_ST18_083);</w:t>
      </w:r>
      <w:r>
        <w:t xml:space="preserve"> </w:t>
      </w:r>
      <w:r>
        <w:t xml:space="preserve">“divided into paragraphs… a bug or character corruption”</w:t>
      </w:r>
      <w:r>
        <w:t xml:space="preserve"> </w:t>
      </w:r>
      <w:r>
        <w:t xml:space="preserve">(AI_FA08_083); and</w:t>
      </w:r>
      <w:r>
        <w:t xml:space="preserve"> </w:t>
      </w:r>
      <w:r>
        <w:t xml:space="preserve">“very ChatGPT‑like”</w:t>
      </w:r>
      <w:r>
        <w:t xml:space="preserve"> </w:t>
      </w:r>
      <w:r>
        <w:t xml:space="preserve">(AI_ST17_054). Several noted formulaic tone:</w:t>
      </w:r>
      <w:r>
        <w:t xml:space="preserve"> </w:t>
      </w:r>
      <w:r>
        <w:t xml:space="preserve">“the sandwich of good points… is so formulaic that… students might stop reading the feedback seriously”</w:t>
      </w:r>
      <w:r>
        <w:t xml:space="preserve"> </w:t>
      </w:r>
      <w:r>
        <w:t xml:space="preserve">(AI_ST14_014), alongside word choice that</w:t>
      </w:r>
      <w:r>
        <w:t xml:space="preserve"> </w:t>
      </w:r>
      <w:r>
        <w:t xml:space="preserve">“gives the impression of being a little unfriendly”</w:t>
      </w:r>
      <w:r>
        <w:t xml:space="preserve"> </w:t>
      </w:r>
      <w:r>
        <w:t xml:space="preserve">(AI_FA10_108). In contrast, supervisor comments emphasized naturalness and human presence:</w:t>
      </w:r>
      <w:r>
        <w:t xml:space="preserve"> </w:t>
      </w:r>
      <w:r>
        <w:t xml:space="preserve">“the advice is very good, accurate and natural”</w:t>
      </w:r>
      <w:r>
        <w:t xml:space="preserve"> </w:t>
      </w:r>
      <w:r>
        <w:t xml:space="preserve">(SU_ST18_079) and</w:t>
      </w:r>
      <w:r>
        <w:t xml:space="preserve"> </w:t>
      </w:r>
      <w:r>
        <w:t xml:space="preserve">“it feels like the individual is being looked at and taught”</w:t>
      </w:r>
      <w:r>
        <w:t xml:space="preserve"> </w:t>
      </w:r>
      <w:r>
        <w:t xml:space="preserve">(SU_ST20_109).</w:t>
      </w:r>
    </w:p>
    <w:bookmarkEnd w:id="81"/>
    <w:bookmarkStart w:id="82"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“somewhat verbose”</w:t>
      </w:r>
      <w:r>
        <w:t xml:space="preserve"> </w:t>
      </w:r>
      <w:r>
        <w:t xml:space="preserve">(AI_ST23_155) with</w:t>
      </w:r>
      <w:r>
        <w:t xml:space="preserve"> </w:t>
      </w:r>
      <w:r>
        <w:t xml:space="preserve">“so many points… it would be easier to understand if there was a summary”</w:t>
      </w:r>
      <w:r>
        <w:t xml:space="preserve"> </w:t>
      </w:r>
      <w:r>
        <w:t xml:space="preserve">(AI_ST16_047). For supervisors, multiple comments judged entries too brief:</w:t>
      </w:r>
      <w:r>
        <w:t xml:space="preserve"> </w:t>
      </w:r>
      <w:r>
        <w:t xml:space="preserve">“not possible to give feedback with just a few words”</w:t>
      </w:r>
      <w:r>
        <w:t xml:space="preserve"> </w:t>
      </w:r>
      <w:r>
        <w:t xml:space="preserve">(SU_ST16_044);</w:t>
      </w:r>
      <w:r>
        <w:t xml:space="preserve"> </w:t>
      </w:r>
      <w:r>
        <w:t xml:space="preserve">“just too short”</w:t>
      </w:r>
      <w:r>
        <w:t xml:space="preserve"> </w:t>
      </w:r>
      <w:r>
        <w:t xml:space="preserve">(SU_FA05_020);</w:t>
      </w:r>
      <w:r>
        <w:t xml:space="preserve"> </w:t>
      </w:r>
      <w:r>
        <w:t xml:space="preserve">“I don’t think a simple</w:t>
      </w:r>
      <w:r>
        <w:t xml:space="preserve"> </w:t>
      </w:r>
      <w:r>
        <w:t xml:space="preserve">‘Thank you for your hard work’</w:t>
      </w:r>
      <w:r>
        <w:t xml:space="preserve"> </w:t>
      </w:r>
      <w:r>
        <w:t xml:space="preserve">would be considered feedback”</w:t>
      </w:r>
      <w:r>
        <w:t xml:space="preserve"> </w:t>
      </w:r>
      <w:r>
        <w:t xml:space="preserve">(SU_FA09_094); and</w:t>
      </w:r>
      <w:r>
        <w:t xml:space="preserve"> </w:t>
      </w:r>
      <w:r>
        <w:t xml:space="preserve">“too simple and doesn’t amount to feedback”</w:t>
      </w:r>
      <w:r>
        <w:t xml:space="preserve"> </w:t>
      </w:r>
      <w:r>
        <w:t xml:space="preserve">(SU_FA11_131). A counterexample highlighted that brevity can still work when targeted:</w:t>
      </w:r>
      <w:r>
        <w:t xml:space="preserve"> </w:t>
      </w:r>
      <w:r>
        <w:t xml:space="preserve">“concise feedback that includes the necessary content… motivates the student for future practice”</w:t>
      </w:r>
      <w:r>
        <w:t xml:space="preserve"> </w:t>
      </w:r>
      <w:r>
        <w:t xml:space="preserve">(SU_ST15_034).</w:t>
      </w:r>
    </w:p>
    <w:bookmarkEnd w:id="82"/>
    <w:bookmarkEnd w:id="83"/>
    <w:bookmarkStart w:id="91"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7</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ayout w:type="fixed"/>
        <w:tblLook w:firstRow="0" w:lastRow="0" w:firstColumn="0" w:lastColumn="0" w:noHBand="0" w:noVBand="0" w:val="0000"/>
      </w:tblPr>
      <w:tblGrid>
        <w:gridCol w:w="7920"/>
      </w:tblGrid>
      <w:tr>
        <w:tc>
          <w:tcPr/>
          <w:bookmarkStart w:id="84" w:name="tbl-joint_display"/>
          <w:p>
            <w:pPr>
              <w:jc w:val="start"/>
              <w:spacing w:before="200"/>
              <w:pStyle w:val="ImageCaption"/>
            </w:pPr>
            <w:r>
              <w:t xml:space="preserve">Table 7: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Feedback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4"/>
        </w:tc>
      </w:tr>
    </w:tbl>
    <w:bookmarkStart w:id="85"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85"/>
    <w:bookmarkStart w:id="86"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meets the elements required by the rubric through both structural adherence and sufficient length.</w:t>
      </w:r>
    </w:p>
    <w:bookmarkEnd w:id="86"/>
    <w:bookmarkStart w:id="87" w:name="Xd1c650e3ae642ac87bada9194c8acbe62b9c680"/>
    <w:p>
      <w:pPr>
        <w:pStyle w:val="Heading4"/>
      </w:pPr>
      <w:r>
        <w:t xml:space="preserve">Index 3: Length-Quality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quality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excels at covering necessary elements, while supervisors excel at contextual prioritization. Combining these findings reveals that feedback requires sufficient length to include necessary items, while prioritization is also important, and longer is not necessarily better.</w:t>
      </w:r>
    </w:p>
    <w:bookmarkEnd w:id="87"/>
    <w:bookmarkStart w:id="88" w:name="X75c9f45f769c997232980d27b432b05b41cc210"/>
    <w:p>
      <w:pPr>
        <w:pStyle w:val="Heading4"/>
      </w:pPr>
      <w:r>
        <w:t xml:space="preserve">Index 4: Quality Consistency and Variability</w:t>
      </w:r>
    </w:p>
    <w:p>
      <w:pPr>
        <w:pStyle w:val="FirstParagraph"/>
      </w:pPr>
      <w:r>
        <w:t xml:space="preserve">The quantitative finding that AI feedback quality was more consistent while supervisor feedback quality was more variable was supported by qualitative observations regarding adherence to feedback criteria and structure. The qualitative analysis described AI feedback as closely following the rubric, leading to more uniform quality, whereas supervisors often deviated from the rubric, resulting in variable quality. This integration demonstrates how structural consistency in AI feedback translates directly into measurable quality consistency.</w:t>
      </w:r>
    </w:p>
    <w:bookmarkEnd w:id="88"/>
    <w:bookmarkStart w:id="89"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89"/>
    <w:bookmarkStart w:id="90"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0"/>
    <w:bookmarkEnd w:id="91"/>
    <w:bookmarkEnd w:id="92"/>
    <w:bookmarkStart w:id="98" w:name="discussion"/>
    <w:p>
      <w:pPr>
        <w:pStyle w:val="Heading2"/>
      </w:pPr>
      <w:r>
        <w:t xml:space="preserve">Discussion</w:t>
      </w:r>
    </w:p>
    <w:bookmarkStart w:id="93"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superior adherence to rubric-based criteria, particularly in providing criteria-based guidance and clear directions for improvement. While supervisor feedback showed greater variability in quality, with length correlating positively with perceived quality, AI feedback maintained consistent quality regardless of length, suggesting systematic coverage of necessary elements.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3"/>
    <w:bookmarkStart w:id="94"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quality, while supervisor feedback demonstrated a positive correlation between length and quality. Some reports indicate that feedback length does not contribute to quality improvement beyond a certain threshold</w:t>
      </w:r>
      <w:r>
        <w:t xml:space="preserve"> </w:t>
      </w:r>
      <w:r>
        <w:t xml:space="preserve">[50]</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[28,51]</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[52]</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[22,24,25,53]</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 are difficult to articulate in written form 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[22,53]</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raises two considerations that warrant discussion. On one hand, it suggests that evaluators may have formed implicit judgments about the feedback source during the evaluation process, even though they were not explicitly informed. Prior research has demonstrated that knowledge or perception of the feedback provider can influence how feedback is received and evaluated</w:t>
      </w:r>
      <w:r>
        <w:t xml:space="preserve"> </w:t>
      </w:r>
      <w:r>
        <w:t xml:space="preserve">[43,44]</w:t>
      </w:r>
      <w:r>
        <w:t xml:space="preserve">, and the possibility that such implicit recognition shaped rubric ratings cannot be ruled out. On the other hand, the perfect detection itself constitutes a substantive finding: the qualitative differences between AI-generated and supervisor-provided feedback were sufficiently pronounced that no evaluator was uncertain about the source. Because the identification question was administered only after all quality ratings had been recorded, any influence would have arisen from the textual characteristics of the feedback itself rather than from externally provided labels. This is fundamentally different from an unblinded evaluation in which the source is known a priori. These substantial differences further reinforce the view that AI feedback should not replace human feedback but rather complement it by leveraging their respective strengths. It should be noted, however, that newer large language models continue to improve in generating natural, human-like text, and future iterations may substantially reduce the detectability of AI-generated feedback, potentially altering both evaluator perceptions and the dynamics of blinded evaluation designs.</w:t>
      </w:r>
    </w:p>
    <w:p>
      <w:pPr>
        <w:pStyle w:val="BodyText"/>
      </w:pPr>
      <w:r>
        <w:t xml:space="preserve">An important consideration for interpreting our findings is the linguistic and cultural context in which this study was conducted. All feedback was generated and evaluated in Japanese, and LLM performance has been shown to vary substantially across languages. Strasser et al</w:t>
      </w:r>
      <w:r>
        <w:t xml:space="preserve"> </w:t>
      </w:r>
      <w:r>
        <w:t xml:space="preserve">[54]</w:t>
      </w:r>
      <w:r>
        <w:t xml:space="preserve"> </w:t>
      </w:r>
      <w:r>
        <w:t xml:space="preserve">demonstrated that LLM accuracy on identical medical examination questions differed significantly by language (64%–87%), with English prompts generally yielding higher performance, although advanced models showed comparable results with language-matched prompts in some languages. Harigai et al</w:t>
      </w:r>
      <w:r>
        <w:t xml:space="preserve"> </w:t>
      </w:r>
      <w:r>
        <w:t xml:space="preserve">[55]</w:t>
      </w:r>
      <w:r>
        <w:t xml:space="preserve"> </w:t>
      </w:r>
      <w:r>
        <w:t xml:space="preserve">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w:t>
      </w:r>
      <w:r>
        <w:t xml:space="preserve"> </w:t>
      </w:r>
      <w:r>
        <w:t xml:space="preserve">[56]</w:t>
      </w:r>
      <w:r>
        <w:t xml:space="preserve">, may have influenced evaluators’ perceptions of and receptivity to the two feedback sources. Rather than framing these contextual factors solely as limitations, we note that they underscore the importance of conducting AI feedback research across diverse linguistic and cultural settings, as both AI performance and user reception are likely to be context-dependent.</w:t>
      </w:r>
    </w:p>
    <w:bookmarkEnd w:id="94"/>
    <w:bookmarkStart w:id="95"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[57]</w:t>
      </w:r>
      <w:r>
        <w:t xml:space="preserve"> </w:t>
      </w:r>
      <w:r>
        <w:t xml:space="preserve">or conversely, dismissal of AI-generated insights</w:t>
      </w:r>
      <w:r>
        <w:t xml:space="preserve"> </w:t>
      </w:r>
      <w:r>
        <w:t xml:space="preserve">[20]</w:t>
      </w:r>
      <w:r>
        <w:t xml:space="preserv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[58]</w:t>
      </w:r>
      <w:r>
        <w:t xml:space="preserve">. However, empirical research on these hybrid models remains limited, particularly in authentic clinical settings.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95"/>
    <w:bookmarkStart w:id="96" w:name="limitations"/>
    <w:p>
      <w:pPr>
        <w:pStyle w:val="Heading3"/>
      </w:pPr>
      <w:r>
        <w:t xml:space="preserve">Limitations</w:t>
      </w:r>
    </w:p>
    <w:p>
      <w:pPr>
        <w:pStyle w:val="FirstParagraph"/>
      </w:pPr>
      <w:r>
        <w:t xml:space="preserve">Several limitations should be acknowledged in this study. 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w:t>
      </w:r>
      <w:r>
        <w:t xml:space="preserve"> </w:t>
      </w:r>
      <w:r>
        <w:t xml:space="preserve">[56]</w:t>
      </w:r>
      <w:r>
        <w:t xml:space="preserve">, may have contributed to higher regard for supervisor feedback and influenced evaluators’ perceptions of the two feedback sources. The specific characteristics of Nagoya University’s clinical clerkship program may further limit representativeness. Second, while our evaluators included both faculty and students, their individual backgrounds and experiences may have influenced their feedback evaluations. The relatively small number of evaluators (10 faculty and 10 students) may also limit the robustness of our findings. 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 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 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which were also explicitly embedded in the AI prompt.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 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 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 Eighth, our study evaluated the structural quality of feedback as assessed by the rubric, but did not investigate whether AI-generated or supervisor-provided feedback led to different learning behaviors, revisions, or clinical improvement. The relationship between perceived feedback quality and actual educational outcomes remains an important area for future investigation.</w:t>
      </w:r>
    </w:p>
    <w:bookmarkEnd w:id="96"/>
    <w:bookmarkStart w:id="97"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97"/>
    <w:bookmarkEnd w:id="98"/>
    <w:bookmarkStart w:id="99"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“translate to english”</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99"/>
    <w:bookmarkStart w:id="100"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and its translation process are provided in Multimedia Appendices 1, 2, and 3,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0"/>
    <w:bookmarkStart w:id="101" w:name="conflicts-of-interest"/>
    <w:p>
      <w:pPr>
        <w:pStyle w:val="Heading2"/>
      </w:pPr>
      <w:r>
        <w:t xml:space="preserve">Conflicts of Interest</w:t>
      </w:r>
    </w:p>
    <w:p>
      <w:pPr>
        <w:pStyle w:val="FirstParagraph"/>
      </w:pPr>
      <w:r>
        <w:t xml:space="preserve">None declared.</w:t>
      </w:r>
    </w:p>
    <w:bookmarkEnd w:id="101"/>
    <w:bookmarkStart w:id="102"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2"/>
    <w:bookmarkStart w:id="103" w:name="multimedia-appendix-2"/>
    <w:p>
      <w:pPr>
        <w:pStyle w:val="Heading2"/>
      </w:pPr>
      <w:r>
        <w:t xml:space="preserve">Multimedia Appendix 2</w:t>
      </w:r>
    </w:p>
    <w:p>
      <w:pPr>
        <w:pStyle w:val="FirstParagraph"/>
      </w:pPr>
      <w:r>
        <w:t xml:space="preserve">This file contains the feedback evaluation rubric used in this study.</w:t>
      </w:r>
    </w:p>
    <w:bookmarkEnd w:id="103"/>
    <w:bookmarkStart w:id="104"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4"/>
    <w:bookmarkStart w:id="222" w:name="references"/>
    <w:p>
      <w:pPr>
        <w:pStyle w:val="Heading2"/>
      </w:pPr>
      <w:r>
        <w:t xml:space="preserve">References</w:t>
      </w:r>
    </w:p>
    <w:bookmarkStart w:id="221" w:name="refs"/>
    <w:bookmarkStart w:id="106"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05">
        <w:r>
          <w:rPr>
            <w:rStyle w:val="Hyperlink"/>
          </w:rPr>
          <w:t xml:space="preserve">38306581</w:t>
        </w:r>
      </w:hyperlink>
    </w:p>
    <w:bookmarkEnd w:id="106"/>
    <w:bookmarkStart w:id="108" w:name="ref-Ende1983-yv"/>
    <w:p>
      <w:pPr>
        <w:pStyle w:val="Bibliography"/>
      </w:pPr>
      <w:r>
        <w:t xml:space="preserve">2.</w:t>
      </w:r>
      <w:r>
        <w:t xml:space="preserve"> </w:t>
      </w:r>
      <w:r>
        <w:t xml:space="preserve">	</w:t>
      </w:r>
      <w:r>
        <w:t xml:space="preserve">Ende J. Feedback in clinical medical education. JAMA 1983 Aug 12;250(6):777–781. doi:</w:t>
      </w:r>
      <w:r>
        <w:t xml:space="preserve"> </w:t>
      </w:r>
      <w:hyperlink r:id="rId107">
        <w:r>
          <w:rPr>
            <w:rStyle w:val="Hyperlink"/>
          </w:rPr>
          <w:t xml:space="preserve">10.1001/jama.1983.03340060055026</w:t>
        </w:r>
      </w:hyperlink>
    </w:p>
    <w:bookmarkEnd w:id="108"/>
    <w:bookmarkStart w:id="110"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09">
        <w:r>
          <w:rPr>
            <w:rStyle w:val="Hyperlink"/>
          </w:rPr>
          <w:t xml:space="preserve">18158655</w:t>
        </w:r>
      </w:hyperlink>
    </w:p>
    <w:bookmarkEnd w:id="110"/>
    <w:bookmarkStart w:id="112"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1">
        <w:r>
          <w:rPr>
            <w:rStyle w:val="Hyperlink"/>
          </w:rPr>
          <w:t xml:space="preserve">33272265</w:t>
        </w:r>
      </w:hyperlink>
    </w:p>
    <w:bookmarkEnd w:id="112"/>
    <w:bookmarkStart w:id="114"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3">
        <w:r>
          <w:rPr>
            <w:rStyle w:val="Hyperlink"/>
          </w:rPr>
          <w:t xml:space="preserve">9541371</w:t>
        </w:r>
      </w:hyperlink>
    </w:p>
    <w:bookmarkEnd w:id="114"/>
    <w:bookmarkStart w:id="116"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15">
        <w:r>
          <w:rPr>
            <w:rStyle w:val="Hyperlink"/>
          </w:rPr>
          <w:t xml:space="preserve">23971889</w:t>
        </w:r>
      </w:hyperlink>
    </w:p>
    <w:bookmarkEnd w:id="116"/>
    <w:bookmarkStart w:id="118"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doi:</w:t>
      </w:r>
      <w:r>
        <w:t xml:space="preserve"> </w:t>
      </w:r>
      <w:hyperlink r:id="rId117">
        <w:r>
          <w:rPr>
            <w:rStyle w:val="Hyperlink"/>
          </w:rPr>
          <w:t xml:space="preserve">10.1007/s40670-024-02244-0</w:t>
        </w:r>
      </w:hyperlink>
    </w:p>
    <w:bookmarkEnd w:id="118"/>
    <w:bookmarkStart w:id="120"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19">
        <w:r>
          <w:rPr>
            <w:rStyle w:val="Hyperlink"/>
          </w:rPr>
          <w:t xml:space="preserve">30376659</w:t>
        </w:r>
      </w:hyperlink>
    </w:p>
    <w:bookmarkEnd w:id="120"/>
    <w:bookmarkStart w:id="122"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1">
        <w:r>
          <w:rPr>
            <w:rStyle w:val="Hyperlink"/>
          </w:rPr>
          <w:t xml:space="preserve">32195692</w:t>
        </w:r>
      </w:hyperlink>
    </w:p>
    <w:bookmarkEnd w:id="122"/>
    <w:bookmarkStart w:id="124"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3">
        <w:r>
          <w:rPr>
            <w:rStyle w:val="Hyperlink"/>
          </w:rPr>
          <w:t xml:space="preserve">20881691</w:t>
        </w:r>
      </w:hyperlink>
    </w:p>
    <w:bookmarkEnd w:id="124"/>
    <w:bookmarkStart w:id="126"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25">
        <w:r>
          <w:rPr>
            <w:rStyle w:val="Hyperlink"/>
          </w:rPr>
          <w:t xml:space="preserve">38639098</w:t>
        </w:r>
      </w:hyperlink>
    </w:p>
    <w:bookmarkEnd w:id="126"/>
    <w:bookmarkStart w:id="128"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27">
        <w:r>
          <w:rPr>
            <w:rStyle w:val="Hyperlink"/>
          </w:rPr>
          <w:t xml:space="preserve">10.1109/icalt58122.2023.00100</w:t>
        </w:r>
      </w:hyperlink>
    </w:p>
    <w:bookmarkEnd w:id="128"/>
    <w:bookmarkStart w:id="130"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29">
        <w:r>
          <w:rPr>
            <w:rStyle w:val="Hyperlink"/>
          </w:rPr>
          <w:t xml:space="preserve">38749814</w:t>
        </w:r>
      </w:hyperlink>
    </w:p>
    <w:bookmarkEnd w:id="130"/>
    <w:bookmarkStart w:id="132"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1">
        <w:r>
          <w:rPr>
            <w:rStyle w:val="Hyperlink"/>
          </w:rPr>
          <w:t xml:space="preserve">37261894</w:t>
        </w:r>
      </w:hyperlink>
    </w:p>
    <w:bookmarkEnd w:id="132"/>
    <w:bookmarkStart w:id="134" w:name="ref-LeCun2015-gf"/>
    <w:p>
      <w:pPr>
        <w:pStyle w:val="Bibliography"/>
      </w:pPr>
      <w:r>
        <w:t xml:space="preserve">15.</w:t>
      </w:r>
      <w:r>
        <w:t xml:space="preserve"> </w:t>
      </w:r>
      <w:r>
        <w:t xml:space="preserve">	</w:t>
      </w:r>
      <w:r>
        <w:t xml:space="preserve">LeCun Y, Bengio Y, Hinton G. Deep learning. Nature 2015 May 28;521(7553):436–444. PMID:</w:t>
      </w:r>
      <w:hyperlink r:id="rId133">
        <w:r>
          <w:rPr>
            <w:rStyle w:val="Hyperlink"/>
          </w:rPr>
          <w:t xml:space="preserve">26017442</w:t>
        </w:r>
      </w:hyperlink>
    </w:p>
    <w:bookmarkEnd w:id="134"/>
    <w:bookmarkStart w:id="136"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35">
        <w:r>
          <w:rPr>
            <w:rStyle w:val="Hyperlink"/>
          </w:rPr>
          <w:t xml:space="preserve">36950398</w:t>
        </w:r>
      </w:hyperlink>
    </w:p>
    <w:bookmarkEnd w:id="136"/>
    <w:bookmarkStart w:id="138"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37">
        <w:r>
          <w:rPr>
            <w:rStyle w:val="Hyperlink"/>
          </w:rPr>
          <w:t xml:space="preserve">36916887</w:t>
        </w:r>
      </w:hyperlink>
    </w:p>
    <w:bookmarkEnd w:id="138"/>
    <w:bookmarkStart w:id="140"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39">
        <w:r>
          <w:rPr>
            <w:rStyle w:val="Hyperlink"/>
          </w:rPr>
          <w:t xml:space="preserve">10.1016/j.learninstruc.2024.101894</w:t>
        </w:r>
      </w:hyperlink>
    </w:p>
    <w:bookmarkEnd w:id="140"/>
    <w:bookmarkStart w:id="142"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1">
        <w:r>
          <w:rPr>
            <w:rStyle w:val="Hyperlink"/>
          </w:rPr>
          <w:t xml:space="preserve">10.1016/j.iot.2024.101101</w:t>
        </w:r>
      </w:hyperlink>
    </w:p>
    <w:bookmarkEnd w:id="142"/>
    <w:bookmarkStart w:id="144"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3">
        <w:r>
          <w:rPr>
            <w:rStyle w:val="Hyperlink"/>
          </w:rPr>
          <w:t xml:space="preserve">39799065</w:t>
        </w:r>
      </w:hyperlink>
    </w:p>
    <w:bookmarkEnd w:id="144"/>
    <w:bookmarkStart w:id="146"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45">
        <w:r>
          <w:rPr>
            <w:rStyle w:val="Hyperlink"/>
          </w:rPr>
          <w:t xml:space="preserve">10.3390/ime4030027</w:t>
        </w:r>
      </w:hyperlink>
    </w:p>
    <w:bookmarkEnd w:id="146"/>
    <w:bookmarkStart w:id="148"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47">
        <w:r>
          <w:rPr>
            <w:rStyle w:val="Hyperlink"/>
          </w:rPr>
          <w:t xml:space="preserve">39656920</w:t>
        </w:r>
      </w:hyperlink>
    </w:p>
    <w:bookmarkEnd w:id="148"/>
    <w:bookmarkStart w:id="150"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49">
        <w:r>
          <w:rPr>
            <w:rStyle w:val="Hyperlink"/>
          </w:rPr>
          <w:t xml:space="preserve">10.1080/02602938.2025.2487495</w:t>
        </w:r>
      </w:hyperlink>
    </w:p>
    <w:bookmarkEnd w:id="150"/>
    <w:bookmarkStart w:id="152"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1">
        <w:r>
          <w:rPr>
            <w:rStyle w:val="Hyperlink"/>
          </w:rPr>
          <w:t xml:space="preserve">10.1111/bjet.13558</w:t>
        </w:r>
      </w:hyperlink>
    </w:p>
    <w:bookmarkEnd w:id="152"/>
    <w:bookmarkStart w:id="154"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3">
        <w:r>
          <w:rPr>
            <w:rStyle w:val="Hyperlink"/>
          </w:rPr>
          <w:t xml:space="preserve">40528415</w:t>
        </w:r>
      </w:hyperlink>
    </w:p>
    <w:bookmarkEnd w:id="154"/>
    <w:bookmarkStart w:id="156"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55">
        <w:r>
          <w:rPr>
            <w:rStyle w:val="Hyperlink"/>
          </w:rPr>
          <w:t xml:space="preserve">39346122</w:t>
        </w:r>
      </w:hyperlink>
    </w:p>
    <w:bookmarkEnd w:id="156"/>
    <w:bookmarkStart w:id="158"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57">
        <w:r>
          <w:rPr>
            <w:rStyle w:val="Hyperlink"/>
          </w:rPr>
          <w:t xml:space="preserve">39889694</w:t>
        </w:r>
      </w:hyperlink>
    </w:p>
    <w:bookmarkEnd w:id="158"/>
    <w:bookmarkStart w:id="160"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59">
        <w:r>
          <w:rPr>
            <w:rStyle w:val="Hyperlink"/>
          </w:rPr>
          <w:t xml:space="preserve">37498660</w:t>
        </w:r>
      </w:hyperlink>
    </w:p>
    <w:bookmarkEnd w:id="160"/>
    <w:bookmarkStart w:id="162"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1">
        <w:r>
          <w:rPr>
            <w:rStyle w:val="Hyperlink"/>
          </w:rPr>
          <w:t xml:space="preserve">35950329</w:t>
        </w:r>
      </w:hyperlink>
    </w:p>
    <w:bookmarkEnd w:id="162"/>
    <w:bookmarkStart w:id="164"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3">
        <w:r>
          <w:rPr>
            <w:rStyle w:val="Hyperlink"/>
          </w:rPr>
          <w:t xml:space="preserve">36189452</w:t>
        </w:r>
      </w:hyperlink>
    </w:p>
    <w:bookmarkEnd w:id="164"/>
    <w:bookmarkStart w:id="166"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65">
        <w:r>
          <w:rPr>
            <w:rStyle w:val="Hyperlink"/>
          </w:rPr>
          <w:t xml:space="preserve">38144672</w:t>
        </w:r>
      </w:hyperlink>
    </w:p>
    <w:bookmarkEnd w:id="166"/>
    <w:bookmarkStart w:id="168"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67">
        <w:r>
          <w:rPr>
            <w:rStyle w:val="Hyperlink"/>
          </w:rPr>
          <w:t xml:space="preserve">10.1016/j.system.2024.103529</w:t>
        </w:r>
      </w:hyperlink>
    </w:p>
    <w:bookmarkEnd w:id="168"/>
    <w:bookmarkStart w:id="170"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69">
        <w:r>
          <w:rPr>
            <w:rStyle w:val="Hyperlink"/>
          </w:rPr>
          <w:t xml:space="preserve">10.1007/978-3-031-72315-5_20</w:t>
        </w:r>
      </w:hyperlink>
      <w:r>
        <w:t xml:space="preserve">ISBN:9783031723148</w:t>
      </w:r>
    </w:p>
    <w:bookmarkEnd w:id="170"/>
    <w:bookmarkStart w:id="172"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1">
        <w:r>
          <w:rPr>
            <w:rStyle w:val="Hyperlink"/>
          </w:rPr>
          <w:t xml:space="preserve">10.48550/arXiv.2504.10961</w:t>
        </w:r>
      </w:hyperlink>
    </w:p>
    <w:bookmarkEnd w:id="172"/>
    <w:bookmarkStart w:id="174"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3">
        <w:r>
          <w:rPr>
            <w:rStyle w:val="Hyperlink"/>
          </w:rPr>
          <w:t xml:space="preserve">10.1145/3706468.3706479</w:t>
        </w:r>
      </w:hyperlink>
    </w:p>
    <w:bookmarkEnd w:id="174"/>
    <w:bookmarkStart w:id="176"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75">
        <w:r>
          <w:rPr>
            <w:rStyle w:val="Hyperlink"/>
          </w:rPr>
          <w:t xml:space="preserve">39545499</w:t>
        </w:r>
      </w:hyperlink>
    </w:p>
    <w:bookmarkEnd w:id="176"/>
    <w:bookmarkStart w:id="178"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77">
        <w:r>
          <w:rPr>
            <w:rStyle w:val="Hyperlink"/>
          </w:rPr>
          <w:t xml:space="preserve">24279835</w:t>
        </w:r>
      </w:hyperlink>
    </w:p>
    <w:bookmarkEnd w:id="178"/>
    <w:bookmarkStart w:id="180"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79">
        <w:r>
          <w:rPr>
            <w:rStyle w:val="Hyperlink"/>
          </w:rPr>
          <w:t xml:space="preserve">21275539</w:t>
        </w:r>
      </w:hyperlink>
    </w:p>
    <w:bookmarkEnd w:id="180"/>
    <w:bookmarkStart w:id="182" w:name="ref-Jacobsen2023-jl"/>
    <w:p>
      <w:pPr>
        <w:pStyle w:val="Bibliography"/>
      </w:pPr>
      <w:r>
        <w:t xml:space="preserve">39.</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81">
        <w:r>
          <w:rPr>
            <w:rStyle w:val="Hyperlink"/>
          </w:rPr>
          <w:t xml:space="preserve">10.31219/osf.io/cr257</w:t>
        </w:r>
      </w:hyperlink>
    </w:p>
    <w:bookmarkEnd w:id="182"/>
    <w:bookmarkStart w:id="184" w:name="ref-Van_Ostaeyen2023-ut"/>
    <w:p>
      <w:pPr>
        <w:pStyle w:val="Bibliography"/>
      </w:pPr>
      <w:r>
        <w:t xml:space="preserve">40.</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83">
        <w:r>
          <w:rPr>
            <w:rStyle w:val="Hyperlink"/>
          </w:rPr>
          <w:t xml:space="preserve">38144670</w:t>
        </w:r>
      </w:hyperlink>
    </w:p>
    <w:bookmarkEnd w:id="184"/>
    <w:bookmarkStart w:id="186" w:name="ref-OpenAI2024-uk"/>
    <w:p>
      <w:pPr>
        <w:pStyle w:val="Bibliography"/>
      </w:pPr>
      <w:r>
        <w:t xml:space="preserve">41.</w:t>
      </w:r>
      <w:r>
        <w:t xml:space="preserve"> </w:t>
      </w:r>
      <w:r>
        <w:t xml:space="preserve">	</w:t>
      </w:r>
      <w:r>
        <w:t xml:space="preserve">OpenAI. Models GPT-4o - OpenAI API. OpanAI Platform 2024. Available from:</w:t>
      </w:r>
      <w:r>
        <w:t xml:space="preserve"> </w:t>
      </w:r>
      <w:hyperlink r:id="rId185">
        <w:r>
          <w:rPr>
            <w:rStyle w:val="Hyperlink"/>
          </w:rPr>
          <w:t xml:space="preserve">https://platform.openai.com/docs/models/gpt-4o</w:t>
        </w:r>
        <w:r>
          <w:rPr>
            <w:rStyle w:val="Hyperlink"/>
          </w:rPr>
          <w:t xml:space="preserve"> </w:t>
        </w:r>
      </w:hyperlink>
    </w:p>
    <w:bookmarkEnd w:id="186"/>
    <w:bookmarkStart w:id="188" w:name="ref-Walde2023-vi"/>
    <w:p>
      <w:pPr>
        <w:pStyle w:val="Bibliography"/>
      </w:pPr>
      <w:r>
        <w:t xml:space="preserve">42.</w:t>
      </w:r>
      <w:r>
        <w:t xml:space="preserve"> </w:t>
      </w:r>
      <w:r>
        <w:t xml:space="preserve">	</w:t>
      </w:r>
      <w:r>
        <w:t xml:space="preserve">Walde P, Völlm BA. The TRAPD approach as a method for questionnaire translation. Front Psychiatry 2023 Jun 15;14:1199989. PMID:</w:t>
      </w:r>
      <w:hyperlink r:id="rId187">
        <w:r>
          <w:rPr>
            <w:rStyle w:val="Hyperlink"/>
          </w:rPr>
          <w:t xml:space="preserve">37398605</w:t>
        </w:r>
      </w:hyperlink>
    </w:p>
    <w:bookmarkEnd w:id="188"/>
    <w:bookmarkStart w:id="190" w:name="ref-van-de-Ridder2014-ld"/>
    <w:p>
      <w:pPr>
        <w:pStyle w:val="Bibliography"/>
      </w:pPr>
      <w:r>
        <w:t xml:space="preserve">43.</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89">
        <w:r>
          <w:rPr>
            <w:rStyle w:val="Hyperlink"/>
          </w:rPr>
          <w:t xml:space="preserve">25306959</w:t>
        </w:r>
      </w:hyperlink>
    </w:p>
    <w:bookmarkEnd w:id="190"/>
    <w:bookmarkStart w:id="192" w:name="ref-Tripodi2021-mc"/>
    <w:p>
      <w:pPr>
        <w:pStyle w:val="Bibliography"/>
      </w:pPr>
      <w:r>
        <w:t xml:space="preserve">44.</w:t>
      </w:r>
      <w:r>
        <w:t xml:space="preserve"> </w:t>
      </w:r>
      <w:r>
        <w:t xml:space="preserve">	</w:t>
      </w:r>
      <w:r>
        <w:t xml:space="preserve">Tripodi N, Feehan J, Wospil R, Vaughan B. Twelve tips for developing feedback literacy in health professions learners. Med Teach 2021 Aug;43(8):960–965. PMID:</w:t>
      </w:r>
      <w:hyperlink r:id="rId191">
        <w:r>
          <w:rPr>
            <w:rStyle w:val="Hyperlink"/>
          </w:rPr>
          <w:t xml:space="preserve">33131374</w:t>
        </w:r>
      </w:hyperlink>
    </w:p>
    <w:bookmarkEnd w:id="192"/>
    <w:bookmarkStart w:id="194" w:name="ref-R-Core-Team2024-jc"/>
    <w:p>
      <w:pPr>
        <w:pStyle w:val="Bibliography"/>
      </w:pPr>
      <w:r>
        <w:t xml:space="preserve">45.</w:t>
      </w:r>
      <w:r>
        <w:t xml:space="preserve"> </w:t>
      </w:r>
      <w:r>
        <w:t xml:space="preserve">	</w:t>
      </w:r>
      <w:r>
        <w:t xml:space="preserve">R Core Team. R: A Language and Environment for Statistical Computing. 2024. Available from:</w:t>
      </w:r>
      <w:r>
        <w:t xml:space="preserve"> </w:t>
      </w:r>
      <w:hyperlink r:id="rId193">
        <w:r>
          <w:rPr>
            <w:rStyle w:val="Hyperlink"/>
          </w:rPr>
          <w:t xml:space="preserve">https://www.R-project.org/</w:t>
        </w:r>
        <w:r>
          <w:rPr>
            <w:rStyle w:val="Hyperlink"/>
          </w:rPr>
          <w:t xml:space="preserve"> </w:t>
        </w:r>
      </w:hyperlink>
    </w:p>
    <w:bookmarkEnd w:id="194"/>
    <w:bookmarkStart w:id="196" w:name="ref-Zhang2018-kh"/>
    <w:p>
      <w:pPr>
        <w:pStyle w:val="Bibliography"/>
      </w:pPr>
      <w:r>
        <w:t xml:space="preserve">46.</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195">
        <w:r>
          <w:rPr>
            <w:rStyle w:val="Hyperlink"/>
          </w:rPr>
          <w:t xml:space="preserve">10.18653/v1/w18-6303</w:t>
        </w:r>
      </w:hyperlink>
    </w:p>
    <w:bookmarkEnd w:id="196"/>
    <w:bookmarkStart w:id="198" w:name="ref-Nowell2017-qr"/>
    <w:p>
      <w:pPr>
        <w:pStyle w:val="Bibliography"/>
      </w:pPr>
      <w:r>
        <w:t xml:space="preserve">47.</w:t>
      </w:r>
      <w:r>
        <w:t xml:space="preserve"> </w:t>
      </w:r>
      <w:r>
        <w:t xml:space="preserve">	</w:t>
      </w:r>
      <w:r>
        <w:t xml:space="preserve">Nowell LS, Norris JM, White DE, Moules NJ. Thematic analysis. Int J Qual Methods SAGE Publications; 2017 Dec;16(1):160940691773384. doi:</w:t>
      </w:r>
      <w:r>
        <w:t xml:space="preserve"> </w:t>
      </w:r>
      <w:hyperlink r:id="rId197">
        <w:r>
          <w:rPr>
            <w:rStyle w:val="Hyperlink"/>
          </w:rPr>
          <w:t xml:space="preserve">10.1177/1609406917733847</w:t>
        </w:r>
      </w:hyperlink>
    </w:p>
    <w:bookmarkEnd w:id="198"/>
    <w:bookmarkStart w:id="200" w:name="ref-Guetterman2015-qt"/>
    <w:p>
      <w:pPr>
        <w:pStyle w:val="Bibliography"/>
      </w:pPr>
      <w:r>
        <w:t xml:space="preserve">48.</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199">
        <w:r>
          <w:rPr>
            <w:rStyle w:val="Hyperlink"/>
          </w:rPr>
          <w:t xml:space="preserve">26553895</w:t>
        </w:r>
      </w:hyperlink>
    </w:p>
    <w:bookmarkEnd w:id="200"/>
    <w:bookmarkStart w:id="202" w:name="ref-McCrudden2021-eo"/>
    <w:p>
      <w:pPr>
        <w:pStyle w:val="Bibliography"/>
      </w:pPr>
      <w:r>
        <w:t xml:space="preserve">49.</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201">
        <w:r>
          <w:rPr>
            <w:rStyle w:val="Hyperlink"/>
          </w:rPr>
          <w:t xml:space="preserve">10.1016/j.metip.2021.100067</w:t>
        </w:r>
      </w:hyperlink>
    </w:p>
    <w:bookmarkEnd w:id="202"/>
    <w:bookmarkStart w:id="204" w:name="ref-Curtis2024-yo"/>
    <w:p>
      <w:pPr>
        <w:pStyle w:val="Bibliography"/>
      </w:pPr>
      <w:r>
        <w:t xml:space="preserve">50.</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03">
        <w:r>
          <w:rPr>
            <w:rStyle w:val="Hyperlink"/>
          </w:rPr>
          <w:t xml:space="preserve">39807150</w:t>
        </w:r>
      </w:hyperlink>
    </w:p>
    <w:bookmarkEnd w:id="204"/>
    <w:bookmarkStart w:id="206" w:name="ref-Leclair2023-ul"/>
    <w:p>
      <w:pPr>
        <w:pStyle w:val="Bibliography"/>
      </w:pPr>
      <w:r>
        <w:t xml:space="preserve">51.</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05">
        <w:r>
          <w:rPr>
            <w:rStyle w:val="Hyperlink"/>
          </w:rPr>
          <w:t xml:space="preserve">37216002</w:t>
        </w:r>
      </w:hyperlink>
    </w:p>
    <w:bookmarkEnd w:id="206"/>
    <w:bookmarkStart w:id="208" w:name="ref-Renting2023-pk"/>
    <w:p>
      <w:pPr>
        <w:pStyle w:val="Bibliography"/>
      </w:pPr>
      <w:r>
        <w:t xml:space="preserve">52.</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07">
        <w:r>
          <w:rPr>
            <w:rStyle w:val="Hyperlink"/>
          </w:rPr>
          <w:t xml:space="preserve">37770280</w:t>
        </w:r>
      </w:hyperlink>
    </w:p>
    <w:bookmarkEnd w:id="208"/>
    <w:bookmarkStart w:id="210" w:name="ref-Zhou2025-fj"/>
    <w:p>
      <w:pPr>
        <w:pStyle w:val="Bibliography"/>
      </w:pPr>
      <w:r>
        <w:t xml:space="preserve">53.</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09">
        <w:r>
          <w:rPr>
            <w:rStyle w:val="Hyperlink"/>
          </w:rPr>
          <w:t xml:space="preserve">39984362</w:t>
        </w:r>
      </w:hyperlink>
    </w:p>
    <w:bookmarkEnd w:id="210"/>
    <w:bookmarkStart w:id="212" w:name="ref-strasser-2026"/>
    <w:p>
      <w:pPr>
        <w:pStyle w:val="Bibliography"/>
      </w:pPr>
      <w:r>
        <w:t xml:space="preserve">54.</w:t>
      </w:r>
      <w:r>
        <w:t xml:space="preserve"> </w:t>
      </w:r>
      <w:r>
        <w:t xml:space="preserve">	</w:t>
      </w:r>
      <w:r>
        <w:t xml:space="preserve">Strasser LM, Anschuetz W, Dennstädt F, Hastings J. Performance Evaluation of Large Language Models in Multilingual Medical Multiple-Choice Questions: Mixed Methods Study. JMIR Med Educ JMIR Publications Inc.; 2026 Mar 5;12:e81399–e81399. doi:</w:t>
      </w:r>
      <w:r>
        <w:t xml:space="preserve"> </w:t>
      </w:r>
      <w:hyperlink r:id="rId211">
        <w:r>
          <w:rPr>
            <w:rStyle w:val="Hyperlink"/>
          </w:rPr>
          <w:t xml:space="preserve">10.2196/81399</w:t>
        </w:r>
      </w:hyperlink>
    </w:p>
    <w:bookmarkEnd w:id="212"/>
    <w:bookmarkStart w:id="214" w:name="ref-harigai-2024"/>
    <w:p>
      <w:pPr>
        <w:pStyle w:val="Bibliography"/>
      </w:pPr>
      <w:r>
        <w:t xml:space="preserve">55.</w:t>
      </w:r>
      <w:r>
        <w:t xml:space="preserve"> </w:t>
      </w:r>
      <w:r>
        <w:t xml:space="preserve">	</w:t>
      </w:r>
      <w:r>
        <w:t xml:space="preserve">Harigai A, Toyama Y, Nagano M, Abe M, Kawabata M, Li L, Yamamura J, Takase K. Response accuracy of GPT-4 across languages: insights from an expert-level diagnostic radiology examination in Japan. Jpn J Radiol Springer Science and Business Media LLC; 2024 Oct 28;43(2):319–329. doi:</w:t>
      </w:r>
      <w:r>
        <w:t xml:space="preserve"> </w:t>
      </w:r>
      <w:hyperlink r:id="rId213">
        <w:r>
          <w:rPr>
            <w:rStyle w:val="Hyperlink"/>
          </w:rPr>
          <w:t xml:space="preserve">10.1007/s11604-024-01673-6</w:t>
        </w:r>
      </w:hyperlink>
    </w:p>
    <w:bookmarkEnd w:id="214"/>
    <w:bookmarkStart w:id="216" w:name="ref-Nishigori2014-qc"/>
    <w:p>
      <w:pPr>
        <w:pStyle w:val="Bibliography"/>
      </w:pPr>
      <w:r>
        <w:t xml:space="preserve">56.</w:t>
      </w:r>
      <w:r>
        <w:t xml:space="preserve"> </w:t>
      </w:r>
      <w:r>
        <w:t xml:space="preserve">	</w:t>
      </w:r>
      <w:r>
        <w:t xml:space="preserve">Nishigori H, Harrison R, Busari J, Dornan T. Bushido and Medical Professionalism in Japan. Acad Med 2014;89(4):560–563. PMID:</w:t>
      </w:r>
      <w:hyperlink r:id="rId215">
        <w:r>
          <w:rPr>
            <w:rStyle w:val="Hyperlink"/>
          </w:rPr>
          <w:t xml:space="preserve">24556758</w:t>
        </w:r>
      </w:hyperlink>
    </w:p>
    <w:bookmarkEnd w:id="216"/>
    <w:bookmarkStart w:id="218" w:name="ref-Khojasteh2025-vd"/>
    <w:p>
      <w:pPr>
        <w:pStyle w:val="Bibliography"/>
      </w:pPr>
      <w:r>
        <w:t xml:space="preserve">57.</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17">
        <w:r>
          <w:rPr>
            <w:rStyle w:val="Hyperlink"/>
          </w:rPr>
          <w:t xml:space="preserve">39891148</w:t>
        </w:r>
      </w:hyperlink>
    </w:p>
    <w:bookmarkEnd w:id="218"/>
    <w:bookmarkStart w:id="220" w:name="ref-Banihashem2025-zo"/>
    <w:p>
      <w:pPr>
        <w:pStyle w:val="Bibliography"/>
      </w:pPr>
      <w:r>
        <w:t xml:space="preserve">58.</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19">
        <w:r>
          <w:rPr>
            <w:rStyle w:val="Hyperlink"/>
          </w:rPr>
          <w:t xml:space="preserve">10.1080/14703297.2025.2499174</w:t>
        </w:r>
      </w:hyperlink>
    </w:p>
    <w:bookmarkEnd w:id="220"/>
    <w:bookmarkEnd w:id="221"/>
    <w:bookmarkEnd w:id="222"/>
    <w:bookmarkEnd w:id="2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svg" /><Relationship Type="http://schemas.openxmlformats.org/officeDocument/2006/relationships/image" Id="rId53" Target="media/rId53.svg" /><Relationship Type="http://schemas.openxmlformats.org/officeDocument/2006/relationships/image" Id="rId65" Target="media/rId65.svg" /><Relationship Type="http://schemas.openxmlformats.org/officeDocument/2006/relationships/image" Id="rId48" Target="media/rId48.svg" /><Relationship Type="http://schemas.openxmlformats.org/officeDocument/2006/relationships/image" Id="rId26" Target="media/rId26.svg" /><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213" Target="https://doi.org/10.1007/s11604-024-01673-6"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9"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211" Target="https://doi.org/10.2196/81399"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215" Target="https://www.ncbi.nlm.nih.gov/pubmed/24556758"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7"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_rels/footnotes.xml.rels><?xml version="1.0" encoding="UTF-8"?><Relationships xmlns="http://schemas.openxmlformats.org/package/2006/relationships"><Relationship Type="http://schemas.openxmlformats.org/officeDocument/2006/relationships/hyperlink" Id="rId107" Target="https://doi.org/10.1001/jama.1983.03340060055026" TargetMode="External" /><Relationship Type="http://schemas.openxmlformats.org/officeDocument/2006/relationships/hyperlink" Id="rId169" Target="https://doi.org/10.1007/978-3-031-72315-5_20" TargetMode="External" /><Relationship Type="http://schemas.openxmlformats.org/officeDocument/2006/relationships/hyperlink" Id="rId213" Target="https://doi.org/10.1007/s11604-024-01673-6" TargetMode="External" /><Relationship Type="http://schemas.openxmlformats.org/officeDocument/2006/relationships/hyperlink" Id="rId117" Target="https://doi.org/10.1007/s40670-024-02244-0" TargetMode="External" /><Relationship Type="http://schemas.openxmlformats.org/officeDocument/2006/relationships/hyperlink" Id="rId141" Target="https://doi.org/10.1016/j.iot.2024.101101" TargetMode="External" /><Relationship Type="http://schemas.openxmlformats.org/officeDocument/2006/relationships/hyperlink" Id="rId139" Target="https://doi.org/10.1016/j.learninstruc.2024.101894" TargetMode="External" /><Relationship Type="http://schemas.openxmlformats.org/officeDocument/2006/relationships/hyperlink" Id="rId201" Target="https://doi.org/10.1016/j.metip.2021.100067" TargetMode="External" /><Relationship Type="http://schemas.openxmlformats.org/officeDocument/2006/relationships/hyperlink" Id="rId167" Target="https://doi.org/10.1016/j.system.2024.103529" TargetMode="External" /><Relationship Type="http://schemas.openxmlformats.org/officeDocument/2006/relationships/hyperlink" Id="rId149" Target="https://doi.org/10.1080/02602938.2025.2487495" TargetMode="External" /><Relationship Type="http://schemas.openxmlformats.org/officeDocument/2006/relationships/hyperlink" Id="rId219" Target="https://doi.org/10.1080/14703297.2025.2499174" TargetMode="External" /><Relationship Type="http://schemas.openxmlformats.org/officeDocument/2006/relationships/hyperlink" Id="rId127" Target="https://doi.org/10.1109/icalt58122.2023.00100" TargetMode="External" /><Relationship Type="http://schemas.openxmlformats.org/officeDocument/2006/relationships/hyperlink" Id="rId151" Target="https://doi.org/10.1111/bjet.13558" TargetMode="External" /><Relationship Type="http://schemas.openxmlformats.org/officeDocument/2006/relationships/hyperlink" Id="rId173" Target="https://doi.org/10.1145/3706468.3706479" TargetMode="External" /><Relationship Type="http://schemas.openxmlformats.org/officeDocument/2006/relationships/hyperlink" Id="rId197" Target="https://doi.org/10.1177/1609406917733847" TargetMode="External" /><Relationship Type="http://schemas.openxmlformats.org/officeDocument/2006/relationships/hyperlink" Id="rId195" Target="https://doi.org/10.18653/v1/w18-6303" TargetMode="External" /><Relationship Type="http://schemas.openxmlformats.org/officeDocument/2006/relationships/hyperlink" Id="rId211" Target="https://doi.org/10.2196/81399" TargetMode="External" /><Relationship Type="http://schemas.openxmlformats.org/officeDocument/2006/relationships/hyperlink" Id="rId181" Target="https://doi.org/10.31219/osf.io/cr257" TargetMode="External" /><Relationship Type="http://schemas.openxmlformats.org/officeDocument/2006/relationships/hyperlink" Id="rId145" Target="https://doi.org/10.3390/ime4030027" TargetMode="External" /><Relationship Type="http://schemas.openxmlformats.org/officeDocument/2006/relationships/hyperlink" Id="rId171" Target="https://doi.org/10.48550/arXiv.2504.10961" TargetMode="External" /><Relationship Type="http://schemas.openxmlformats.org/officeDocument/2006/relationships/hyperlink" Id="rId185" Target="https://platform.openai.com/docs/models/gpt-4o" TargetMode="External" /><Relationship Type="http://schemas.openxmlformats.org/officeDocument/2006/relationships/hyperlink" Id="rId193" Target="https://www.R-project.org/" TargetMode="External" /><Relationship Type="http://schemas.openxmlformats.org/officeDocument/2006/relationships/hyperlink" Id="rId109" Target="https://www.ncbi.nlm.nih.gov/pubmed/18158655" TargetMode="External" /><Relationship Type="http://schemas.openxmlformats.org/officeDocument/2006/relationships/hyperlink" Id="rId123" Target="https://www.ncbi.nlm.nih.gov/pubmed/20881691" TargetMode="External" /><Relationship Type="http://schemas.openxmlformats.org/officeDocument/2006/relationships/hyperlink" Id="rId179" Target="https://www.ncbi.nlm.nih.gov/pubmed/21275539" TargetMode="External" /><Relationship Type="http://schemas.openxmlformats.org/officeDocument/2006/relationships/hyperlink" Id="rId115" Target="https://www.ncbi.nlm.nih.gov/pubmed/23971889" TargetMode="External" /><Relationship Type="http://schemas.openxmlformats.org/officeDocument/2006/relationships/hyperlink" Id="rId177" Target="https://www.ncbi.nlm.nih.gov/pubmed/24279835" TargetMode="External" /><Relationship Type="http://schemas.openxmlformats.org/officeDocument/2006/relationships/hyperlink" Id="rId215" Target="https://www.ncbi.nlm.nih.gov/pubmed/24556758" TargetMode="External" /><Relationship Type="http://schemas.openxmlformats.org/officeDocument/2006/relationships/hyperlink" Id="rId189" Target="https://www.ncbi.nlm.nih.gov/pubmed/25306959" TargetMode="External" /><Relationship Type="http://schemas.openxmlformats.org/officeDocument/2006/relationships/hyperlink" Id="rId133" Target="https://www.ncbi.nlm.nih.gov/pubmed/26017442" TargetMode="External" /><Relationship Type="http://schemas.openxmlformats.org/officeDocument/2006/relationships/hyperlink" Id="rId199" Target="https://www.ncbi.nlm.nih.gov/pubmed/26553895" TargetMode="External" /><Relationship Type="http://schemas.openxmlformats.org/officeDocument/2006/relationships/hyperlink" Id="rId119" Target="https://www.ncbi.nlm.nih.gov/pubmed/30376659" TargetMode="External" /><Relationship Type="http://schemas.openxmlformats.org/officeDocument/2006/relationships/hyperlink" Id="rId121" Target="https://www.ncbi.nlm.nih.gov/pubmed/32195692" TargetMode="External" /><Relationship Type="http://schemas.openxmlformats.org/officeDocument/2006/relationships/hyperlink" Id="rId191" Target="https://www.ncbi.nlm.nih.gov/pubmed/33131374" TargetMode="External" /><Relationship Type="http://schemas.openxmlformats.org/officeDocument/2006/relationships/hyperlink" Id="rId111" Target="https://www.ncbi.nlm.nih.gov/pubmed/33272265" TargetMode="External" /><Relationship Type="http://schemas.openxmlformats.org/officeDocument/2006/relationships/hyperlink" Id="rId161" Target="https://www.ncbi.nlm.nih.gov/pubmed/35950329" TargetMode="External" /><Relationship Type="http://schemas.openxmlformats.org/officeDocument/2006/relationships/hyperlink" Id="rId163" Target="https://www.ncbi.nlm.nih.gov/pubmed/36189452" TargetMode="External" /><Relationship Type="http://schemas.openxmlformats.org/officeDocument/2006/relationships/hyperlink" Id="rId137" Target="https://www.ncbi.nlm.nih.gov/pubmed/36916887" TargetMode="External" /><Relationship Type="http://schemas.openxmlformats.org/officeDocument/2006/relationships/hyperlink" Id="rId135" Target="https://www.ncbi.nlm.nih.gov/pubmed/36950398" TargetMode="External" /><Relationship Type="http://schemas.openxmlformats.org/officeDocument/2006/relationships/hyperlink" Id="rId205" Target="https://www.ncbi.nlm.nih.gov/pubmed/37216002" TargetMode="External" /><Relationship Type="http://schemas.openxmlformats.org/officeDocument/2006/relationships/hyperlink" Id="rId131" Target="https://www.ncbi.nlm.nih.gov/pubmed/37261894" TargetMode="External" /><Relationship Type="http://schemas.openxmlformats.org/officeDocument/2006/relationships/hyperlink" Id="rId187" Target="https://www.ncbi.nlm.nih.gov/pubmed/37398605" TargetMode="External" /><Relationship Type="http://schemas.openxmlformats.org/officeDocument/2006/relationships/hyperlink" Id="rId159" Target="https://www.ncbi.nlm.nih.gov/pubmed/37498660" TargetMode="External" /><Relationship Type="http://schemas.openxmlformats.org/officeDocument/2006/relationships/hyperlink" Id="rId207" Target="https://www.ncbi.nlm.nih.gov/pubmed/37770280" TargetMode="External" /><Relationship Type="http://schemas.openxmlformats.org/officeDocument/2006/relationships/hyperlink" Id="rId183" Target="https://www.ncbi.nlm.nih.gov/pubmed/38144670" TargetMode="External" /><Relationship Type="http://schemas.openxmlformats.org/officeDocument/2006/relationships/hyperlink" Id="rId165" Target="https://www.ncbi.nlm.nih.gov/pubmed/38144672" TargetMode="External" /><Relationship Type="http://schemas.openxmlformats.org/officeDocument/2006/relationships/hyperlink" Id="rId105" Target="https://www.ncbi.nlm.nih.gov/pubmed/38306581" TargetMode="External" /><Relationship Type="http://schemas.openxmlformats.org/officeDocument/2006/relationships/hyperlink" Id="rId125" Target="https://www.ncbi.nlm.nih.gov/pubmed/38639098" TargetMode="External" /><Relationship Type="http://schemas.openxmlformats.org/officeDocument/2006/relationships/hyperlink" Id="rId129" Target="https://www.ncbi.nlm.nih.gov/pubmed/38749814" TargetMode="External" /><Relationship Type="http://schemas.openxmlformats.org/officeDocument/2006/relationships/hyperlink" Id="rId155" Target="https://www.ncbi.nlm.nih.gov/pubmed/39346122" TargetMode="External" /><Relationship Type="http://schemas.openxmlformats.org/officeDocument/2006/relationships/hyperlink" Id="rId175" Target="https://www.ncbi.nlm.nih.gov/pubmed/39545499" TargetMode="External" /><Relationship Type="http://schemas.openxmlformats.org/officeDocument/2006/relationships/hyperlink" Id="rId147" Target="https://www.ncbi.nlm.nih.gov/pubmed/39656920" TargetMode="External" /><Relationship Type="http://schemas.openxmlformats.org/officeDocument/2006/relationships/hyperlink" Id="rId143" Target="https://www.ncbi.nlm.nih.gov/pubmed/39799065" TargetMode="External" /><Relationship Type="http://schemas.openxmlformats.org/officeDocument/2006/relationships/hyperlink" Id="rId203" Target="https://www.ncbi.nlm.nih.gov/pubmed/39807150" TargetMode="External" /><Relationship Type="http://schemas.openxmlformats.org/officeDocument/2006/relationships/hyperlink" Id="rId157" Target="https://www.ncbi.nlm.nih.gov/pubmed/39889694" TargetMode="External" /><Relationship Type="http://schemas.openxmlformats.org/officeDocument/2006/relationships/hyperlink" Id="rId217" Target="https://www.ncbi.nlm.nih.gov/pubmed/39891148" TargetMode="External" /><Relationship Type="http://schemas.openxmlformats.org/officeDocument/2006/relationships/hyperlink" Id="rId209" Target="https://www.ncbi.nlm.nih.gov/pubmed/39984362" TargetMode="External" /><Relationship Type="http://schemas.openxmlformats.org/officeDocument/2006/relationships/hyperlink" Id="rId153" Target="https://www.ncbi.nlm.nih.gov/pubmed/40528415" TargetMode="External" /><Relationship Type="http://schemas.openxmlformats.org/officeDocument/2006/relationships/hyperlink" Id="rId113" Target="https://www.ncbi.nlm.nih.gov/pubmed/9541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2026-03-19T01:10:45Z</dcterms:created>
  <dcterms:modified xsi:type="dcterms:W3CDTF">2026-03-19T01:10:45Z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