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svg" ContentType="image/svg+xml"/>
  <Override PartName="/word/media/rId54.svg" ContentType="image/svg+xml"/>
  <Override PartName="/word/media/rId66.svg" ContentType="image/svg+xml"/>
  <Override PartName="/word/media/rId49.svg" ContentType="image/svg+xml"/>
  <Override PartName="/word/media/rId26.svg" ContentType="image/svg+xml"/>
  <Override PartName="/word/media/rId7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48" w:name="X2c90d216df5bcb002f0211f2a5c646f25f66ac3"/>
    <w:p>
      <w:pPr>
        <w:pStyle w:val="Heading1"/>
      </w:pPr>
      <w:r>
        <w:t xml:space="preserve">AI-generated versus human supervisor feedback on medical students’ clinical clerkship logs: cross-sectional convergent mixed methods study</w:t>
      </w:r>
    </w:p>
    <w:p>
      <w:pPr>
        <w:pStyle w:val="FirstParagraph"/>
      </w:pPr>
      <w:r>
        <w:t xml:space="preserve">Takeshi Kondo ,MD, MHPE, PhD; Jeroen Donkers, PhD; Hiroshi Nishigori, MD, MMEd, PhD; Sanne Rovers, PhD; Sylvia Heeneman, PhD</w:t>
      </w:r>
    </w:p>
    <w:p>
      <w:pPr>
        <w:pStyle w:val="BodyText"/>
      </w:pPr>
      <w:r>
        <w:t xml:space="preserve">Corresponding author:</w:t>
      </w:r>
      <w:r>
        <w:t xml:space="preserve"> </w:t>
      </w:r>
      <w:r>
        <w:t xml:space="preserve">Takeshi Kondo, MD, MHPE, PhD</w:t>
      </w:r>
      <w:r>
        <w:t xml:space="preserve"> </w:t>
      </w:r>
      <w:r>
        <w:t xml:space="preserve">Department of General Medicine/Family &amp; Community Medicine, Nagoya University Graduate School of Medicine, Nagoya, Japan</w:t>
      </w:r>
      <w:r>
        <w:t xml:space="preserve"> </w:t>
      </w:r>
      <w:r>
        <w:t xml:space="preserve">65, Tsurumai-cho, Showa-ku,</w:t>
      </w:r>
      <w:r>
        <w:t xml:space="preserve"> </w:t>
      </w:r>
      <w:r>
        <w:t xml:space="preserve">Nagoya-city, Aichi,</w:t>
      </w:r>
      <w:r>
        <w:t xml:space="preserve"> </w:t>
      </w:r>
      <w:r>
        <w:t xml:space="preserve"> </w:t>
      </w:r>
      <w:r>
        <w:t xml:space="preserve">Japan</w:t>
      </w:r>
      <w:r>
        <w:t xml:space="preserve"> </w:t>
      </w:r>
      <w:r>
        <w:t xml:space="preserve"> </w:t>
      </w:r>
      <w:r>
        <w:t xml:space="preserve">E-mail: ncukondo@gmail.com;</w:t>
      </w:r>
      <w:r>
        <w:t xml:space="preserve"> </w:t>
      </w:r>
      <w:r>
        <w:t xml:space="preserve"> </w:t>
      </w:r>
      <w:r>
        <w:t xml:space="preserve">Tel: +81-52-741-2111</w:t>
      </w:r>
      <w:r>
        <w:t xml:space="preserve"> </w:t>
      </w:r>
      <w:r>
        <w:t xml:space="preserve">Fax: +81-52-741-2111</w:t>
      </w:r>
      <w:r>
        <w:t xml:space="preserve"> </w:t>
      </w:r>
      <w:r>
        <w:t xml:space="preserve">ORCID ID: https://orcid.org/0000-0002-3307-671X</w:t>
      </w:r>
    </w:p>
    <w:bookmarkStart w:id="21" w:name="abstract"/>
    <w:p>
      <w:pPr>
        <w:pStyle w:val="Heading2"/>
      </w:pPr>
      <w:r>
        <w:t xml:space="preserve">Abstract</w:t>
      </w:r>
    </w:p>
    <w:p>
      <w:pPr>
        <w:pStyle w:val="FirstParagraph"/>
      </w:pPr>
      <w:r>
        <w:rPr>
          <w:b/>
          <w:bCs/>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
          <w:bCs/>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
          <w:bCs/>
        </w:rPr>
        <w:t xml:space="preserve">Methods:</w:t>
      </w:r>
      <w:r>
        <w:t xml:space="preserve"> </w:t>
      </w:r>
      <w:r>
        <w:t xml:space="preserve">This cross-sectional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mixed-effects models; α = .05 with Bonferroni correction) were complemented by qualitative thematic analysis and integrated using Joint Display Analysis.</w:t>
      </w:r>
    </w:p>
    <w:p>
      <w:pPr>
        <w:pStyle w:val="BodyText"/>
      </w:pPr>
      <w:r>
        <w:rPr>
          <w:b/>
          <w:bCs/>
        </w:rPr>
        <w:t xml:space="preserve">Results:</w:t>
      </w:r>
      <w:r>
        <w:t xml:space="preserve"> </w:t>
      </w:r>
      <w:r>
        <w:t xml:space="preserve">AI feedback was significantly longer than supervisor feedback (mean 382 vs 98 characters; Cohen</w:t>
      </w:r>
      <w:r>
        <w:t xml:space="preserve"> </w:t>
      </w:r>
      <w:r>
        <w:rPr>
          <w:i/>
          <w:iCs/>
        </w:rPr>
        <w:t xml:space="preserve">d</w:t>
      </w:r>
      <w:r>
        <w:t xml:space="preserve">=2.84, 95% CI 2.50–3.19;</w:t>
      </w:r>
      <w:r>
        <w:t xml:space="preserve"> </w:t>
      </w:r>
      <w:r>
        <w:rPr>
          <w:i/>
          <w:iCs/>
        </w:rPr>
        <w:t xml:space="preserve">P</w:t>
      </w:r>
      <w:r>
        <w:t xml:space="preserve">&lt;.001). Cumulative link mixed-effects models showed AI scored higher on criteria-based (OR 11.81, 95% CI 7.64–18.27;</w:t>
      </w:r>
      <w:r>
        <w:t xml:space="preserve"> </w:t>
      </w:r>
      <w:r>
        <w:rPr>
          <w:i/>
          <w:iCs/>
        </w:rPr>
        <w:t xml:space="preserve">P</w:t>
      </w:r>
      <w:r>
        <w:t xml:space="preserve">&lt;.001) and clear direction (OR 6.61, 95% CI 4.35–10.06;</w:t>
      </w:r>
      <w:r>
        <w:t xml:space="preserve"> </w:t>
      </w:r>
      <w:r>
        <w:rPr>
          <w:i/>
          <w:iCs/>
        </w:rPr>
        <w:t xml:space="preserve">P</w:t>
      </w:r>
      <w:r>
        <w:t xml:space="preserve">&lt;.001), with no significant differences on accuracy (OR 1.35, 95% CI 0.91–2.00;</w:t>
      </w:r>
      <w:r>
        <w:t xml:space="preserve"> </w:t>
      </w:r>
      <w:r>
        <w:rPr>
          <w:i/>
          <w:iCs/>
        </w:rPr>
        <w:t xml:space="preserve">P</w:t>
      </w:r>
      <w:r>
        <w:t xml:space="preserve">&gt;.99), prioritization (OR 1.70, 95% CI 1.16–2.50;</w:t>
      </w:r>
      <w:r>
        <w:t xml:space="preserve"> </w:t>
      </w:r>
      <w:r>
        <w:rPr>
          <w:i/>
          <w:iCs/>
        </w:rPr>
        <w:t xml:space="preserve">P</w:t>
      </w:r>
      <w:r>
        <w:t xml:space="preserve">=.098), or supportive tone (OR 1.34, 95% CI 0.87–2.06;</w:t>
      </w:r>
      <w:r>
        <w:t xml:space="preserve"> </w:t>
      </w:r>
      <w:r>
        <w:rPr>
          <w:i/>
          <w:iCs/>
        </w:rPr>
        <w:t xml:space="preserve">P</w:t>
      </w:r>
      <w:r>
        <w:t xml:space="preserve">&gt;.99). AI feedback showed greater consistency (variance ratio 3.9:1; Levene</w:t>
      </w:r>
      <w:r>
        <w:t xml:space="preserve"> </w:t>
      </w:r>
      <w:r>
        <w:rPr>
          <w:i/>
          <w:iCs/>
        </w:rPr>
        <w:t xml:space="preserve">F</w:t>
      </w:r>
      <w:r>
        <w:t xml:space="preserve">(1,320)=73.20,</w:t>
      </w:r>
      <w:r>
        <w:t xml:space="preserve"> </w:t>
      </w:r>
      <w:r>
        <w:rPr>
          <w:i/>
          <w:iCs/>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
          <w:bCs/>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7"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joined the medical team, examined patients, formulated assessments and plans, and documented these in the electronic medical record. Because access to electronic medical records was rigidly restricted, students also recorded their daily activities, learning points, and future tasks in an e-portfolio system separate from the medical record. These clinical clerkship logs in the e-portfolio were used solely for educational purposes, and students were instructed not to include any patient-identifying information. Each daily log entry consisted entirely of free-text fields in which students described what they did during the clerkship, the cases they experienced, what they learned, and what they planned to do next; no Likert scales or structured questions were included, and no upper or lower character limits were imposed. Students entered their logs via smartphone. The e-portfolio automatically compiled the daily entries in the clerkship log into weekly records and sent them to the supervising physicians, who then provided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cross-sectional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using Joint Display Analysis</w:t>
      </w:r>
      <w:r>
        <w:t xml:space="preserve"> </w:t>
      </w:r>
      <w:r>
        <w:t xml:space="preserve">[39,40]</w:t>
      </w:r>
      <w:r>
        <w:t xml:space="preserve">, in which each quantitative finding was placed alongside its corresponding qualitative theme in a structured display, and meta-inferences about how the two sources complement or diverge from each other were drawn. The detailed integration procedure is described later in the Integration of Results subsection.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“AI feedback”</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[41]</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[41]</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[18,42]</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[43]</w:t>
      </w:r>
      <w:r>
        <w:t xml:space="preserve">. Each student log was processed as an independent API call with no shared context between calls, ensuring that feedback for one log could not be influenced by any other log. No maximum token limit (max_tokens parameter) was set at the API level.</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 Because this rubric emphasizes structural dimensions of feedback quality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[44]</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
          <w:iCs/>
        </w:rPr>
        <w:t xml:space="preserve">d</w:t>
      </w:r>
      <w:r>
        <w:t xml:space="preserve">, which were used to calculate the sample size. In this study, considering the comparison between AI and supervisor feedback, the sample size was calculated based on Cohen</w:t>
      </w:r>
      <w:r>
        <w:t xml:space="preserve"> </w:t>
      </w:r>
      <w:r>
        <w:rPr>
          <w:i/>
          <w:iCs/>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[45,46]</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[47]</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[48]</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mixed-effects models.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4"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[49]</w:t>
      </w:r>
      <w:r>
        <w:t xml:space="preserve">. Thematic analysis consists of the following steps: (1) Familiarize with the data, (2) Generate initial codes, (3) Search for themes, (4) Review themes, (5) Define and name themes, and (6) Produce the report</w:t>
      </w:r>
      <w:r>
        <w:t xml:space="preserve"> </w:t>
      </w:r>
      <w:r>
        <w:t xml:space="preserve">[49]</w:t>
      </w:r>
      <w:r>
        <w:t xml:space="preserve">. Codes were generated inductively from the evaluators’ free-text comments rather than being mapped onto a predefined coding framework. Steps 1 and 2 were conducted by two individuals, TK and HN. TK created the initial codes, while HN reviewed and refined them. Coding meetings between TK and HN were held in person, and theme-development meetings with SH, SR, and JD (steps 3 onward) were conducted via video conference. When coding or theme-level disagreements arose, the analysts returned to the original data (Japanese excerpts at the initial coding stage; English-translated codes during theme development), examined alternative interpretations, and continued discussion until consensus was reached before advancing to the next step. Steps 1 and 2 were conducted in Japanese, while steps 3 to 6 were conducted in English. From step 3 onwards, the codes were translated into English, and SH, SR, and JD also participated. This allowed for a more multifaceted analysis. Codes and themes were organized in Google Sheets and Microsoft Excel; R 4.4.2</w:t>
      </w:r>
      <w:r>
        <w:t xml:space="preserve"> </w:t>
      </w:r>
      <w:r>
        <w:t xml:space="preserve">[47]</w:t>
      </w:r>
      <w:r>
        <w:t xml:space="preserve"> </w:t>
      </w:r>
      <w:r>
        <w:t xml:space="preserve">(the same version used for the quantitative analyses) was used for tabulating the code list and computing simple frequency summaries. No dedicated computer-assisted qualitative data analysis software (CAQDAS) was used. The backgrounds of TK, HN, SH, SR, and JD are described below.</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 The research team had no direct supervisory or assessment-related authority over the evaluators who provided the qualitative data; evaluators were recruited independently (see Sampling Procedures) and participated on an opt-in voluntary basis.</w:t>
      </w:r>
    </w:p>
    <w:bookmarkEnd w:id="42"/>
    <w:bookmarkStart w:id="43" w:name="methodological-integrity"/>
    <w:p>
      <w:pPr>
        <w:pStyle w:val="Heading4"/>
      </w:pPr>
      <w:r>
        <w:t xml:space="preserve">Methodological Integrity</w:t>
      </w:r>
    </w:p>
    <w:p>
      <w:pPr>
        <w:pStyle w:val="FirstParagraph"/>
      </w:pPr>
      <w:r>
        <w:t xml:space="preserve">Methodological integrity was pursued along the two dimensions articulated in the APA Journal Article Reporting Standards for Qualitative Research</w:t>
      </w:r>
      <w:r>
        <w:t xml:space="preserve"> </w:t>
      </w:r>
      <w:r>
        <w:t xml:space="preserve">[50]</w:t>
      </w:r>
      <w:r>
        <w:t xml:space="preserve">: fidelity to the subject matter and utility in achieving the research goals. With respect to data adequacy, the analytic corpus comprised the complete set of open-ended comments from all 20 evaluators (10 faculty and 10 students) across 161 datasets spanning 12 clinical departments; because this full-corpus approach precluded iterative sampling to saturation in the conventional sense, we treated the breadth of the evaluator pool (two assessor types and multiple specialties) as the operational criterion for sufficiency. Themes are illustrated in the Results section with verbatim excerpts to maintain groundedness.</w:t>
      </w:r>
    </w:p>
    <w:p>
      <w:pPr>
        <w:pStyle w:val="BodyText"/>
      </w:pPr>
      <w:r>
        <w:t xml:space="preserve">Credibility was supported by several analytic checks. Initial coding (steps 1 and 2) was double-coded by TK and HN, with discussion to agreement. Theme development (steps 3 to 6) was opened to three additional analysts (SH, SR, JD) with distinct disciplinary perspectives, functioning as analyst triangulation across clinical practice, medical education, programmatic assessment, self-regulated learning, and statistics and AI. The bilingual workflow (Japanese for initial coding, English for theme development) further served as a translational check on interpretive fidelity. All analytic discussions were recorded, providing an audit trail. Themes were iteratively examined for within-theme disconfirming instances, and cases contradicting the dominant pattern (for example, brief supervisor feedback that was nonetheless judged effective, or AI feedback judged overly prescriptive) were retained in the theme descriptions rather than treated as outliers.</w:t>
      </w:r>
    </w:p>
    <w:p>
      <w:pPr>
        <w:pStyle w:val="BodyText"/>
      </w:pPr>
      <w:r>
        <w:t xml:space="preserve">Member checking was not conducted because evaluators participated as unpaid volunteers, including sixth-year students approaching the national licensing examination and clinically active faculty, for whom additional engagement would have been incompatible with our commitment to minimize participant burden (see Ethical Considerations). Credibility was instead supported by the multi-analyst procedures described above. Meaningful coherence between findings and interpretation was pursued through Joint Display Analysis, in which each quantitative result was aligned with its corresponding qualitative theme (see Integration of Results). To support transferability, the Setting subsection provides detailed contextual information about the Japanese undergraduate clinical clerkship environment so readers can judge applicability to other educational contexts.</w:t>
      </w:r>
    </w:p>
    <w:bookmarkEnd w:id="43"/>
    <w:bookmarkEnd w:id="44"/>
    <w:bookmarkStart w:id="45"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“joint display”</w:t>
      </w:r>
      <w:r>
        <w:t xml:space="preserve">) to enable explicit integration and the drawing of meta-inferences that would be difficult to see from either strand alone</w:t>
      </w:r>
      <w:r>
        <w:t xml:space="preserve"> </w:t>
      </w:r>
      <w:r>
        <w:t xml:space="preserve">[39,40]</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5"/>
    <w:bookmarkStart w:id="46"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6"/>
    <w:bookmarkEnd w:id="47"/>
    <w:bookmarkStart w:id="96"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8"/>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Because the dataset was complete, we did not perform a missingness test (such as Little’s MCAR test) or apply multiple imputation.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participant-flowchart"/>
          <w:p>
            <w:pPr>
              <w:pStyle w:val="Compact"/>
              <w:jc w:val="center"/>
            </w:pPr>
            <w:r>
              <w:drawing>
                <wp:inline>
                  <wp:extent cx="5334000" cy="4122094"/>
                  <wp:effectExtent b="0" l="0" r="0" t="0"/>
                  <wp:docPr descr="" title="" id="50" name="Picture"/>
                  <a:graphic>
                    <a:graphicData uri="http://schemas.openxmlformats.org/drawingml/2006/picture">
                      <pic:pic>
                        <pic:nvPicPr>
                          <pic:cNvPr descr="../src/assets/JARS_flowchart/jars-quant-participant-flowchart.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2"/>
        </w:tc>
      </w:tr>
    </w:tbl>
    <w:bookmarkStart w:id="77" w:name="quantitative-analysis-1"/>
    <w:p>
      <w:pPr>
        <w:pStyle w:val="Heading3"/>
      </w:pPr>
      <w:r>
        <w:t xml:space="preserve">Quantitative analysis</w:t>
      </w:r>
    </w:p>
    <w:bookmarkStart w:id="53"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
          <w:iCs/>
        </w:rPr>
        <w:t xml:space="preserve">W</w:t>
      </w:r>
      <w:r>
        <w:t xml:space="preserve">=0.992,</w:t>
      </w:r>
      <w:r>
        <w:t xml:space="preserve"> </w:t>
      </w:r>
      <w:r>
        <w:rPr>
          <w:i/>
          <w:iCs/>
        </w:rPr>
        <w:t xml:space="preserve">P</w:t>
      </w:r>
      <w:r>
        <w:t xml:space="preserve">=.550), supporting the use of the paired t-test for that variable. However, all five rubric score differences departed significantly from normality (all</w:t>
      </w:r>
      <w:r>
        <w:t xml:space="preserve"> </w:t>
      </w:r>
      <w:r>
        <w:rPr>
          <w:i/>
          <w:iCs/>
        </w:rPr>
        <w:t xml:space="preserve">W</w:t>
      </w:r>
      <w:r>
        <w:t xml:space="preserve">≤0.939, all</w:t>
      </w:r>
      <w:r>
        <w:t xml:space="preserve"> </w:t>
      </w:r>
      <w:r>
        <w:rPr>
          <w:i/>
          <w:iCs/>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mixed-effects models (see below), which do not assume normality of the outcome distribution.</w:t>
      </w:r>
    </w:p>
    <w:bookmarkEnd w:id="53"/>
    <w:bookmarkStart w:id="58"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
          <w:iCs/>
        </w:rPr>
        <w:t xml:space="preserve">P</w:t>
      </w:r>
      <w:r>
        <w:t xml:space="preserve">&lt;.001; Cohen</w:t>
      </w:r>
      <w:r>
        <w:t xml:space="preserve"> </w:t>
      </w:r>
      <w:r>
        <w:rPr>
          <w:i/>
          <w:iCs/>
        </w:rPr>
        <w:t xml:space="preserve">d</w:t>
      </w:r>
      <w:r>
        <w:t xml:space="preserve">=2.84, 95% CI 2.50–3.19).</w:t>
      </w:r>
    </w:p>
    <w:tbl>
      <w:tblPr>
        <w:tblStyle w:val="Table"/>
        <w:tblW w:type="pct" w:w="5000"/>
        <w:tblLayout w:type="fixed"/>
        <w:tblLook w:firstRow="0" w:lastRow="0" w:firstColumn="0" w:lastColumn="0" w:noHBand="0" w:noVBand="0" w:val="0000"/>
      </w:tblPr>
      <w:tblGrid>
        <w:gridCol w:w="7920"/>
      </w:tblGrid>
      <w:tr>
        <w:tc>
          <w:tcPr/>
          <w:bookmarkStart w:id="57" w:name="fig-length_distribution"/>
          <w:p>
            <w:pPr>
              <w:pStyle w:val="Compact"/>
              <w:jc w:val="center"/>
            </w:pPr>
            <w:r>
              <w:drawing>
                <wp:inline>
                  <wp:extent cx="5334000" cy="3200400"/>
                  <wp:effectExtent b="0" l="0" r="0" t="0"/>
                  <wp:docPr descr="" title="" id="55" name="Picture"/>
                  <a:graphic>
                    <a:graphicData uri="http://schemas.openxmlformats.org/drawingml/2006/picture">
                      <pic:pic>
                        <pic:nvPicPr>
                          <pic:cNvPr descr="../result/quantitative/fig_length_distribution.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7"/>
        </w:tc>
      </w:tr>
    </w:tbl>
    <w:bookmarkEnd w:id="58"/>
    <w:bookmarkStart w:id="65"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“supportive”</w:t>
      </w:r>
      <w:r>
        <w:t xml:space="preserve"> </w:t>
      </w:r>
      <w:r>
        <w:t xml:space="preserve">item.</w:t>
      </w:r>
    </w:p>
    <w:tbl>
      <w:tblPr>
        <w:tblStyle w:val="Table"/>
        <w:tblW w:type="pct" w:w="5000"/>
        <w:tblLayout w:type="fixed"/>
        <w:tblLook w:firstRow="0" w:lastRow="0" w:firstColumn="0" w:lastColumn="0" w:noHBand="0" w:noVBand="0" w:val="0000"/>
      </w:tblPr>
      <w:tblGrid>
        <w:gridCol w:w="7920"/>
      </w:tblGrid>
      <w:tr>
        <w:tc>
          <w:tcPr/>
          <w:bookmarkStart w:id="62" w:name="fig-diff-ai-vs-supervisor"/>
          <w:p>
            <w:pPr>
              <w:pStyle w:val="Compact"/>
              <w:jc w:val="center"/>
            </w:pPr>
            <w:r>
              <w:drawing>
                <wp:inline>
                  <wp:extent cx="5334000" cy="3200400"/>
                  <wp:effectExtent b="0" l="0" r="0" t="0"/>
                  <wp:docPr descr="" title="" id="60" name="Picture"/>
                  <a:graphic>
                    <a:graphicData uri="http://schemas.openxmlformats.org/drawingml/2006/picture">
                      <pic:pic>
                        <pic:nvPicPr>
                          <pic:cNvPr descr="../result/quantitative/fig_diff_ai_vs_supervisor.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2"/>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
          <w:iCs/>
        </w:rPr>
        <w:t xml:space="preserve">P</w:t>
      </w:r>
      <w:r>
        <w:t xml:space="preserve">&lt;.001), clear direction (corrected</w:t>
      </w:r>
      <w:r>
        <w:t xml:space="preserve"> </w:t>
      </w:r>
      <w:r>
        <w:rPr>
          <w:i/>
          <w:iCs/>
        </w:rPr>
        <w:t xml:space="preserve">P</w:t>
      </w:r>
      <w:r>
        <w:t xml:space="preserve">&lt;.001), prioritization (corrected</w:t>
      </w:r>
      <w:r>
        <w:t xml:space="preserve"> </w:t>
      </w:r>
      <w:r>
        <w:rPr>
          <w:i/>
          <w:iCs/>
        </w:rPr>
        <w:t xml:space="preserve">P</w:t>
      </w:r>
      <w:r>
        <w:t xml:space="preserve">&lt;.001), accurate (corrected</w:t>
      </w:r>
      <w:r>
        <w:t xml:space="preserve"> </w:t>
      </w:r>
      <w:r>
        <w:rPr>
          <w:i/>
          <w:iCs/>
        </w:rPr>
        <w:t xml:space="preserve">P</w:t>
      </w:r>
      <w:r>
        <w:t xml:space="preserve">&lt;.001), and supportive (corrected</w:t>
      </w:r>
      <w:r>
        <w:t xml:space="preserve"> </w:t>
      </w:r>
      <w:r>
        <w:rPr>
          <w:i/>
          <w:iCs/>
        </w:rPr>
        <w:t xml:space="preserve">P</w:t>
      </w:r>
      <w:r>
        <w:t xml:space="preserve">=.011). Details are shown in</w:t>
      </w:r>
      <w:r>
        <w:t xml:space="preserve"> </w:t>
      </w:r>
      <w:hyperlink w:anchor="tbl-paired_ttest_results">
        <w:r>
          <w:rPr>
            <w:rStyle w:val="Hyperlink"/>
          </w:rPr>
          <w:t xml:space="preserve">Table 2</w:t>
        </w:r>
      </w:hyperlink>
      <w:r>
        <w:t xml:space="preserve">; mean differences and uncorrected</w:t>
      </w:r>
      <w:r>
        <w:t xml:space="preserve"> </w:t>
      </w:r>
      <w:r>
        <w:rPr>
          <w:i/>
          <w:iCs/>
        </w:rPr>
        <w:t xml:space="preserve">P</w:t>
      </w:r>
      <w:r>
        <w:t xml:space="preserve"> </w:t>
      </w:r>
      <w:r>
        <w:t xml:space="preserve">values are provided in Multimedia Appendix 4.</w:t>
      </w:r>
    </w:p>
    <w:tbl>
      <w:tblPr>
        <w:tblStyle w:val="Table"/>
        <w:tblW w:type="pct" w:w="5000"/>
        <w:tblLayout w:type="fixed"/>
        <w:tblLook w:firstRow="0" w:lastRow="0" w:firstColumn="0" w:lastColumn="0" w:noHBand="0" w:noVBand="0" w:val="0000"/>
      </w:tblPr>
      <w:tblGrid>
        <w:gridCol w:w="7920"/>
      </w:tblGrid>
      <w:tr>
        <w:tc>
          <w:tcPr/>
          <w:bookmarkStart w:id="63"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 Mean differences and uncorrected P values are reported in Multimedia Appendix 4.</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3"/>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“Provider: AI”</w:t>
      </w:r>
      <w:r>
        <w:t xml:space="preserve"> </w:t>
      </w:r>
      <w:r>
        <w:t xml:space="preserve">indicates that the larger the OR above 1, the more likely AI is to receive higher scores compared to supervisors.</w:t>
      </w:r>
      <w:r>
        <w:t xml:space="preserve"> </w:t>
      </w:r>
      <w:r>
        <w:t xml:space="preserve">“Assessor type: student”</w:t>
      </w:r>
      <w:r>
        <w:t xml:space="preserve"> </w:t>
      </w:r>
      <w:r>
        <w:t xml:space="preserve">indicates that the larger the OR above 1, the more likely students are to give higher scores compared to faculty.</w:t>
      </w:r>
      <w:r>
        <w:t xml:space="preserve"> </w:t>
      </w:r>
      <w:r>
        <w:t xml:space="preserve">“Interaction: supervisor × student”</w:t>
      </w:r>
      <w:r>
        <w:t xml:space="preserve"> </w:t>
      </w:r>
      <w:r>
        <w:t xml:space="preserve">indicates that the larger the OR above 1, the greater the difference in scores between AI and supervisors among students compared to faculty.</w:t>
      </w:r>
      <w:r>
        <w:t xml:space="preserve"> </w:t>
      </w:r>
      <w:r>
        <w:rPr>
          <w:i/>
          <w:iCs/>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
          <w:iCs/>
        </w:rPr>
        <w:t xml:space="preserve">P</w:t>
      </w:r>
      <w:r>
        <w:t xml:space="preserve">&lt;.001; OR=6.61 [95% CI: 4.35–10.06],</w:t>
      </w:r>
      <w:r>
        <w:t xml:space="preserve"> </w:t>
      </w:r>
      <w:r>
        <w:rPr>
          <w:i/>
          <w:iCs/>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
          <w:iCs/>
        </w:rPr>
        <w:t xml:space="preserve">P</w:t>
      </w:r>
      <w:r>
        <w:t xml:space="preserve">&gt;.99; OR=1.70 [95% CI: 1.16–2.50],</w:t>
      </w:r>
      <w:r>
        <w:t xml:space="preserve"> </w:t>
      </w:r>
      <w:r>
        <w:rPr>
          <w:i/>
          <w:iCs/>
        </w:rPr>
        <w:t xml:space="preserve">P</w:t>
      </w:r>
      <w:r>
        <w:t xml:space="preserve">=.098; OR=1.34 [95% CI: 0.87–2.06],</w:t>
      </w:r>
      <w:r>
        <w:t xml:space="preserve"> </w:t>
      </w:r>
      <w:r>
        <w:rPr>
          <w:i/>
          <w:iCs/>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ayout w:type="fixed"/>
        <w:tblLook w:firstRow="0" w:lastRow="0" w:firstColumn="0" w:lastColumn="0" w:noHBand="0" w:noVBand="0" w:val="0000"/>
      </w:tblPr>
      <w:tblGrid>
        <w:gridCol w:w="7920"/>
      </w:tblGrid>
      <w:tr>
        <w:tc>
          <w:tcPr/>
          <w:bookmarkStart w:id="64" w:name="tbl-ordinal-regression-clmm"/>
          <w:p>
            <w:pPr>
              <w:jc w:val="start"/>
              <w:spacing w:before="200"/>
              <w:pStyle w:val="ImageCaption"/>
            </w:pPr>
            <w:r>
              <w:t xml:space="preserve">Table 3: Cumulative Link Mixed-Effects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4"/>
        </w:tc>
      </w:tr>
    </w:tbl>
    <w:p>
      <w:pPr>
        <w:pStyle w:val="BodyText"/>
      </w:pPr>
      <w:r>
        <w:t xml:space="preserve">These rubric-based findings should be interpreted in light of the asymmetric design described in the Methods: the rubric criteria were explicitly embedded in the AI prompt but not given to supervisors. The observed score differences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5"/>
    <w:bookmarkStart w:id="70" w:name="consistency-of-rubric-scores"/>
    <w:p>
      <w:pPr>
        <w:pStyle w:val="Heading4"/>
      </w:pPr>
      <w:r>
        <w:t xml:space="preserve">Consistency of Rubric Scores</w:t>
      </w:r>
    </w:p>
    <w:p>
      <w:pPr>
        <w:pStyle w:val="FirstParagraph"/>
      </w:pPr>
      <w:r>
        <w:t xml:space="preserve">To compare the consistency of rubric scores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rubric scores.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
          <w:iCs/>
        </w:rPr>
        <w:t xml:space="preserve">F</w:t>
      </w:r>
      <w:r>
        <w:t xml:space="preserve">(1, 320)=73.203,</w:t>
      </w:r>
      <w:r>
        <w:t xml:space="preserve"> </w:t>
      </w:r>
      <w:r>
        <w:rPr>
          <w:i/>
          <w:iCs/>
        </w:rPr>
        <w:t xml:space="preserve">P</w:t>
      </w:r>
      <w:r>
        <w:t xml:space="preserve">&lt;.001;</w:t>
      </w:r>
      <w:r>
        <w:t xml:space="preserve"> </w:t>
      </w:r>
      <w:r>
        <w:rPr>
          <w:i/>
          <w:iCs/>
        </w:rPr>
        <w:t xml:space="preserve">F</w:t>
      </w:r>
      <w:r>
        <w:t xml:space="preserve">-test:</w:t>
      </w:r>
      <w:r>
        <w:t xml:space="preserve"> </w:t>
      </w:r>
      <w:r>
        <w:rPr>
          <w:i/>
          <w:iCs/>
        </w:rPr>
        <w:t xml:space="preserve">F</w:t>
      </w:r>
      <w:r>
        <w:t xml:space="preserve">(160, 160)=0.259,</w:t>
      </w:r>
      <w:r>
        <w:t xml:space="preserve"> </w:t>
      </w:r>
      <w:r>
        <w:rPr>
          <w:i/>
          <w:iCs/>
        </w:rPr>
        <w:t xml:space="preserve">P</w:t>
      </w:r>
      <w:r>
        <w:t xml:space="preserve">&lt;.001). The supervisor variance was about 3.9 times that of AI, suggesting that AI feedback received more consistent rubric scores, whereas supervisor feedback received more variable ones.</w:t>
      </w:r>
    </w:p>
    <w:tbl>
      <w:tblPr>
        <w:tblStyle w:val="Table"/>
        <w:tblW w:type="pct" w:w="5000"/>
        <w:tblLayout w:type="fixed"/>
        <w:tblLook w:firstRow="0" w:lastRow="0" w:firstColumn="0" w:lastColumn="0" w:noHBand="0" w:noVBand="0" w:val="0000"/>
      </w:tblPr>
      <w:tblGrid>
        <w:gridCol w:w="7920"/>
      </w:tblGrid>
      <w:tr>
        <w:tc>
          <w:tcPr/>
          <w:bookmarkStart w:id="69" w:name="fig-mean-score-per-record"/>
          <w:p>
            <w:pPr>
              <w:pStyle w:val="Compact"/>
              <w:jc w:val="center"/>
            </w:pPr>
            <w:r>
              <w:drawing>
                <wp:inline>
                  <wp:extent cx="5334000" cy="3200400"/>
                  <wp:effectExtent b="0" l="0" r="0" t="0"/>
                  <wp:docPr descr="" title="" id="67" name="Picture"/>
                  <a:graphic>
                    <a:graphicData uri="http://schemas.openxmlformats.org/drawingml/2006/picture">
                      <pic:pic>
                        <pic:nvPicPr>
                          <pic:cNvPr descr="../result/quantitative/fig_mean_score_per_record.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9"/>
        </w:tc>
      </w:tr>
    </w:tbl>
    <w:bookmarkEnd w:id="70"/>
    <w:bookmarkStart w:id="72"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
          <w:iCs/>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ayout w:type="fixed"/>
        <w:tblLook w:firstRow="0" w:lastRow="0" w:firstColumn="0" w:lastColumn="0" w:noHBand="0" w:noVBand="0" w:val="0000"/>
      </w:tblPr>
      <w:tblGrid>
        <w:gridCol w:w="7920"/>
      </w:tblGrid>
      <w:tr>
        <w:tc>
          <w:tcPr/>
          <w:bookmarkStart w:id="71"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w:t>
                  </w:r>
                  <w:r>
                    <w:rPr>
                      <w:rFonts w:ascii="DejaVu Sans" w:hAnsi="DejaVu Sans" w:eastAsia="DejaVu Sans" w:cs="DejaVu Sans"/>
                      <w:b w:val="true"/>
                      <w:sz w:val="18"/>
                      <w:szCs w:val="18"/>
                      <w:color w:val="000000"/>
                    </w:rPr>
                    <w:br/>
                  </w:r>
                  <w:r>
                    <w:rPr>
                      <w:rFonts w:ascii="DejaVu Sans" w:hAnsi="DejaVu Sans" w:eastAsia="DejaVu Sans" w:cs="DejaVu Sans"/>
                      <w:b w:val="true"/>
                      <w:sz w:val="18"/>
                      <w:szCs w:val="18"/>
                      <w:color w:val="000000"/>
                    </w:rPr>
                    <w:t xml:space="preserve">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1"/>
        </w:tc>
      </w:tr>
    </w:tbl>
    <w:bookmarkEnd w:id="72"/>
    <w:bookmarkStart w:id="73"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
          <w:iCs/>
        </w:rPr>
        <w:t xml:space="preserve">P</w:t>
      </w:r>
      <w:r>
        <w:t xml:space="preserve">&gt;.05), indicating that variation in student log length did not systematically influence rubric scores for either feedback type.</w:t>
      </w:r>
    </w:p>
    <w:bookmarkEnd w:id="73"/>
    <w:bookmarkStart w:id="75"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
          <w:iCs/>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ayout w:type="fixed"/>
        <w:tblLook w:firstRow="0" w:lastRow="0" w:firstColumn="0" w:lastColumn="0" w:noHBand="0" w:noVBand="0" w:val="0000"/>
      </w:tblPr>
      <w:tblGrid>
        <w:gridCol w:w="7920"/>
      </w:tblGrid>
      <w:tr>
        <w:tc>
          <w:tcPr/>
          <w:bookmarkStart w:id="74"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440"/>
              <w:gridCol w:w="1152"/>
              <w:gridCol w:w="576"/>
              <w:gridCol w:w="1008"/>
              <w:gridCol w:w="1008"/>
              <w:gridCol w:w="864"/>
              <w:gridCol w:w="1440"/>
              <w:gridCol w:w="86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4"/>
        </w:tc>
      </w:tr>
    </w:tbl>
    <w:bookmarkEnd w:id="75"/>
    <w:bookmarkStart w:id="76"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6"/>
    <w:bookmarkEnd w:id="77"/>
    <w:bookmarkStart w:id="87"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Following the thematic-map guidance of</w:t>
      </w:r>
      <w:r>
        <w:t xml:space="preserve"> </w:t>
      </w:r>
      <w:r>
        <w:t xml:space="preserve">[51]</w:t>
      </w:r>
      <w:r>
        <w:t xml:space="preserve">, the thematic map in</w:t>
      </w:r>
      <w:r>
        <w:t xml:space="preserve"> </w:t>
      </w:r>
      <w:hyperlink w:anchor="fig-thematic_map">
        <w:r>
          <w:rPr>
            <w:rStyle w:val="Hyperlink"/>
          </w:rPr>
          <w:t xml:space="preserve">Figure 6</w:t>
        </w:r>
      </w:hyperlink>
      <w:r>
        <w:t xml:space="preserve"> </w:t>
      </w:r>
      <w:r>
        <w:t xml:space="preserve">visualizes the research question, the five themes, and their sub-themes arranged by feedback provider.</w:t>
      </w:r>
    </w:p>
    <w:tbl>
      <w:tblPr>
        <w:tblStyle w:val="Table"/>
        <w:tblW w:type="pct" w:w="5000"/>
        <w:tblLayout w:type="fixed"/>
        <w:tblLook w:firstRow="0" w:lastRow="0" w:firstColumn="0" w:lastColumn="0" w:noHBand="0" w:noVBand="0" w:val="0000"/>
      </w:tblPr>
      <w:tblGrid>
        <w:gridCol w:w="7920"/>
      </w:tblGrid>
      <w:tr>
        <w:tc>
          <w:tcPr/>
          <w:bookmarkStart w:id="81" w:name="fig-thematic_map"/>
          <w:p>
            <w:pPr>
              <w:pStyle w:val="Compact"/>
              <w:jc w:val="center"/>
            </w:pPr>
            <w:r>
              <w:drawing>
                <wp:inline>
                  <wp:extent cx="5334000" cy="4534166"/>
                  <wp:effectExtent b="0" l="0" r="0" t="0"/>
                  <wp:docPr descr="" title="" id="79" name="Picture"/>
                  <a:graphic>
                    <a:graphicData uri="http://schemas.openxmlformats.org/drawingml/2006/picture">
                      <pic:pic>
                        <pic:nvPicPr>
                          <pic:cNvPr descr="../src/assets/thematic_map/thematic_map.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4534166"/>
                          </a:xfrm>
                          <a:prstGeom prst="rect">
                            <a:avLst/>
                          </a:prstGeom>
                          <a:noFill/>
                          <a:ln w="9525">
                            <a:noFill/>
                            <a:headEnd/>
                            <a:tailEnd/>
                          </a:ln>
                        </pic:spPr>
                      </pic:pic>
                    </a:graphicData>
                  </a:graphic>
                </wp:inline>
              </w:drawing>
            </w:r>
          </w:p>
          <w:p>
            <w:pPr>
              <w:jc w:val="start"/>
              <w:spacing w:before="200"/>
              <w:pStyle w:val="ImageCaption"/>
            </w:pPr>
            <w:r>
              <w:t xml:space="preserve">Figure 6: Thematic map of differences between AI-generated and supervisor feedback on medical students’ clinical clerkship logs. The research question is presented at the top, the two feedback modes are shown as contrasting poles, and each of the five themes is displayed with its AI and supervisor sub-themes arranged on the left and right, respectively. Convergent mixed-methods study, 161 clinical clerkship logs, Nagoya University, Japan, 2024.</w:t>
            </w:r>
          </w:p>
          <w:bookmarkEnd w:id="81"/>
        </w:tc>
      </w:tr>
    </w:tbl>
    <w:p>
      <w:pPr>
        <w:pStyle w:val="BodyText"/>
      </w:pPr>
      <w:r>
        <w:t xml:space="preserve">Five themes were identified as differences between AI and supervisor feedback:</w:t>
      </w:r>
      <w:r>
        <w:t xml:space="preserve"> </w:t>
      </w:r>
      <w:r>
        <w:t xml:space="preserve">“Adherence to the feedback criteria and structure”</w:t>
      </w:r>
      <w:r>
        <w:t xml:space="preserve">,</w:t>
      </w:r>
      <w:r>
        <w:t xml:space="preserve"> </w:t>
      </w:r>
      <w:r>
        <w:t xml:space="preserve">“Continuity and consistency”</w:t>
      </w:r>
      <w:r>
        <w:t xml:space="preserve">,</w:t>
      </w:r>
      <w:r>
        <w:t xml:space="preserve"> </w:t>
      </w:r>
      <w:r>
        <w:t xml:space="preserve">“Perspective as a clinician”</w:t>
      </w:r>
      <w:r>
        <w:t xml:space="preserve">,</w:t>
      </w:r>
      <w:r>
        <w:t xml:space="preserve"> </w:t>
      </w:r>
      <w:r>
        <w:t xml:space="preserve">“Quality of the Japanese language”</w:t>
      </w:r>
      <w:r>
        <w:t xml:space="preserve">, and</w:t>
      </w:r>
      <w:r>
        <w:t xml:space="preserve"> </w:t>
      </w:r>
      <w:r>
        <w:t xml:space="preserve">“Text length”</w:t>
      </w:r>
      <w:r>
        <w:t xml:space="preserve">. Below we describe the details of these themes. Citations consist of IDs with three parts. When the first part is</w:t>
      </w:r>
      <w:r>
        <w:t xml:space="preserve"> </w:t>
      </w:r>
      <w:r>
        <w:t xml:space="preserve">“AI_”</w:t>
      </w:r>
      <w:r>
        <w:t xml:space="preserve">, it indicates comments about AI feedback, and when it is</w:t>
      </w:r>
      <w:r>
        <w:t xml:space="preserve"> </w:t>
      </w:r>
      <w:r>
        <w:t xml:space="preserve">“SU_”</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82"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“easy to put into practice,”</w:t>
      </w:r>
      <w:r>
        <w:t xml:space="preserve"> </w:t>
      </w:r>
      <w:r>
        <w:t xml:space="preserve">but some judged it overly prescriptive or formulaic. By contrast, supervisor feedback often departed from the rubric’s structure: at times it omitted actionable</w:t>
      </w:r>
      <w:r>
        <w:t xml:space="preserve"> </w:t>
      </w:r>
      <w:r>
        <w:t xml:space="preserve">“points for improvement,”</w:t>
      </w:r>
      <w:r>
        <w:t xml:space="preserve"> </w:t>
      </w:r>
      <w:r>
        <w:t xml:space="preserve">offered too few details, or listed many items without prioritization. Several comments, however, framed these departures as deliberate,</w:t>
      </w:r>
      <w:r>
        <w:t xml:space="preserve"> </w:t>
      </w:r>
      <w:r>
        <w:t xml:space="preserve">“living”</w:t>
      </w:r>
      <w:r>
        <w:t xml:space="preserve"> </w:t>
      </w:r>
      <w:r>
        <w:t xml:space="preserve">feedback rooted in real clinical work rather than in formal criteria.</w:t>
      </w:r>
    </w:p>
    <w:p>
      <w:pPr>
        <w:pStyle w:val="BodyText"/>
      </w:pPr>
      <w:r>
        <w:t xml:space="preserve">Illustrative comments included:</w:t>
      </w:r>
      <w:r>
        <w:t xml:space="preserve"> </w:t>
      </w:r>
      <w:r>
        <w:t xml:space="preserve">“This is a well-written report that starts with positive feedback, is specific and constructive, and doesn’t have too many points”</w:t>
      </w:r>
      <w:r>
        <w:t xml:space="preserve"> </w:t>
      </w:r>
      <w:r>
        <w:t xml:space="preserve">(AI_FA07_060);</w:t>
      </w:r>
      <w:r>
        <w:t xml:space="preserve"> </w:t>
      </w:r>
      <w:r>
        <w:t xml:space="preserve">“It goes from positive to constructive… priorities are also pointed out… good feedback”</w:t>
      </w:r>
      <w:r>
        <w:t xml:space="preserve"> </w:t>
      </w:r>
      <w:r>
        <w:t xml:space="preserve">(AI_FA07_063); and</w:t>
      </w:r>
      <w:r>
        <w:t xml:space="preserve"> </w:t>
      </w:r>
      <w:r>
        <w:t xml:space="preserve">“It is very specific and detailed. It is written in the classic P‑N‑P format.…”</w:t>
      </w:r>
      <w:r>
        <w:t xml:space="preserve"> </w:t>
      </w:r>
      <w:r>
        <w:t xml:space="preserve">(AI_FA09_086). On limits of the AI style, evaluators noted it could feel templated or prescriptive, e.g.,</w:t>
      </w:r>
      <w:r>
        <w:t xml:space="preserve"> </w:t>
      </w:r>
      <w:r>
        <w:t xml:space="preserve">“sentences were… not natural”</w:t>
      </w:r>
      <w:r>
        <w:t xml:space="preserve"> </w:t>
      </w:r>
      <w:r>
        <w:t xml:space="preserve">(AI_ST18_078) and</w:t>
      </w:r>
      <w:r>
        <w:t xml:space="preserve"> </w:t>
      </w:r>
      <w:r>
        <w:t xml:space="preserve">“it would be better if the suggestions for revision were not given in specific sentences”</w:t>
      </w:r>
      <w:r>
        <w:t xml:space="preserve"> </w:t>
      </w:r>
      <w:r>
        <w:t xml:space="preserve">(AI_ST20_115). For supervisors, one comment praised specificity but worried that</w:t>
      </w:r>
      <w:r>
        <w:t xml:space="preserve"> </w:t>
      </w:r>
      <w:r>
        <w:t xml:space="preserve">“there are many items, there is no priority, and it seems a little harsh”</w:t>
      </w:r>
      <w:r>
        <w:t xml:space="preserve"> </w:t>
      </w:r>
      <w:r>
        <w:t xml:space="preserve">(SU_FA07_058), while many others pointed out missing action points:</w:t>
      </w:r>
      <w:r>
        <w:t xml:space="preserve"> </w:t>
      </w:r>
      <w:r>
        <w:t xml:space="preserve">“There is no specific feedback…”</w:t>
      </w:r>
      <w:r>
        <w:t xml:space="preserve"> </w:t>
      </w:r>
      <w:r>
        <w:t xml:space="preserve">(SU_FA13_163) and</w:t>
      </w:r>
      <w:r>
        <w:t xml:space="preserve"> </w:t>
      </w:r>
      <w:r>
        <w:t xml:space="preserve">“No evaluation was given at all. No feedback… on areas for improvement”</w:t>
      </w:r>
      <w:r>
        <w:t xml:space="preserve"> </w:t>
      </w:r>
      <w:r>
        <w:t xml:space="preserve">(SU_ST21_131). Several remarks captured the trade‑off:</w:t>
      </w:r>
      <w:r>
        <w:t xml:space="preserve"> </w:t>
      </w:r>
      <w:r>
        <w:t xml:space="preserve">“In terms of referring to the evaluation criteria, it is inferior… but it is more in line with the content of the practical training and presents the next task”</w:t>
      </w:r>
      <w:r>
        <w:t xml:space="preserve"> </w:t>
      </w:r>
      <w:r>
        <w:t xml:space="preserve">(SU_FA11_127), and</w:t>
      </w:r>
      <w:r>
        <w:t xml:space="preserve"> </w:t>
      </w:r>
      <w:r>
        <w:t xml:space="preserve">“It’s not feedback that is tailored to a standard, but it feels like</w:t>
      </w:r>
      <w:r>
        <w:t xml:space="preserve"> </w:t>
      </w:r>
      <w:r>
        <w:t xml:space="preserve">‘living’</w:t>
      </w:r>
      <w:r>
        <w:t xml:space="preserve"> </w:t>
      </w:r>
      <w:r>
        <w:t xml:space="preserve">feedback that is likely to bring about behavioral change”</w:t>
      </w:r>
      <w:r>
        <w:t xml:space="preserve"> </w:t>
      </w:r>
      <w:r>
        <w:t xml:space="preserve">(SU_FA09_088).</w:t>
      </w:r>
    </w:p>
    <w:bookmarkEnd w:id="82"/>
    <w:bookmarkStart w:id="83"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“the feedback is tailored to the clinical clerkship logs… points that need to be improved… are mentioned in detail, with specific examples”</w:t>
      </w:r>
      <w:r>
        <w:t xml:space="preserve"> </w:t>
      </w:r>
      <w:r>
        <w:t xml:space="preserve">(AI_ST15_031), and</w:t>
      </w:r>
      <w:r>
        <w:t xml:space="preserve"> </w:t>
      </w:r>
      <w:r>
        <w:t xml:space="preserve">“careful guidance in response to the lack of clinical clerkship logs… specific suggestions for improvement”</w:t>
      </w:r>
      <w:r>
        <w:t xml:space="preserve"> </w:t>
      </w:r>
      <w:r>
        <w:t xml:space="preserve">(AI_ST15_030). Evaluators repeatedly noted that AI</w:t>
      </w:r>
      <w:r>
        <w:t xml:space="preserve"> </w:t>
      </w:r>
      <w:r>
        <w:t xml:space="preserve">“gave feedback after the log had been carefully examined… [with] very specific”</w:t>
      </w:r>
      <w:r>
        <w:t xml:space="preserve"> </w:t>
      </w:r>
      <w:r>
        <w:t xml:space="preserve">next steps (AI_ST21_117) and that its</w:t>
      </w:r>
      <w:r>
        <w:t xml:space="preserve"> </w:t>
      </w:r>
      <w:r>
        <w:t xml:space="preserve">“comments are based on the content”</w:t>
      </w:r>
      <w:r>
        <w:t xml:space="preserve"> </w:t>
      </w:r>
      <w:r>
        <w:t xml:space="preserve">(AI_FA05_034). Yet this text‑level consistency sometimes slipped when context mattered: AI</w:t>
      </w:r>
      <w:r>
        <w:t xml:space="preserve"> </w:t>
      </w:r>
      <w:r>
        <w:t xml:space="preserve">“gives the impression that days without logs = days without practice”</w:t>
      </w:r>
      <w:r>
        <w:t xml:space="preserve"> </w:t>
      </w:r>
      <w:r>
        <w:t xml:space="preserve">(AI_FA10_104), and tended to</w:t>
      </w:r>
      <w:r>
        <w:t xml:space="preserve"> </w:t>
      </w:r>
      <w:r>
        <w:t xml:space="preserve">“encourage learning by improving how they write… [with] a lack of clinical knowledge or perspective”</w:t>
      </w:r>
      <w:r>
        <w:t xml:space="preserve"> </w:t>
      </w:r>
      <w:r>
        <w:t xml:space="preserve">(AI_ST21_121). Several evaluators wished for an overarching synthesis across the week or rotation,</w:t>
      </w:r>
      <w:r>
        <w:t xml:space="preserve"> </w:t>
      </w:r>
      <w:r>
        <w:t xml:space="preserve">“no overall evaluation… perhaps (AI was) a good micro‑manager?”</w:t>
      </w:r>
      <w:r>
        <w:t xml:space="preserve"> </w:t>
      </w:r>
      <w:r>
        <w:t xml:space="preserve">(AI_FA11_117), and</w:t>
      </w:r>
      <w:r>
        <w:t xml:space="preserve"> </w:t>
      </w:r>
      <w:r>
        <w:t xml:space="preserve">“it would be even better if the feedback also took into account the overall outcome”</w:t>
      </w:r>
      <w:r>
        <w:t xml:space="preserve"> </w:t>
      </w:r>
      <w:r>
        <w:t xml:space="preserve">(AI_FA10_109). By contrast, supervisors frequently referenced shared clinical situations and behaviors,</w:t>
      </w:r>
      <w:r>
        <w:t xml:space="preserve"> </w:t>
      </w:r>
      <w:r>
        <w:t xml:space="preserve">“useful because it gave supplementary information that wasn’t included in the medical student’s description”</w:t>
      </w:r>
      <w:r>
        <w:t xml:space="preserve"> </w:t>
      </w:r>
      <w:r>
        <w:t xml:space="preserve">(SU_ST17_062); advice that was</w:t>
      </w:r>
      <w:r>
        <w:t xml:space="preserve"> </w:t>
      </w:r>
      <w:r>
        <w:t xml:space="preserve">“practical and in line with real clinical practice”</w:t>
      </w:r>
      <w:r>
        <w:t xml:space="preserve"> </w:t>
      </w:r>
      <w:r>
        <w:t xml:space="preserve">(SU_ST18_080); and impressions that only a clinician observing the student could offer, such as</w:t>
      </w:r>
      <w:r>
        <w:t xml:space="preserve"> </w:t>
      </w:r>
      <w:r>
        <w:t xml:space="preserve">“he was going about things in a calm and collected way”</w:t>
      </w:r>
      <w:r>
        <w:t xml:space="preserve"> </w:t>
      </w:r>
      <w:r>
        <w:t xml:space="preserve">(SU_ST23_157) and the feeling of</w:t>
      </w:r>
      <w:r>
        <w:t xml:space="preserve"> </w:t>
      </w:r>
      <w:r>
        <w:t xml:space="preserve">“working together with medical students”</w:t>
      </w:r>
      <w:r>
        <w:t xml:space="preserve"> </w:t>
      </w:r>
      <w:r>
        <w:t xml:space="preserve">(SU_FA04_008). However, this experiential continuity often bypassed the portfolio itself:</w:t>
      </w:r>
      <w:r>
        <w:t xml:space="preserve"> </w:t>
      </w:r>
      <w:r>
        <w:t xml:space="preserve">“no mention of the content of the practical training or the learner’s own description”</w:t>
      </w:r>
      <w:r>
        <w:t xml:space="preserve"> </w:t>
      </w:r>
      <w:r>
        <w:t xml:space="preserve">(SU_FA10_109);</w:t>
      </w:r>
      <w:r>
        <w:t xml:space="preserve"> </w:t>
      </w:r>
      <w:r>
        <w:t xml:space="preserve">“they did not evaluate the logs that were written… just a summary evaluation conclusion”</w:t>
      </w:r>
      <w:r>
        <w:t xml:space="preserve"> </w:t>
      </w:r>
      <w:r>
        <w:t xml:space="preserve">(SU_FA11_119); and</w:t>
      </w:r>
      <w:r>
        <w:t xml:space="preserve"> </w:t>
      </w:r>
      <w:r>
        <w:t xml:space="preserve">“feedback was based on the actual content of the practical training… it would be better if there was more feedback on the learning logs”</w:t>
      </w:r>
      <w:r>
        <w:t xml:space="preserve"> </w:t>
      </w:r>
      <w:r>
        <w:t xml:space="preserve">(SU_ST21_124). In some instances, identical or near‑identical messages suggested time‑pressured reuse rather than log‑specific engagement (e.g.,</w:t>
      </w:r>
      <w:r>
        <w:t xml:space="preserve"> </w:t>
      </w:r>
      <w:r>
        <w:t xml:space="preserve">“copied and pasted feedback,”</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83"/>
    <w:bookmarkStart w:id="84"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“did not point out the errors in the words</w:t>
      </w:r>
      <w:r>
        <w:t xml:space="preserve"> </w:t>
      </w:r>
      <w:r>
        <w:t xml:space="preserve">‘pulse irregularity’</w:t>
      </w:r>
      <w:r>
        <w:t xml:space="preserve"> </w:t>
      </w:r>
      <w:r>
        <w:t xml:space="preserve">and</w:t>
      </w:r>
      <w:r>
        <w:t xml:space="preserve"> </w:t>
      </w:r>
      <w:r>
        <w:t xml:space="preserve">‘electrocardiogram holder’</w:t>
      </w:r>
      <w:r>
        <w:t xml:space="preserve">”</w:t>
      </w:r>
      <w:r>
        <w:t xml:space="preserve"> </w:t>
      </w:r>
      <w:r>
        <w:t xml:space="preserve">(AI_FA11_120);</w:t>
      </w:r>
      <w:r>
        <w:t xml:space="preserve"> </w:t>
      </w:r>
      <w:r>
        <w:t xml:space="preserve">“specific examples… are ideas that are not based on much medical expertise”</w:t>
      </w:r>
      <w:r>
        <w:t xml:space="preserve"> </w:t>
      </w:r>
      <w:r>
        <w:t xml:space="preserve">(AI_ST22_143);</w:t>
      </w:r>
      <w:r>
        <w:t xml:space="preserve"> </w:t>
      </w:r>
      <w:r>
        <w:t xml:space="preserve">“suggestions for improvement… are not from the surgeon’s perspective”</w:t>
      </w:r>
      <w:r>
        <w:t xml:space="preserve"> </w:t>
      </w:r>
      <w:r>
        <w:t xml:space="preserve">(AI_FA06_050);</w:t>
      </w:r>
      <w:r>
        <w:t xml:space="preserve"> </w:t>
      </w:r>
      <w:r>
        <w:t xml:space="preserve">“fixated on relatively trivial points… specific feedback lacks accurate knowledge”</w:t>
      </w:r>
      <w:r>
        <w:t xml:space="preserve"> </w:t>
      </w:r>
      <w:r>
        <w:t xml:space="preserve">(AI_ST15_024); and</w:t>
      </w:r>
      <w:r>
        <w:t xml:space="preserve"> </w:t>
      </w:r>
      <w:r>
        <w:t xml:space="preserve">“main points were comments on how to fill in the student logs… lack of clinical feedback”</w:t>
      </w:r>
      <w:r>
        <w:t xml:space="preserve"> </w:t>
      </w:r>
      <w:r>
        <w:t xml:space="preserve">(AI_ST21_123). By contrast, supervisor excerpts highlighted the expert stance:</w:t>
      </w:r>
      <w:r>
        <w:t xml:space="preserve"> </w:t>
      </w:r>
      <w:r>
        <w:t xml:space="preserve">“points out errors in writing and correctly teaches medical knowledge”</w:t>
      </w:r>
      <w:r>
        <w:t xml:space="preserve"> </w:t>
      </w:r>
      <w:r>
        <w:t xml:space="preserve">(SU_FA06_037);</w:t>
      </w:r>
      <w:r>
        <w:t xml:space="preserve"> </w:t>
      </w:r>
      <w:r>
        <w:t xml:space="preserve">“I can get feedback on my knowledge, so it is useful for my studies”</w:t>
      </w:r>
      <w:r>
        <w:t xml:space="preserve"> </w:t>
      </w:r>
      <w:r>
        <w:t xml:space="preserve">(SU_ST17_058); and advice</w:t>
      </w:r>
      <w:r>
        <w:t xml:space="preserve"> </w:t>
      </w:r>
      <w:r>
        <w:t xml:space="preserve">“that would only be conveyed by a clinician, such as the long‑term perspective of</w:t>
      </w:r>
      <w:r>
        <w:t xml:space="preserve"> </w:t>
      </w:r>
      <w:r>
        <w:t xml:space="preserve">‘going home’</w:t>
      </w:r>
      <w:r>
        <w:t xml:space="preserve">”</w:t>
      </w:r>
      <w:r>
        <w:t xml:space="preserve"> </w:t>
      </w:r>
      <w:r>
        <w:t xml:space="preserve">(SU_ST23_150). Potential downsides were also noted:</w:t>
      </w:r>
      <w:r>
        <w:t xml:space="preserve"> </w:t>
      </w:r>
      <w:r>
        <w:t xml:space="preserve">“content is more focused on recruiting students to the department”</w:t>
      </w:r>
      <w:r>
        <w:t xml:space="preserve"> </w:t>
      </w:r>
      <w:r>
        <w:t xml:space="preserve">(SU_FA05_022) and concerns about prioritization,</w:t>
      </w:r>
      <w:r>
        <w:t xml:space="preserve"> </w:t>
      </w:r>
      <w:r>
        <w:t xml:space="preserve">“few opportunities to do peripheral nerve examinations, but… whether this is something that all medical students should learn”</w:t>
      </w:r>
      <w:r>
        <w:t xml:space="preserve"> </w:t>
      </w:r>
      <w:r>
        <w:t xml:space="preserve">(SU_FA10_110). as well as an authority gradient, as exemplified by the following quote:</w:t>
      </w:r>
      <w:r>
        <w:t xml:space="preserve"> </w:t>
      </w:r>
      <w:r>
        <w:t xml:space="preserve">“show the superiority and infallibility of the instructor…makes learners feel an authority gradient”</w:t>
      </w:r>
      <w:r>
        <w:t xml:space="preserve"> </w:t>
      </w:r>
      <w:r>
        <w:t xml:space="preserve">(SU_FA10_108).</w:t>
      </w:r>
    </w:p>
    <w:bookmarkEnd w:id="84"/>
    <w:bookmarkStart w:id="85"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“Expressions such as</w:t>
      </w:r>
      <w:r>
        <w:t xml:space="preserve"> </w:t>
      </w:r>
      <w:r>
        <w:t xml:space="preserve">‘Great job!’</w:t>
      </w:r>
      <w:r>
        <w:t xml:space="preserve"> </w:t>
      </w:r>
      <w:r>
        <w:t xml:space="preserve">and</w:t>
      </w:r>
      <w:r>
        <w:t xml:space="preserve"> </w:t>
      </w:r>
      <w:r>
        <w:t xml:space="preserve">‘I will provide feedback.’</w:t>
      </w:r>
      <w:r>
        <w:t xml:space="preserve"> </w:t>
      </w:r>
      <w:r>
        <w:t xml:space="preserve">are English‑Japanese translation‑like… unnatural as Japanese”</w:t>
      </w:r>
      <w:r>
        <w:t xml:space="preserve"> </w:t>
      </w:r>
      <w:r>
        <w:t xml:space="preserve">(AI_ST23_149);</w:t>
      </w:r>
      <w:r>
        <w:t xml:space="preserve"> </w:t>
      </w:r>
      <w:r>
        <w:t xml:space="preserve">“mysterious extra characters”</w:t>
      </w:r>
      <w:r>
        <w:t xml:space="preserve"> </w:t>
      </w:r>
      <w:r>
        <w:t xml:space="preserve">(AI_ST18_083);</w:t>
      </w:r>
      <w:r>
        <w:t xml:space="preserve"> </w:t>
      </w:r>
      <w:r>
        <w:t xml:space="preserve">“divided into paragraphs… a bug or character corruption”</w:t>
      </w:r>
      <w:r>
        <w:t xml:space="preserve"> </w:t>
      </w:r>
      <w:r>
        <w:t xml:space="preserve">(AI_FA08_083); and</w:t>
      </w:r>
      <w:r>
        <w:t xml:space="preserve"> </w:t>
      </w:r>
      <w:r>
        <w:t xml:space="preserve">“very ChatGPT‑like”</w:t>
      </w:r>
      <w:r>
        <w:t xml:space="preserve"> </w:t>
      </w:r>
      <w:r>
        <w:t xml:space="preserve">(AI_ST17_054). Several noted formulaic tone:</w:t>
      </w:r>
      <w:r>
        <w:t xml:space="preserve"> </w:t>
      </w:r>
      <w:r>
        <w:t xml:space="preserve">“the sandwich of good points… is so formulaic that… students might stop reading the feedback seriously”</w:t>
      </w:r>
      <w:r>
        <w:t xml:space="preserve"> </w:t>
      </w:r>
      <w:r>
        <w:t xml:space="preserve">(AI_ST14_014), alongside word choice that</w:t>
      </w:r>
      <w:r>
        <w:t xml:space="preserve"> </w:t>
      </w:r>
      <w:r>
        <w:t xml:space="preserve">“gives the impression of being a little unfriendly”</w:t>
      </w:r>
      <w:r>
        <w:t xml:space="preserve"> </w:t>
      </w:r>
      <w:r>
        <w:t xml:space="preserve">(AI_FA10_108). In contrast, supervisor comments emphasized naturalness and human presence:</w:t>
      </w:r>
      <w:r>
        <w:t xml:space="preserve"> </w:t>
      </w:r>
      <w:r>
        <w:t xml:space="preserve">“the advice is very good, accurate and natural”</w:t>
      </w:r>
      <w:r>
        <w:t xml:space="preserve"> </w:t>
      </w:r>
      <w:r>
        <w:t xml:space="preserve">(SU_ST18_079) and</w:t>
      </w:r>
      <w:r>
        <w:t xml:space="preserve"> </w:t>
      </w:r>
      <w:r>
        <w:t xml:space="preserve">“it feels like the individual is being looked at and taught”</w:t>
      </w:r>
      <w:r>
        <w:t xml:space="preserve"> </w:t>
      </w:r>
      <w:r>
        <w:t xml:space="preserve">(SU_ST20_109).</w:t>
      </w:r>
    </w:p>
    <w:bookmarkEnd w:id="85"/>
    <w:bookmarkStart w:id="86"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“somewhat verbose”</w:t>
      </w:r>
      <w:r>
        <w:t xml:space="preserve"> </w:t>
      </w:r>
      <w:r>
        <w:t xml:space="preserve">(AI_ST23_155) with</w:t>
      </w:r>
      <w:r>
        <w:t xml:space="preserve"> </w:t>
      </w:r>
      <w:r>
        <w:t xml:space="preserve">“so many points… it would be easier to understand if there was a summary”</w:t>
      </w:r>
      <w:r>
        <w:t xml:space="preserve"> </w:t>
      </w:r>
      <w:r>
        <w:t xml:space="preserve">(AI_ST16_047). For supervisors, multiple comments judged entries too brief:</w:t>
      </w:r>
      <w:r>
        <w:t xml:space="preserve"> </w:t>
      </w:r>
      <w:r>
        <w:t xml:space="preserve">“not possible to give feedback with just a few words”</w:t>
      </w:r>
      <w:r>
        <w:t xml:space="preserve"> </w:t>
      </w:r>
      <w:r>
        <w:t xml:space="preserve">(SU_ST16_044);</w:t>
      </w:r>
      <w:r>
        <w:t xml:space="preserve"> </w:t>
      </w:r>
      <w:r>
        <w:t xml:space="preserve">“just too short”</w:t>
      </w:r>
      <w:r>
        <w:t xml:space="preserve"> </w:t>
      </w:r>
      <w:r>
        <w:t xml:space="preserve">(SU_FA05_020);</w:t>
      </w:r>
      <w:r>
        <w:t xml:space="preserve"> </w:t>
      </w:r>
      <w:r>
        <w:t xml:space="preserve">“I don’t think a simple</w:t>
      </w:r>
      <w:r>
        <w:t xml:space="preserve"> </w:t>
      </w:r>
      <w:r>
        <w:t xml:space="preserve">‘Thank you for your hard work’</w:t>
      </w:r>
      <w:r>
        <w:t xml:space="preserve"> </w:t>
      </w:r>
      <w:r>
        <w:t xml:space="preserve">would be considered feedback”</w:t>
      </w:r>
      <w:r>
        <w:t xml:space="preserve"> </w:t>
      </w:r>
      <w:r>
        <w:t xml:space="preserve">(SU_FA09_094); and</w:t>
      </w:r>
      <w:r>
        <w:t xml:space="preserve"> </w:t>
      </w:r>
      <w:r>
        <w:t xml:space="preserve">“too simple and doesn’t amount to feedback”</w:t>
      </w:r>
      <w:r>
        <w:t xml:space="preserve"> </w:t>
      </w:r>
      <w:r>
        <w:t xml:space="preserve">(SU_FA11_131). A counterexample highlighted that brevity can still work when targeted:</w:t>
      </w:r>
      <w:r>
        <w:t xml:space="preserve"> </w:t>
      </w:r>
      <w:r>
        <w:t xml:space="preserve">“concise feedback that includes the necessary content… motivates the student for future practice”</w:t>
      </w:r>
      <w:r>
        <w:t xml:space="preserve"> </w:t>
      </w:r>
      <w:r>
        <w:t xml:space="preserve">(SU_ST15_034).</w:t>
      </w:r>
    </w:p>
    <w:bookmarkEnd w:id="86"/>
    <w:bookmarkEnd w:id="87"/>
    <w:bookmarkStart w:id="95"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6</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ayout w:type="fixed"/>
        <w:tblLook w:firstRow="0" w:lastRow="0" w:firstColumn="0" w:lastColumn="0" w:noHBand="0" w:noVBand="0" w:val="0000"/>
      </w:tblPr>
      <w:tblGrid>
        <w:gridCol w:w="7920"/>
      </w:tblGrid>
      <w:tr>
        <w:tc>
          <w:tcPr/>
          <w:bookmarkStart w:id="88" w:name="tbl-joint_display"/>
          <w:p>
            <w:pPr>
              <w:jc w:val="start"/>
              <w:spacing w:before="200"/>
              <w:pStyle w:val="ImageCaption"/>
            </w:pPr>
            <w:r>
              <w:t xml:space="preserve">Table 6: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8"/>
        </w:tc>
      </w:tr>
    </w:tbl>
    <w:bookmarkStart w:id="89"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89"/>
    <w:bookmarkStart w:id="90"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aligns with the rubric’s structural criteria through both structural adherence and sufficient length.</w:t>
      </w:r>
    </w:p>
    <w:bookmarkEnd w:id="90"/>
    <w:bookmarkStart w:id="91" w:name="X9dcb11b589a50bc126f47419a1e00aacac4fb42"/>
    <w:p>
      <w:pPr>
        <w:pStyle w:val="Heading4"/>
      </w:pPr>
      <w:r>
        <w:t xml:space="preserve">Index 3: Length-Score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rubric scores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more systematically covers the elements specified by the rubric, while supervisors excel at contextual prioritization. Combining these findings reveals that feedback requires sufficient length to include necessary items, while prioritization is also important, and longer is not necessarily better.</w:t>
      </w:r>
    </w:p>
    <w:bookmarkEnd w:id="91"/>
    <w:bookmarkStart w:id="92" w:name="X457e5ad3d2f4ccee79dad0f94510e074561cf8e"/>
    <w:p>
      <w:pPr>
        <w:pStyle w:val="Heading4"/>
      </w:pPr>
      <w:r>
        <w:t xml:space="preserve">Index 4: Rubric-Score Consistency and Variability</w:t>
      </w:r>
    </w:p>
    <w:p>
      <w:pPr>
        <w:pStyle w:val="FirstParagraph"/>
      </w:pPr>
      <w:r>
        <w:t xml:space="preserve">The quantitative finding that AI feedback rubric scores were more consistent while supervisor feedback rubric scores were more variable was supported by qualitative observations regarding adherence to feedback criteria and structure. The qualitative analysis described AI feedback as closely following the rubric, leading to more uniform rubric scores, whereas supervisors often deviated from the rubric, resulting in variable scores. This integration demonstrates how structural consistency in AI feedback translates directly into measurable rubric-score consistency.</w:t>
      </w:r>
    </w:p>
    <w:bookmarkEnd w:id="92"/>
    <w:bookmarkStart w:id="93"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93"/>
    <w:bookmarkStart w:id="94"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4"/>
    <w:bookmarkEnd w:id="95"/>
    <w:bookmarkEnd w:id="96"/>
    <w:bookmarkStart w:id="102" w:name="discussion"/>
    <w:p>
      <w:pPr>
        <w:pStyle w:val="Heading2"/>
      </w:pPr>
      <w:r>
        <w:t xml:space="preserve">Discussion</w:t>
      </w:r>
    </w:p>
    <w:bookmarkStart w:id="97"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greater adherence to rubric-based criteria, particularly in providing criteria-based guidance and clear directions for improvement. While supervisor feedback showed greater variability in rubric scores, with length correlating positively with those scores, AI feedback maintained consistent rubric scores regardless of length, suggesting systematic coverage of the structural elements captured by the rubric.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7"/>
    <w:bookmarkStart w:id="98"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rubric scores, while supervisor feedback demonstrated a positive correlation between length and rubric scores. Some reports indicate that feedback length does not contribute to quality improvement beyond a certain threshold</w:t>
      </w:r>
      <w:r>
        <w:t xml:space="preserve"> </w:t>
      </w:r>
      <w:r>
        <w:t xml:space="preserve">[52]</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[28,53]</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[54]</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[22,24,25,55]</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w:t>
      </w:r>
      <w:r>
        <w:t xml:space="preserve"> </w:t>
      </w:r>
      <w:r>
        <w:t xml:space="preserve">[56]</w:t>
      </w:r>
      <w:r>
        <w:t xml:space="preserve">, are difficult to articulate in written form</w:t>
      </w:r>
      <w:r>
        <w:t xml:space="preserve"> </w:t>
      </w:r>
      <w:r>
        <w:t xml:space="preserve">[57]</w:t>
      </w:r>
      <w:r>
        <w:t xml:space="preserve"> </w:t>
      </w:r>
      <w:r>
        <w:t xml:space="preserve">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[22,55]</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has implications that warrant discussion along two distinct lines. The first concerns the evaluation itself: because evaluators recognized the feedback source with complete accuracy, they may have formed implicit judgments about source during rubric scoring even though they were not explicitly informed until afterward, and the possibility that such recognition shaped ratings cannot be ruled out. Prior research has demonstrated that knowledge or perception of the feedback provider can influence how feedback is received and evaluated</w:t>
      </w:r>
      <w:r>
        <w:t xml:space="preserve"> </w:t>
      </w:r>
      <w:r>
        <w:t xml:space="preserve">[45,46]</w:t>
      </w:r>
      <w:r>
        <w:t xml:space="preserve">, and a recent controlled-content experiment further showed that source attribution altered learner engagement by a large margin (Cohen</w:t>
      </w:r>
      <w:r>
        <w:t xml:space="preserve"> </w:t>
      </w:r>
      <w:r>
        <w:rPr>
          <w:i/>
          <w:iCs/>
        </w:rPr>
        <w:t xml:space="preserve">d</w:t>
      </w:r>
      <w:r>
        <w:t xml:space="preserve">=0.88–1.56) even when the feedback content was held identical</w:t>
      </w:r>
      <w:r>
        <w:t xml:space="preserve"> </w:t>
      </w:r>
      <w:r>
        <w:t xml:space="preserve">[58]</w:t>
      </w:r>
      <w:r>
        <w:t xml:space="preserve">. In our study, however, the identification question was administered only after all rubric scoring and free-text comments had been completed, so any such influence would have arisen from the textual characteristics of the feedback rather than from explicit labels, unlike an unblinded evaluation in which the source is known a priori.</w:t>
      </w:r>
    </w:p>
    <w:p>
      <w:pPr>
        <w:pStyle w:val="BodyText"/>
      </w:pPr>
      <w:r>
        <w:t xml:space="preserve">The perfect detection also constitutes a substantive finding in its own right. The five qualitative themes identified in our analysis (adherence to feedback criteria and structure, continuity and consistency, perspective as a clinician, quality of the Japanese language, and text length) collectively describe the lexical, structural, and contextual features that made AI feedback identifiable in this Japanese-language clinical context, with language-level cues such as translation-like phrasing, formatting artifacts, and a formulaic register being particularly salient. At the level of interpretation, these differences suggest that AI and supervisor feedback differ not only in structural properties but in the epistemic voice they carry: supervisor feedback is grounded in lived clinical encounter, whereas AI feedback operates on textual pattern. Similar tensions around authenticity and voice have been raised in recent medical education writing on AI-assisted reflective work</w:t>
      </w:r>
      <w:r>
        <w:t xml:space="preserve"> </w:t>
      </w:r>
      <w:r>
        <w:t xml:space="preserve">[59]</w:t>
      </w:r>
      <w:r>
        <w:t xml:space="preserve">. This voice differential can be read positively as a form of source transparency, since learners and educators are unlikely to mistake one source for the other, but also as an authenticity gap that may affect trust and uptake when AI feedback is delivered to learners. Newer large language models continue to improve in generating natural, human-like text, and future iterations may substantially reduce the detectability of AI-generated feedback, potentially altering both evaluator perceptions and the dynamics of blinded evaluation designs.</w:t>
      </w:r>
    </w:p>
    <w:p>
      <w:pPr>
        <w:pStyle w:val="BodyText"/>
      </w:pPr>
      <w:r>
        <w:t xml:space="preserve">An important consideration for interpreting our findings is the linguistic and cultural context in which this study was conducted. All feedback was generated and evaluated in Japanese, and LLM performance has been shown to vary substantially across languages. Strasser et al</w:t>
      </w:r>
      <w:r>
        <w:t xml:space="preserve"> </w:t>
      </w:r>
      <w:r>
        <w:t xml:space="preserve">[60]</w:t>
      </w:r>
      <w:r>
        <w:t xml:space="preserve"> </w:t>
      </w:r>
      <w:r>
        <w:t xml:space="preserve">demonstrated that LLM accuracy on identical medical examination questions differed significantly by language (64%–87%), with English prompts generally yielding higher performance, although advanced models showed comparable results with language-matched prompts in some languages. Harigai et al</w:t>
      </w:r>
      <w:r>
        <w:t xml:space="preserve"> </w:t>
      </w:r>
      <w:r>
        <w:t xml:space="preserve">[61]</w:t>
      </w:r>
      <w:r>
        <w:t xml:space="preserve"> </w:t>
      </w:r>
      <w:r>
        <w:t xml:space="preserve">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w:t>
      </w:r>
      <w:r>
        <w:t xml:space="preserve"> </w:t>
      </w:r>
      <w:r>
        <w:t xml:space="preserve">[62]</w:t>
      </w:r>
      <w:r>
        <w:t xml:space="preserve">, may have influenced evaluators’ perceptions of and receptivity to the two feedback sources. Rather than framing these contextual factors solely as limitations, we note that they underscore the importance of conducting AI feedback research across diverse linguistic and cultural settings, as both AI performance and user reception are likely to be context-dependent.</w:t>
      </w:r>
    </w:p>
    <w:bookmarkEnd w:id="98"/>
    <w:bookmarkStart w:id="99"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[63]</w:t>
      </w:r>
      <w:r>
        <w:t xml:space="preserve"> </w:t>
      </w:r>
      <w:r>
        <w:t xml:space="preserve">or conversely, dismissal of AI-generated insights</w:t>
      </w:r>
      <w:r>
        <w:t xml:space="preserve"> </w:t>
      </w:r>
      <w:r>
        <w:t xml:space="preserve">[20]</w:t>
      </w:r>
      <w:r>
        <w:t xml:space="preserve">. Our finding that evaluators recognized feedback source with perfect accuracy suggests that learners in real-world settings would plausibly do the same, and evidence from controlled-content experiments indicates that source attribution can substantially alter learner engagement when feedback is delivered directly (Cohen</w:t>
      </w:r>
      <w:r>
        <w:t xml:space="preserve"> </w:t>
      </w:r>
      <w:r>
        <w:rPr>
          <w:i/>
          <w:iCs/>
        </w:rPr>
        <w:t xml:space="preserve">d</w:t>
      </w:r>
      <w:r>
        <w:t xml:space="preserve">=0.88–1.56)</w:t>
      </w:r>
      <w:r>
        <w:t xml:space="preserve"> </w:t>
      </w:r>
      <w:r>
        <w:t xml:space="preserve">[58]</w:t>
      </w:r>
      <w:r>
        <w:t xml:space="preserve">. The rubric-score advantages we observed should therefore not be assumed to translate directly into comparable learner uptake or educational impact when AI feedback is delivered to students who can identify its source.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[34,64]</w:t>
      </w:r>
      <w:r>
        <w:t xml:space="preserve">. However, empirical research on these hybrid models remains limited, particularly in authentic clinical settings.</w:t>
      </w:r>
    </w:p>
    <w:p>
      <w:pPr>
        <w:pStyle w:val="BodyText"/>
      </w:pPr>
      <w:r>
        <w:t xml:space="preserve">Underlying both direct delivery and hybrid configurations is the prompt itself, an object of pedagogical design that shapes what the AI produces in any deployment model. In our case, embedding the rubric criteria directly in the prompt operationalized a particular conception of feedback quality in AI generation. This is analogous to constructive alignment in instructional design</w:t>
      </w:r>
      <w:r>
        <w:t xml:space="preserve"> </w:t>
      </w:r>
      <w:r>
        <w:t xml:space="preserve">[65]</w:t>
      </w:r>
      <w:r>
        <w:t xml:space="preserve">, where intended outcomes are aligned with the activities producing them. Recent applied guidance in health professions education has similarly recommended grounding generative AI prompts in institutional pedagogical and assessment frameworks</w:t>
      </w:r>
      <w:r>
        <w:t xml:space="preserve"> </w:t>
      </w:r>
      <w:r>
        <w:t xml:space="preserve">[66]</w:t>
      </w:r>
      <w:r>
        <w:t xml:space="preserve">. The rubric-score consistency we observed for AI feedback is therefore best read not as an inherent property of GPT-4o but as an outcome of this prompt configuration, consistent with experimental evidence that detailed prompts combined with low temperature settings yield near-perfect inter-replicate consistency in LLM rubric grading</w:t>
      </w:r>
      <w:r>
        <w:t xml:space="preserve"> </w:t>
      </w:r>
      <w:r>
        <w:t xml:space="preserve">[67]</w:t>
      </w:r>
      <w:r>
        <w:t xml:space="preserve">. The same design lever is available to other educators and institutions seeking to align AI feedback with their own assessment frameworks.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99"/>
    <w:bookmarkStart w:id="100" w:name="limitations"/>
    <w:p>
      <w:pPr>
        <w:pStyle w:val="Heading3"/>
      </w:pPr>
      <w:r>
        <w:t xml:space="preserve">Limitations</w:t>
      </w:r>
    </w:p>
    <w:p>
      <w:pPr>
        <w:pStyle w:val="FirstParagraph"/>
      </w:pPr>
      <w:r>
        <w:t xml:space="preserve">Several limitations should be acknowledged in this study.</w:t>
      </w:r>
    </w:p>
    <w:p>
      <w:pPr>
        <w:pStyle w:val="BodyText"/>
      </w:pPr>
      <w:r>
        <w:t xml:space="preserve">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w:t>
      </w:r>
      <w:r>
        <w:t xml:space="preserve"> </w:t>
      </w:r>
      <w:r>
        <w:t xml:space="preserve">[62]</w:t>
      </w:r>
      <w:r>
        <w:t xml:space="preserve">, may have contributed to higher regard for supervisor feedback and influenced evaluators’ perceptions of the two feedback sources. The specific characteristics of Nagoya University’s clinical clerkship program may further limit representativeness.</w:t>
      </w:r>
    </w:p>
    <w:p>
      <w:pPr>
        <w:pStyle w:val="BodyText"/>
      </w:pPr>
      <w:r>
        <w:t xml:space="preserve">Second, while our evaluators included both faculty and students, their individual backgrounds and experiences may have influenced their feedback evaluations. The relatively small number of evaluators (10 faculty and 10 students) may also limit the robustness of our findings.</w:t>
      </w:r>
    </w:p>
    <w:p>
      <w:pPr>
        <w:pStyle w:val="BodyText"/>
      </w:pPr>
      <w:r>
        <w:t xml:space="preserve">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w:t>
      </w:r>
    </w:p>
    <w:p>
      <w:pPr>
        <w:pStyle w:val="BodyText"/>
      </w:pPr>
      <w:r>
        <w:t xml:space="preserve">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w:t>
      </w:r>
    </w:p>
    <w:p>
      <w:pPr>
        <w:pStyle w:val="BodyText"/>
      </w:pPr>
      <w:r>
        <w:t xml:space="preserve">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w:t>
      </w:r>
    </w:p>
    <w:p>
      <w:pPr>
        <w:pStyle w:val="BodyText"/>
      </w:pPr>
      <w:r>
        <w:t xml:space="preserve">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w:t>
      </w:r>
    </w:p>
    <w:p>
      <w:pPr>
        <w:pStyle w:val="BodyText"/>
      </w:pPr>
      <w:r>
        <w:t xml:space="preserve">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w:t>
      </w:r>
    </w:p>
    <w:p>
      <w:pPr>
        <w:pStyle w:val="BodyText"/>
      </w:pPr>
      <w:r>
        <w:t xml:space="preserve">Eighth, our study evaluated the structural quality of feedback as assessed by third-party evaluators using the rubric, but did not examine whether AI-generated or supervisor-provided feedback, when delivered to students, elicited different learning behaviors, revisions, engagement, or clinical improvement. Because our design measured judgments by evaluators rather than responses by learner recipients, source-attribution effects that may arise when identifiable AI feedback is delivered directly to students</w:t>
      </w:r>
      <w:r>
        <w:t xml:space="preserve"> </w:t>
      </w:r>
      <w:r>
        <w:t xml:space="preserve">[58]</w:t>
      </w:r>
      <w:r>
        <w:t xml:space="preserve"> </w:t>
      </w:r>
      <w:r>
        <w:t xml:space="preserve">fall outside the scope of our data. The relationship between perceived feedback quality, source attribution, and actual educational outcomes remains an important area for future investigation.</w:t>
      </w:r>
    </w:p>
    <w:bookmarkEnd w:id="100"/>
    <w:bookmarkStart w:id="101"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101"/>
    <w:bookmarkEnd w:id="102"/>
    <w:bookmarkStart w:id="103"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“translate to english”</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w:t>
      </w:r>
      <w:r>
        <w:t xml:space="preserve"> </w:t>
      </w:r>
      <w:r>
        <w:t xml:space="preserve">[68]</w:t>
      </w:r>
      <w:r>
        <w:t xml:space="preserve">,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103"/>
    <w:bookmarkStart w:id="104"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its translation process, and the full paired t-test results table are provided in Multimedia Appendices 1, 2, 3, and 4,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4"/>
    <w:bookmarkStart w:id="105" w:name="conflicts-of-interest"/>
    <w:p>
      <w:pPr>
        <w:pStyle w:val="Heading2"/>
      </w:pPr>
      <w:r>
        <w:t xml:space="preserve">Conflicts of Interest</w:t>
      </w:r>
    </w:p>
    <w:p>
      <w:pPr>
        <w:pStyle w:val="FirstParagraph"/>
      </w:pPr>
      <w:r>
        <w:t xml:space="preserve">None declared.</w:t>
      </w:r>
    </w:p>
    <w:bookmarkEnd w:id="105"/>
    <w:bookmarkStart w:id="106"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6"/>
    <w:bookmarkStart w:id="107" w:name="multimedia-appendix-2"/>
    <w:p>
      <w:pPr>
        <w:pStyle w:val="Heading2"/>
      </w:pPr>
      <w:r>
        <w:t xml:space="preserve">Multimedia Appendix 2</w:t>
      </w:r>
    </w:p>
    <w:p>
      <w:pPr>
        <w:pStyle w:val="FirstParagraph"/>
      </w:pPr>
      <w:r>
        <w:t xml:space="preserve">This file contains the feedback evaluation rubric used in this study.</w:t>
      </w:r>
    </w:p>
    <w:bookmarkEnd w:id="107"/>
    <w:bookmarkStart w:id="108"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8"/>
    <w:bookmarkStart w:id="109" w:name="multimedia-appendix-4"/>
    <w:p>
      <w:pPr>
        <w:pStyle w:val="Heading2"/>
      </w:pPr>
      <w:r>
        <w:t xml:space="preserve">Multimedia Appendix 4</w:t>
      </w:r>
    </w:p>
    <w:p>
      <w:pPr>
        <w:pStyle w:val="FirstParagraph"/>
      </w:pPr>
      <w:r>
        <w:t xml:space="preserve">This file contains the full paired t-test results comparing AI and supervisor feedback scores on the Steiss et al. five-item analytic rubric, including mean differences and uncorrected</w:t>
      </w:r>
      <w:r>
        <w:t xml:space="preserve"> </w:t>
      </w:r>
      <w:r>
        <w:rPr>
          <w:i/>
          <w:iCs/>
        </w:rPr>
        <w:t xml:space="preserve">P</w:t>
      </w:r>
      <w:r>
        <w:t xml:space="preserve"> </w:t>
      </w:r>
      <w:r>
        <w:t xml:space="preserve">values that were omitted from Table 2 for readability.</w:t>
      </w:r>
    </w:p>
    <w:bookmarkEnd w:id="109"/>
    <w:bookmarkStart w:id="247" w:name="references"/>
    <w:p>
      <w:pPr>
        <w:pStyle w:val="Heading2"/>
      </w:pPr>
      <w:r>
        <w:t xml:space="preserve">References</w:t>
      </w:r>
    </w:p>
    <w:bookmarkStart w:id="246" w:name="refs"/>
    <w:bookmarkStart w:id="111"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10">
        <w:r>
          <w:rPr>
            <w:rStyle w:val="Hyperlink"/>
          </w:rPr>
          <w:t xml:space="preserve">38306581</w:t>
        </w:r>
      </w:hyperlink>
    </w:p>
    <w:bookmarkEnd w:id="111"/>
    <w:bookmarkStart w:id="113" w:name="ref-Ende1983-yv"/>
    <w:p>
      <w:pPr>
        <w:pStyle w:val="Bibliography"/>
      </w:pPr>
      <w:r>
        <w:t xml:space="preserve">2.</w:t>
      </w:r>
      <w:r>
        <w:t xml:space="preserve"> </w:t>
      </w:r>
      <w:r>
        <w:t xml:space="preserve">	</w:t>
      </w:r>
      <w:r>
        <w:t xml:space="preserve">Ende J. Feedback in clinical medical education. JAMA 1983 Aug 12;250(6):777–781. doi:</w:t>
      </w:r>
      <w:r>
        <w:t xml:space="preserve"> </w:t>
      </w:r>
      <w:hyperlink r:id="rId112">
        <w:r>
          <w:rPr>
            <w:rStyle w:val="Hyperlink"/>
          </w:rPr>
          <w:t xml:space="preserve">10.1001/jama.1983.03340060055026</w:t>
        </w:r>
      </w:hyperlink>
    </w:p>
    <w:bookmarkEnd w:id="113"/>
    <w:bookmarkStart w:id="115"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14">
        <w:r>
          <w:rPr>
            <w:rStyle w:val="Hyperlink"/>
          </w:rPr>
          <w:t xml:space="preserve">18158655</w:t>
        </w:r>
      </w:hyperlink>
    </w:p>
    <w:bookmarkEnd w:id="115"/>
    <w:bookmarkStart w:id="117"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6">
        <w:r>
          <w:rPr>
            <w:rStyle w:val="Hyperlink"/>
          </w:rPr>
          <w:t xml:space="preserve">33272265</w:t>
        </w:r>
      </w:hyperlink>
    </w:p>
    <w:bookmarkEnd w:id="117"/>
    <w:bookmarkStart w:id="119"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8">
        <w:r>
          <w:rPr>
            <w:rStyle w:val="Hyperlink"/>
          </w:rPr>
          <w:t xml:space="preserve">9541371</w:t>
        </w:r>
      </w:hyperlink>
    </w:p>
    <w:bookmarkEnd w:id="119"/>
    <w:bookmarkStart w:id="121"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20">
        <w:r>
          <w:rPr>
            <w:rStyle w:val="Hyperlink"/>
          </w:rPr>
          <w:t xml:space="preserve">23971889</w:t>
        </w:r>
      </w:hyperlink>
    </w:p>
    <w:bookmarkEnd w:id="121"/>
    <w:bookmarkStart w:id="123"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doi:</w:t>
      </w:r>
      <w:r>
        <w:t xml:space="preserve"> </w:t>
      </w:r>
      <w:hyperlink r:id="rId122">
        <w:r>
          <w:rPr>
            <w:rStyle w:val="Hyperlink"/>
          </w:rPr>
          <w:t xml:space="preserve">10.1007/s40670-024-02244-0</w:t>
        </w:r>
      </w:hyperlink>
    </w:p>
    <w:bookmarkEnd w:id="123"/>
    <w:bookmarkStart w:id="125"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24">
        <w:r>
          <w:rPr>
            <w:rStyle w:val="Hyperlink"/>
          </w:rPr>
          <w:t xml:space="preserve">30376659</w:t>
        </w:r>
      </w:hyperlink>
    </w:p>
    <w:bookmarkEnd w:id="125"/>
    <w:bookmarkStart w:id="127"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6">
        <w:r>
          <w:rPr>
            <w:rStyle w:val="Hyperlink"/>
          </w:rPr>
          <w:t xml:space="preserve">32195692</w:t>
        </w:r>
      </w:hyperlink>
    </w:p>
    <w:bookmarkEnd w:id="127"/>
    <w:bookmarkStart w:id="129"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8">
        <w:r>
          <w:rPr>
            <w:rStyle w:val="Hyperlink"/>
          </w:rPr>
          <w:t xml:space="preserve">20881691</w:t>
        </w:r>
      </w:hyperlink>
    </w:p>
    <w:bookmarkEnd w:id="129"/>
    <w:bookmarkStart w:id="131"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30">
        <w:r>
          <w:rPr>
            <w:rStyle w:val="Hyperlink"/>
          </w:rPr>
          <w:t xml:space="preserve">38639098</w:t>
        </w:r>
      </w:hyperlink>
    </w:p>
    <w:bookmarkEnd w:id="131"/>
    <w:bookmarkStart w:id="133"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32">
        <w:r>
          <w:rPr>
            <w:rStyle w:val="Hyperlink"/>
          </w:rPr>
          <w:t xml:space="preserve">10.1109/icalt58122.2023.00100</w:t>
        </w:r>
      </w:hyperlink>
    </w:p>
    <w:bookmarkEnd w:id="133"/>
    <w:bookmarkStart w:id="135"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34">
        <w:r>
          <w:rPr>
            <w:rStyle w:val="Hyperlink"/>
          </w:rPr>
          <w:t xml:space="preserve">38749814</w:t>
        </w:r>
      </w:hyperlink>
    </w:p>
    <w:bookmarkEnd w:id="135"/>
    <w:bookmarkStart w:id="137"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6">
        <w:r>
          <w:rPr>
            <w:rStyle w:val="Hyperlink"/>
          </w:rPr>
          <w:t xml:space="preserve">37261894</w:t>
        </w:r>
      </w:hyperlink>
    </w:p>
    <w:bookmarkEnd w:id="137"/>
    <w:bookmarkStart w:id="139" w:name="ref-LeCun2015-gf"/>
    <w:p>
      <w:pPr>
        <w:pStyle w:val="Bibliography"/>
      </w:pPr>
      <w:r>
        <w:t xml:space="preserve">15.</w:t>
      </w:r>
      <w:r>
        <w:t xml:space="preserve"> </w:t>
      </w:r>
      <w:r>
        <w:t xml:space="preserve">	</w:t>
      </w:r>
      <w:r>
        <w:t xml:space="preserve">LeCun Y, Bengio Y, Hinton G. Deep learning. Nature 2015 May 28;521(7553):436–444. PMID:</w:t>
      </w:r>
      <w:hyperlink r:id="rId138">
        <w:r>
          <w:rPr>
            <w:rStyle w:val="Hyperlink"/>
          </w:rPr>
          <w:t xml:space="preserve">26017442</w:t>
        </w:r>
      </w:hyperlink>
    </w:p>
    <w:bookmarkEnd w:id="139"/>
    <w:bookmarkStart w:id="141"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40">
        <w:r>
          <w:rPr>
            <w:rStyle w:val="Hyperlink"/>
          </w:rPr>
          <w:t xml:space="preserve">36950398</w:t>
        </w:r>
      </w:hyperlink>
    </w:p>
    <w:bookmarkEnd w:id="141"/>
    <w:bookmarkStart w:id="143"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42">
        <w:r>
          <w:rPr>
            <w:rStyle w:val="Hyperlink"/>
          </w:rPr>
          <w:t xml:space="preserve">36916887</w:t>
        </w:r>
      </w:hyperlink>
    </w:p>
    <w:bookmarkEnd w:id="143"/>
    <w:bookmarkStart w:id="145"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44">
        <w:r>
          <w:rPr>
            <w:rStyle w:val="Hyperlink"/>
          </w:rPr>
          <w:t xml:space="preserve">10.1016/j.learninstruc.2024.101894</w:t>
        </w:r>
      </w:hyperlink>
    </w:p>
    <w:bookmarkEnd w:id="145"/>
    <w:bookmarkStart w:id="147"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6">
        <w:r>
          <w:rPr>
            <w:rStyle w:val="Hyperlink"/>
          </w:rPr>
          <w:t xml:space="preserve">10.1016/j.iot.2024.101101</w:t>
        </w:r>
      </w:hyperlink>
    </w:p>
    <w:bookmarkEnd w:id="147"/>
    <w:bookmarkStart w:id="149"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8">
        <w:r>
          <w:rPr>
            <w:rStyle w:val="Hyperlink"/>
          </w:rPr>
          <w:t xml:space="preserve">39799065</w:t>
        </w:r>
      </w:hyperlink>
    </w:p>
    <w:bookmarkEnd w:id="149"/>
    <w:bookmarkStart w:id="151"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50">
        <w:r>
          <w:rPr>
            <w:rStyle w:val="Hyperlink"/>
          </w:rPr>
          <w:t xml:space="preserve">10.3390/ime4030027</w:t>
        </w:r>
      </w:hyperlink>
    </w:p>
    <w:bookmarkEnd w:id="151"/>
    <w:bookmarkStart w:id="153"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52">
        <w:r>
          <w:rPr>
            <w:rStyle w:val="Hyperlink"/>
          </w:rPr>
          <w:t xml:space="preserve">39656920</w:t>
        </w:r>
      </w:hyperlink>
    </w:p>
    <w:bookmarkEnd w:id="153"/>
    <w:bookmarkStart w:id="155"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54">
        <w:r>
          <w:rPr>
            <w:rStyle w:val="Hyperlink"/>
          </w:rPr>
          <w:t xml:space="preserve">10.1080/02602938.2025.2487495</w:t>
        </w:r>
      </w:hyperlink>
    </w:p>
    <w:bookmarkEnd w:id="155"/>
    <w:bookmarkStart w:id="157"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6">
        <w:r>
          <w:rPr>
            <w:rStyle w:val="Hyperlink"/>
          </w:rPr>
          <w:t xml:space="preserve">10.1111/bjet.13558</w:t>
        </w:r>
      </w:hyperlink>
    </w:p>
    <w:bookmarkEnd w:id="157"/>
    <w:bookmarkStart w:id="159"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8">
        <w:r>
          <w:rPr>
            <w:rStyle w:val="Hyperlink"/>
          </w:rPr>
          <w:t xml:space="preserve">40528415</w:t>
        </w:r>
      </w:hyperlink>
    </w:p>
    <w:bookmarkEnd w:id="159"/>
    <w:bookmarkStart w:id="161"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60">
        <w:r>
          <w:rPr>
            <w:rStyle w:val="Hyperlink"/>
          </w:rPr>
          <w:t xml:space="preserve">39346122</w:t>
        </w:r>
      </w:hyperlink>
    </w:p>
    <w:bookmarkEnd w:id="161"/>
    <w:bookmarkStart w:id="163"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62">
        <w:r>
          <w:rPr>
            <w:rStyle w:val="Hyperlink"/>
          </w:rPr>
          <w:t xml:space="preserve">39889694</w:t>
        </w:r>
      </w:hyperlink>
    </w:p>
    <w:bookmarkEnd w:id="163"/>
    <w:bookmarkStart w:id="165"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64">
        <w:r>
          <w:rPr>
            <w:rStyle w:val="Hyperlink"/>
          </w:rPr>
          <w:t xml:space="preserve">37498660</w:t>
        </w:r>
      </w:hyperlink>
    </w:p>
    <w:bookmarkEnd w:id="165"/>
    <w:bookmarkStart w:id="167"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6">
        <w:r>
          <w:rPr>
            <w:rStyle w:val="Hyperlink"/>
          </w:rPr>
          <w:t xml:space="preserve">35950329</w:t>
        </w:r>
      </w:hyperlink>
    </w:p>
    <w:bookmarkEnd w:id="167"/>
    <w:bookmarkStart w:id="169"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8">
        <w:r>
          <w:rPr>
            <w:rStyle w:val="Hyperlink"/>
          </w:rPr>
          <w:t xml:space="preserve">36189452</w:t>
        </w:r>
      </w:hyperlink>
    </w:p>
    <w:bookmarkEnd w:id="169"/>
    <w:bookmarkStart w:id="171"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70">
        <w:r>
          <w:rPr>
            <w:rStyle w:val="Hyperlink"/>
          </w:rPr>
          <w:t xml:space="preserve">38144672</w:t>
        </w:r>
      </w:hyperlink>
    </w:p>
    <w:bookmarkEnd w:id="171"/>
    <w:bookmarkStart w:id="173"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72">
        <w:r>
          <w:rPr>
            <w:rStyle w:val="Hyperlink"/>
          </w:rPr>
          <w:t xml:space="preserve">10.1016/j.system.2024.103529</w:t>
        </w:r>
      </w:hyperlink>
    </w:p>
    <w:bookmarkEnd w:id="173"/>
    <w:bookmarkStart w:id="175"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74">
        <w:r>
          <w:rPr>
            <w:rStyle w:val="Hyperlink"/>
          </w:rPr>
          <w:t xml:space="preserve">10.1007/978-3-031-72315-5_20</w:t>
        </w:r>
      </w:hyperlink>
      <w:r>
        <w:t xml:space="preserve">ISBN:9783031723148</w:t>
      </w:r>
    </w:p>
    <w:bookmarkEnd w:id="175"/>
    <w:bookmarkStart w:id="177"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6">
        <w:r>
          <w:rPr>
            <w:rStyle w:val="Hyperlink"/>
          </w:rPr>
          <w:t xml:space="preserve">10.48550/arXiv.2504.10961</w:t>
        </w:r>
      </w:hyperlink>
    </w:p>
    <w:bookmarkEnd w:id="177"/>
    <w:bookmarkStart w:id="179"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8">
        <w:r>
          <w:rPr>
            <w:rStyle w:val="Hyperlink"/>
          </w:rPr>
          <w:t xml:space="preserve">10.1145/3706468.3706479</w:t>
        </w:r>
      </w:hyperlink>
    </w:p>
    <w:bookmarkEnd w:id="179"/>
    <w:bookmarkStart w:id="181"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80">
        <w:r>
          <w:rPr>
            <w:rStyle w:val="Hyperlink"/>
          </w:rPr>
          <w:t xml:space="preserve">39545499</w:t>
        </w:r>
      </w:hyperlink>
    </w:p>
    <w:bookmarkEnd w:id="181"/>
    <w:bookmarkStart w:id="183"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82">
        <w:r>
          <w:rPr>
            <w:rStyle w:val="Hyperlink"/>
          </w:rPr>
          <w:t xml:space="preserve">24279835</w:t>
        </w:r>
      </w:hyperlink>
    </w:p>
    <w:bookmarkEnd w:id="183"/>
    <w:bookmarkStart w:id="185"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84">
        <w:r>
          <w:rPr>
            <w:rStyle w:val="Hyperlink"/>
          </w:rPr>
          <w:t xml:space="preserve">21275539</w:t>
        </w:r>
      </w:hyperlink>
    </w:p>
    <w:bookmarkEnd w:id="185"/>
    <w:bookmarkStart w:id="187" w:name="ref-Guetterman2015-qt"/>
    <w:p>
      <w:pPr>
        <w:pStyle w:val="Bibliography"/>
      </w:pPr>
      <w:r>
        <w:t xml:space="preserve">39.</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186">
        <w:r>
          <w:rPr>
            <w:rStyle w:val="Hyperlink"/>
          </w:rPr>
          <w:t xml:space="preserve">26553895</w:t>
        </w:r>
      </w:hyperlink>
    </w:p>
    <w:bookmarkEnd w:id="187"/>
    <w:bookmarkStart w:id="189" w:name="ref-McCrudden2021-eo"/>
    <w:p>
      <w:pPr>
        <w:pStyle w:val="Bibliography"/>
      </w:pPr>
      <w:r>
        <w:t xml:space="preserve">40.</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188">
        <w:r>
          <w:rPr>
            <w:rStyle w:val="Hyperlink"/>
          </w:rPr>
          <w:t xml:space="preserve">10.1016/j.metip.2021.100067</w:t>
        </w:r>
      </w:hyperlink>
    </w:p>
    <w:bookmarkEnd w:id="189"/>
    <w:bookmarkStart w:id="191" w:name="ref-Jacobsen2023-jl"/>
    <w:p>
      <w:pPr>
        <w:pStyle w:val="Bibliography"/>
      </w:pPr>
      <w:r>
        <w:t xml:space="preserve">41.</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90">
        <w:r>
          <w:rPr>
            <w:rStyle w:val="Hyperlink"/>
          </w:rPr>
          <w:t xml:space="preserve">10.31219/osf.io/cr257</w:t>
        </w:r>
      </w:hyperlink>
    </w:p>
    <w:bookmarkEnd w:id="191"/>
    <w:bookmarkStart w:id="193" w:name="ref-Van_Ostaeyen2023-ut"/>
    <w:p>
      <w:pPr>
        <w:pStyle w:val="Bibliography"/>
      </w:pPr>
      <w:r>
        <w:t xml:space="preserve">42.</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92">
        <w:r>
          <w:rPr>
            <w:rStyle w:val="Hyperlink"/>
          </w:rPr>
          <w:t xml:space="preserve">38144670</w:t>
        </w:r>
      </w:hyperlink>
    </w:p>
    <w:bookmarkEnd w:id="193"/>
    <w:bookmarkStart w:id="195" w:name="ref-OpenAI2024-uk"/>
    <w:p>
      <w:pPr>
        <w:pStyle w:val="Bibliography"/>
      </w:pPr>
      <w:r>
        <w:t xml:space="preserve">43.</w:t>
      </w:r>
      <w:r>
        <w:t xml:space="preserve"> </w:t>
      </w:r>
      <w:r>
        <w:t xml:space="preserve">	</w:t>
      </w:r>
      <w:r>
        <w:t xml:space="preserve">OpenAI. Models GPT-4o - OpenAI API. OpanAI Platform 2024. Available from:</w:t>
      </w:r>
      <w:r>
        <w:t xml:space="preserve"> </w:t>
      </w:r>
      <w:hyperlink r:id="rId194">
        <w:r>
          <w:rPr>
            <w:rStyle w:val="Hyperlink"/>
          </w:rPr>
          <w:t xml:space="preserve">https://platform.openai.com/docs/models/gpt-4o</w:t>
        </w:r>
        <w:r>
          <w:rPr>
            <w:rStyle w:val="Hyperlink"/>
          </w:rPr>
          <w:t xml:space="preserve"> </w:t>
        </w:r>
      </w:hyperlink>
    </w:p>
    <w:bookmarkEnd w:id="195"/>
    <w:bookmarkStart w:id="197" w:name="ref-Walde2023-vi"/>
    <w:p>
      <w:pPr>
        <w:pStyle w:val="Bibliography"/>
      </w:pPr>
      <w:r>
        <w:t xml:space="preserve">44.</w:t>
      </w:r>
      <w:r>
        <w:t xml:space="preserve"> </w:t>
      </w:r>
      <w:r>
        <w:t xml:space="preserve">	</w:t>
      </w:r>
      <w:r>
        <w:t xml:space="preserve">Walde P, Völlm BA. The TRAPD approach as a method for questionnaire translation. Front Psychiatry 2023 Jun 15;14:1199989. PMID:</w:t>
      </w:r>
      <w:hyperlink r:id="rId196">
        <w:r>
          <w:rPr>
            <w:rStyle w:val="Hyperlink"/>
          </w:rPr>
          <w:t xml:space="preserve">37398605</w:t>
        </w:r>
      </w:hyperlink>
    </w:p>
    <w:bookmarkEnd w:id="197"/>
    <w:bookmarkStart w:id="199" w:name="ref-van-de-Ridder2014-ld"/>
    <w:p>
      <w:pPr>
        <w:pStyle w:val="Bibliography"/>
      </w:pPr>
      <w:r>
        <w:t xml:space="preserve">45.</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98">
        <w:r>
          <w:rPr>
            <w:rStyle w:val="Hyperlink"/>
          </w:rPr>
          <w:t xml:space="preserve">25306959</w:t>
        </w:r>
      </w:hyperlink>
    </w:p>
    <w:bookmarkEnd w:id="199"/>
    <w:bookmarkStart w:id="201" w:name="ref-Tripodi2021-mc"/>
    <w:p>
      <w:pPr>
        <w:pStyle w:val="Bibliography"/>
      </w:pPr>
      <w:r>
        <w:t xml:space="preserve">46.</w:t>
      </w:r>
      <w:r>
        <w:t xml:space="preserve"> </w:t>
      </w:r>
      <w:r>
        <w:t xml:space="preserve">	</w:t>
      </w:r>
      <w:r>
        <w:t xml:space="preserve">Tripodi N, Feehan J, Wospil R, Vaughan B. Twelve tips for developing feedback literacy in health professions learners. Med Teach 2021 Aug;43(8):960–965. PMID:</w:t>
      </w:r>
      <w:hyperlink r:id="rId200">
        <w:r>
          <w:rPr>
            <w:rStyle w:val="Hyperlink"/>
          </w:rPr>
          <w:t xml:space="preserve">33131374</w:t>
        </w:r>
      </w:hyperlink>
    </w:p>
    <w:bookmarkEnd w:id="201"/>
    <w:bookmarkStart w:id="203" w:name="ref-R-Core-Team2024-jc"/>
    <w:p>
      <w:pPr>
        <w:pStyle w:val="Bibliography"/>
      </w:pPr>
      <w:r>
        <w:t xml:space="preserve">47.</w:t>
      </w:r>
      <w:r>
        <w:t xml:space="preserve"> </w:t>
      </w:r>
      <w:r>
        <w:t xml:space="preserve">	</w:t>
      </w:r>
      <w:r>
        <w:t xml:space="preserve">R Core Team. R: A Language and Environment for Statistical Computing. 2024. Available from:</w:t>
      </w:r>
      <w:r>
        <w:t xml:space="preserve"> </w:t>
      </w:r>
      <w:hyperlink r:id="rId202">
        <w:r>
          <w:rPr>
            <w:rStyle w:val="Hyperlink"/>
          </w:rPr>
          <w:t xml:space="preserve">https://www.R-project.org/</w:t>
        </w:r>
        <w:r>
          <w:rPr>
            <w:rStyle w:val="Hyperlink"/>
          </w:rPr>
          <w:t xml:space="preserve"> </w:t>
        </w:r>
      </w:hyperlink>
    </w:p>
    <w:bookmarkEnd w:id="203"/>
    <w:bookmarkStart w:id="205" w:name="ref-Zhang2018-kh"/>
    <w:p>
      <w:pPr>
        <w:pStyle w:val="Bibliography"/>
      </w:pPr>
      <w:r>
        <w:t xml:space="preserve">48.</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204">
        <w:r>
          <w:rPr>
            <w:rStyle w:val="Hyperlink"/>
          </w:rPr>
          <w:t xml:space="preserve">10.18653/v1/w18-6303</w:t>
        </w:r>
      </w:hyperlink>
    </w:p>
    <w:bookmarkEnd w:id="205"/>
    <w:bookmarkStart w:id="207" w:name="ref-Nowell2017-qr"/>
    <w:p>
      <w:pPr>
        <w:pStyle w:val="Bibliography"/>
      </w:pPr>
      <w:r>
        <w:t xml:space="preserve">49.</w:t>
      </w:r>
      <w:r>
        <w:t xml:space="preserve"> </w:t>
      </w:r>
      <w:r>
        <w:t xml:space="preserve">	</w:t>
      </w:r>
      <w:r>
        <w:t xml:space="preserve">Nowell LS, Norris JM, White DE, Moules NJ. Thematic analysis. Int J Qual Methods SAGE Publications; 2017 Dec;16(1):160940691773384. doi:</w:t>
      </w:r>
      <w:r>
        <w:t xml:space="preserve"> </w:t>
      </w:r>
      <w:hyperlink r:id="rId206">
        <w:r>
          <w:rPr>
            <w:rStyle w:val="Hyperlink"/>
          </w:rPr>
          <w:t xml:space="preserve">10.1177/1609406917733847</w:t>
        </w:r>
      </w:hyperlink>
    </w:p>
    <w:bookmarkEnd w:id="207"/>
    <w:bookmarkStart w:id="209" w:name="ref-Levitt2018-jq"/>
    <w:p>
      <w:pPr>
        <w:pStyle w:val="Bibliography"/>
      </w:pPr>
      <w:r>
        <w:t xml:space="preserve">50.</w:t>
      </w:r>
      <w:r>
        <w:t xml:space="preserve"> </w:t>
      </w:r>
      <w:r>
        <w:t xml:space="preserve">	</w:t>
      </w:r>
      <w:r>
        <w:t xml:space="preserve">Levitt HM, Bamberg M, Creswell JW, Frost DM, Josselson R, Suárez-Orozco C. Journal article reporting standards for qualitative primary, qualitative meta-analytic, and mixed methods research in psychology: The APA Publications and Communications Board task force report. American Psychologist American Psychological Association (APA); 2018 Jan;73(1):26–46. doi:</w:t>
      </w:r>
      <w:r>
        <w:t xml:space="preserve"> </w:t>
      </w:r>
      <w:hyperlink r:id="rId208">
        <w:r>
          <w:rPr>
            <w:rStyle w:val="Hyperlink"/>
          </w:rPr>
          <w:t xml:space="preserve">10.1037/amp0000151</w:t>
        </w:r>
      </w:hyperlink>
    </w:p>
    <w:bookmarkEnd w:id="209"/>
    <w:bookmarkStart w:id="211" w:name="ref-Ahmed2025-tm"/>
    <w:p>
      <w:pPr>
        <w:pStyle w:val="Bibliography"/>
      </w:pPr>
      <w:r>
        <w:t xml:space="preserve">51.</w:t>
      </w:r>
      <w:r>
        <w:t xml:space="preserve"> </w:t>
      </w:r>
      <w:r>
        <w:t xml:space="preserve">	</w:t>
      </w:r>
      <w:r>
        <w:t xml:space="preserve">Ahmed SK, Mohammed RA, Nashwan AJ, Ibrahim RH, Abdalla AQ, M. Ameen BM, Khdhir RM. Using thematic analysis in qualitative research. Journal of Medicine, Surgery, and Public Health Elsevier BV; 2025 Aug;6:100198. doi:</w:t>
      </w:r>
      <w:r>
        <w:t xml:space="preserve"> </w:t>
      </w:r>
      <w:hyperlink r:id="rId210">
        <w:r>
          <w:rPr>
            <w:rStyle w:val="Hyperlink"/>
          </w:rPr>
          <w:t xml:space="preserve">10.1016/j.glmedi.2025.100198</w:t>
        </w:r>
      </w:hyperlink>
    </w:p>
    <w:bookmarkEnd w:id="211"/>
    <w:bookmarkStart w:id="213" w:name="ref-Curtis2024-yo"/>
    <w:p>
      <w:pPr>
        <w:pStyle w:val="Bibliography"/>
      </w:pPr>
      <w:r>
        <w:t xml:space="preserve">52.</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12">
        <w:r>
          <w:rPr>
            <w:rStyle w:val="Hyperlink"/>
          </w:rPr>
          <w:t xml:space="preserve">39807150</w:t>
        </w:r>
      </w:hyperlink>
    </w:p>
    <w:bookmarkEnd w:id="213"/>
    <w:bookmarkStart w:id="215" w:name="ref-Leclair2023-ul"/>
    <w:p>
      <w:pPr>
        <w:pStyle w:val="Bibliography"/>
      </w:pPr>
      <w:r>
        <w:t xml:space="preserve">53.</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14">
        <w:r>
          <w:rPr>
            <w:rStyle w:val="Hyperlink"/>
          </w:rPr>
          <w:t xml:space="preserve">37216002</w:t>
        </w:r>
      </w:hyperlink>
    </w:p>
    <w:bookmarkEnd w:id="215"/>
    <w:bookmarkStart w:id="217" w:name="ref-Renting2023-pk"/>
    <w:p>
      <w:pPr>
        <w:pStyle w:val="Bibliography"/>
      </w:pPr>
      <w:r>
        <w:t xml:space="preserve">54.</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16">
        <w:r>
          <w:rPr>
            <w:rStyle w:val="Hyperlink"/>
          </w:rPr>
          <w:t xml:space="preserve">37770280</w:t>
        </w:r>
      </w:hyperlink>
    </w:p>
    <w:bookmarkEnd w:id="217"/>
    <w:bookmarkStart w:id="219" w:name="ref-Zhou2025-fj"/>
    <w:p>
      <w:pPr>
        <w:pStyle w:val="Bibliography"/>
      </w:pPr>
      <w:r>
        <w:t xml:space="preserve">55.</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18">
        <w:r>
          <w:rPr>
            <w:rStyle w:val="Hyperlink"/>
          </w:rPr>
          <w:t xml:space="preserve">39984362</w:t>
        </w:r>
      </w:hyperlink>
    </w:p>
    <w:bookmarkEnd w:id="219"/>
    <w:bookmarkStart w:id="221" w:name="ref-Dornan2014-eu"/>
    <w:p>
      <w:pPr>
        <w:pStyle w:val="Bibliography"/>
      </w:pPr>
      <w:r>
        <w:t xml:space="preserve">56.</w:t>
      </w:r>
      <w:r>
        <w:t xml:space="preserve"> </w:t>
      </w:r>
      <w:r>
        <w:t xml:space="preserve">	</w:t>
      </w:r>
      <w:r>
        <w:t xml:space="preserve">Dornan T, Tan N, Boshuizen H, Gick R, Isba R, Mann K, Scherpbier A, Spencer J, Timmins E. How and what do medical students learn in clerkships? Experience based learning (ExBL). Adv Health Sci Educ Theory Pract Springer Science and Business Media LLC; 2014 Dec 18;19(5):721–749. PMID:</w:t>
      </w:r>
      <w:hyperlink r:id="rId220">
        <w:r>
          <w:rPr>
            <w:rStyle w:val="Hyperlink"/>
          </w:rPr>
          <w:t xml:space="preserve">24638146</w:t>
        </w:r>
      </w:hyperlink>
    </w:p>
    <w:bookmarkEnd w:id="221"/>
    <w:bookmarkStart w:id="223" w:name="ref-Yardley2012-ci"/>
    <w:p>
      <w:pPr>
        <w:pStyle w:val="Bibliography"/>
      </w:pPr>
      <w:r>
        <w:t xml:space="preserve">57.</w:t>
      </w:r>
      <w:r>
        <w:t xml:space="preserve"> </w:t>
      </w:r>
      <w:r>
        <w:t xml:space="preserve">	</w:t>
      </w:r>
      <w:r>
        <w:t xml:space="preserve">Yardley S, Teunissen PW, Dornan T. Experiential learning: AMEE Guide No. 63. Med Teach 2012 Feb 1;34(2):e102–e115. doi:</w:t>
      </w:r>
      <w:r>
        <w:t xml:space="preserve"> </w:t>
      </w:r>
      <w:hyperlink r:id="rId222">
        <w:r>
          <w:rPr>
            <w:rStyle w:val="Hyperlink"/>
          </w:rPr>
          <w:t xml:space="preserve">10.3109/0142159X.2012.650741</w:t>
        </w:r>
      </w:hyperlink>
    </w:p>
    <w:bookmarkEnd w:id="223"/>
    <w:bookmarkStart w:id="225" w:name="ref-Morris2026-sa"/>
    <w:p>
      <w:pPr>
        <w:pStyle w:val="Bibliography"/>
      </w:pPr>
      <w:r>
        <w:t xml:space="preserve">58.</w:t>
      </w:r>
      <w:r>
        <w:t xml:space="preserve"> </w:t>
      </w:r>
      <w:r>
        <w:t xml:space="preserve">	</w:t>
      </w:r>
      <w:r>
        <w:t xml:space="preserve">Morris C, Maes P. Same Feedback, Different Source: How AI vs. Human Feedback Shapes Learner Engagement. arXiv; 2026. doi:</w:t>
      </w:r>
      <w:r>
        <w:t xml:space="preserve"> </w:t>
      </w:r>
      <w:hyperlink r:id="rId224">
        <w:r>
          <w:rPr>
            <w:rStyle w:val="Hyperlink"/>
          </w:rPr>
          <w:t xml:space="preserve">10.48550/ARXIV.2602.11311</w:t>
        </w:r>
      </w:hyperlink>
    </w:p>
    <w:bookmarkEnd w:id="225"/>
    <w:bookmarkStart w:id="227" w:name="ref-Maher2026-au"/>
    <w:p>
      <w:pPr>
        <w:pStyle w:val="Bibliography"/>
      </w:pPr>
      <w:r>
        <w:t xml:space="preserve">59.</w:t>
      </w:r>
      <w:r>
        <w:t xml:space="preserve"> </w:t>
      </w:r>
      <w:r>
        <w:t xml:space="preserve">	</w:t>
      </w:r>
      <w:r>
        <w:t xml:space="preserve">Maher J, Byszewski A, Lochnan H. Whose Voice is it Anyway? Artificial Intelligence and the New Crisis of Authenticity in Medical Education. Perspect Med Educ Ubiquity Press, Ltd.; 2026 Apr 1;15(1):351–355. doi:</w:t>
      </w:r>
      <w:r>
        <w:t xml:space="preserve"> </w:t>
      </w:r>
      <w:hyperlink r:id="rId226">
        <w:r>
          <w:rPr>
            <w:rStyle w:val="Hyperlink"/>
          </w:rPr>
          <w:t xml:space="preserve">10.5334/pme.2265</w:t>
        </w:r>
      </w:hyperlink>
    </w:p>
    <w:bookmarkEnd w:id="227"/>
    <w:bookmarkStart w:id="229" w:name="ref-strasser-2026"/>
    <w:p>
      <w:pPr>
        <w:pStyle w:val="Bibliography"/>
      </w:pPr>
      <w:r>
        <w:t xml:space="preserve">60.</w:t>
      </w:r>
      <w:r>
        <w:t xml:space="preserve"> </w:t>
      </w:r>
      <w:r>
        <w:t xml:space="preserve">	</w:t>
      </w:r>
      <w:r>
        <w:t xml:space="preserve">Strasser LM, Anschuetz W, Dennstädt F, Hastings J. Performance Evaluation of Large Language Models in Multilingual Medical Multiple-Choice Questions: Mixed Methods Study. JMIR Med Educ JMIR Publications Inc.; 2026 Mar 5;12:e81399–e81399. doi:</w:t>
      </w:r>
      <w:r>
        <w:t xml:space="preserve"> </w:t>
      </w:r>
      <w:hyperlink r:id="rId228">
        <w:r>
          <w:rPr>
            <w:rStyle w:val="Hyperlink"/>
          </w:rPr>
          <w:t xml:space="preserve">10.2196/81399</w:t>
        </w:r>
      </w:hyperlink>
    </w:p>
    <w:bookmarkEnd w:id="229"/>
    <w:bookmarkStart w:id="231" w:name="ref-harigai-2024"/>
    <w:p>
      <w:pPr>
        <w:pStyle w:val="Bibliography"/>
      </w:pPr>
      <w:r>
        <w:t xml:space="preserve">61.</w:t>
      </w:r>
      <w:r>
        <w:t xml:space="preserve"> </w:t>
      </w:r>
      <w:r>
        <w:t xml:space="preserve">	</w:t>
      </w:r>
      <w:r>
        <w:t xml:space="preserve">Harigai A, Toyama Y, Nagano M, Abe M, Kawabata M, Li L, Yamamura J, Takase K. Response accuracy of GPT-4 across languages: insights from an expert-level diagnostic radiology examination in Japan. Jpn J Radiol Springer Science and Business Media LLC; 2024 Oct 28;43(2):319–329. doi:</w:t>
      </w:r>
      <w:r>
        <w:t xml:space="preserve"> </w:t>
      </w:r>
      <w:hyperlink r:id="rId230">
        <w:r>
          <w:rPr>
            <w:rStyle w:val="Hyperlink"/>
          </w:rPr>
          <w:t xml:space="preserve">10.1007/s11604-024-01673-6</w:t>
        </w:r>
      </w:hyperlink>
    </w:p>
    <w:bookmarkEnd w:id="231"/>
    <w:bookmarkStart w:id="233" w:name="ref-Nishigori2014-qc"/>
    <w:p>
      <w:pPr>
        <w:pStyle w:val="Bibliography"/>
      </w:pPr>
      <w:r>
        <w:t xml:space="preserve">62.</w:t>
      </w:r>
      <w:r>
        <w:t xml:space="preserve"> </w:t>
      </w:r>
      <w:r>
        <w:t xml:space="preserve">	</w:t>
      </w:r>
      <w:r>
        <w:t xml:space="preserve">Nishigori H, Harrison R, Busari J, Dornan T. Bushido and Medical Professionalism in Japan. Acad Med 2014;89(4):560–563. PMID:</w:t>
      </w:r>
      <w:hyperlink r:id="rId232">
        <w:r>
          <w:rPr>
            <w:rStyle w:val="Hyperlink"/>
          </w:rPr>
          <w:t xml:space="preserve">24556758</w:t>
        </w:r>
      </w:hyperlink>
    </w:p>
    <w:bookmarkEnd w:id="233"/>
    <w:bookmarkStart w:id="235" w:name="ref-Khojasteh2025-vd"/>
    <w:p>
      <w:pPr>
        <w:pStyle w:val="Bibliography"/>
      </w:pPr>
      <w:r>
        <w:t xml:space="preserve">63.</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34">
        <w:r>
          <w:rPr>
            <w:rStyle w:val="Hyperlink"/>
          </w:rPr>
          <w:t xml:space="preserve">39891148</w:t>
        </w:r>
      </w:hyperlink>
    </w:p>
    <w:bookmarkEnd w:id="235"/>
    <w:bookmarkStart w:id="237" w:name="ref-Banihashem2025-zo"/>
    <w:p>
      <w:pPr>
        <w:pStyle w:val="Bibliography"/>
      </w:pPr>
      <w:r>
        <w:t xml:space="preserve">64.</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36">
        <w:r>
          <w:rPr>
            <w:rStyle w:val="Hyperlink"/>
          </w:rPr>
          <w:t xml:space="preserve">10.1080/14703297.2025.2499174</w:t>
        </w:r>
      </w:hyperlink>
    </w:p>
    <w:bookmarkEnd w:id="237"/>
    <w:bookmarkStart w:id="239" w:name="ref-Biggs1996-yt"/>
    <w:p>
      <w:pPr>
        <w:pStyle w:val="Bibliography"/>
      </w:pPr>
      <w:r>
        <w:t xml:space="preserve">65.</w:t>
      </w:r>
      <w:r>
        <w:t xml:space="preserve"> </w:t>
      </w:r>
      <w:r>
        <w:t xml:space="preserve">	</w:t>
      </w:r>
      <w:r>
        <w:t xml:space="preserve">Biggs J. Enhancing teaching through constructive alignment. Higher Education 1996 Oct 1;32(3):347–364. doi:</w:t>
      </w:r>
      <w:r>
        <w:t xml:space="preserve"> </w:t>
      </w:r>
      <w:hyperlink r:id="rId238">
        <w:r>
          <w:rPr>
            <w:rStyle w:val="Hyperlink"/>
          </w:rPr>
          <w:t xml:space="preserve">10.1007/BF00138871</w:t>
        </w:r>
      </w:hyperlink>
    </w:p>
    <w:bookmarkEnd w:id="239"/>
    <w:bookmarkStart w:id="241" w:name="ref-snchezmendiola-2025"/>
    <w:p>
      <w:pPr>
        <w:pStyle w:val="Bibliography"/>
      </w:pPr>
      <w:r>
        <w:t xml:space="preserve">66.</w:t>
      </w:r>
      <w:r>
        <w:t xml:space="preserve"> </w:t>
      </w:r>
      <w:r>
        <w:t xml:space="preserve">	</w:t>
      </w:r>
      <w:r>
        <w:t xml:space="preserve">Sánchez-Mendiola M, Anakin M, Findyartini A, Levine R, Da Silva A, Vakani FS. Applied insights for using Generative Artificial Intelligence in Faculty Development in Health Professions Education. MedEdPublish F1000 Research Ltd; 2025 Dec 8;15:279. doi:</w:t>
      </w:r>
      <w:r>
        <w:t xml:space="preserve"> </w:t>
      </w:r>
      <w:hyperlink r:id="rId240">
        <w:r>
          <w:rPr>
            <w:rStyle w:val="Hyperlink"/>
          </w:rPr>
          <w:t xml:space="preserve">10.12688/mep.21403.1</w:t>
        </w:r>
      </w:hyperlink>
    </w:p>
    <w:bookmarkEnd w:id="241"/>
    <w:bookmarkStart w:id="243" w:name="ref-Yavuz2024-vj"/>
    <w:p>
      <w:pPr>
        <w:pStyle w:val="Bibliography"/>
      </w:pPr>
      <w:r>
        <w:t xml:space="preserve">67.</w:t>
      </w:r>
      <w:r>
        <w:t xml:space="preserve"> </w:t>
      </w:r>
      <w:r>
        <w:t xml:space="preserve">	</w:t>
      </w:r>
      <w:r>
        <w:t xml:space="preserve">Yavuz F, Çelik Ö, Yavaş Çelik G. Utilizing large language models for EFL essay grading: An examination of reliability and validity in rubric‐based assessments. Br J Educ Technol Wiley; 2024 Jun 4;56(1):150–166. doi:</w:t>
      </w:r>
      <w:r>
        <w:t xml:space="preserve"> </w:t>
      </w:r>
      <w:hyperlink r:id="rId242">
        <w:r>
          <w:rPr>
            <w:rStyle w:val="Hyperlink"/>
          </w:rPr>
          <w:t xml:space="preserve">10.1111/bjet.13494</w:t>
        </w:r>
      </w:hyperlink>
    </w:p>
    <w:bookmarkEnd w:id="243"/>
    <w:bookmarkStart w:id="245" w:name="ref-suchikova-2026"/>
    <w:p>
      <w:pPr>
        <w:pStyle w:val="Bibliography"/>
      </w:pPr>
      <w:r>
        <w:t xml:space="preserve">68.</w:t>
      </w:r>
      <w:r>
        <w:t xml:space="preserve"> </w:t>
      </w:r>
      <w:r>
        <w:t xml:space="preserve">	</w:t>
      </w:r>
      <w:r>
        <w:t xml:space="preserve">Suchikova Y, Tsybuliak N, Teixeira da Silva JA, Nazarovets S. GAIDeT (Generative AI Delegation Taxonomy): A taxonomy for humans to delegate tasks to generative artificial intelligence in scientific research and publishing. Account Res United States; 2026 Apr;33(3):2544331. PMID:</w:t>
      </w:r>
      <w:hyperlink r:id="rId244">
        <w:r>
          <w:rPr>
            <w:rStyle w:val="Hyperlink"/>
          </w:rPr>
          <w:t xml:space="preserve">40781729</w:t>
        </w:r>
      </w:hyperlink>
    </w:p>
    <w:bookmarkEnd w:id="245"/>
    <w:bookmarkEnd w:id="246"/>
    <w:bookmarkEnd w:id="247"/>
    <w:bookmarkEnd w:id="2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svg" /><Relationship Type="http://schemas.openxmlformats.org/officeDocument/2006/relationships/image" Id="rId54" Target="media/rId54.svg" /><Relationship Type="http://schemas.openxmlformats.org/officeDocument/2006/relationships/image" Id="rId66" Target="media/rId66.svg" /><Relationship Type="http://schemas.openxmlformats.org/officeDocument/2006/relationships/image" Id="rId49" Target="media/rId49.svg" /><Relationship Type="http://schemas.openxmlformats.org/officeDocument/2006/relationships/image" Id="rId26" Target="media/rId26.svg" /><Relationship Type="http://schemas.openxmlformats.org/officeDocument/2006/relationships/image" Id="rId78" Target="media/rId78.svg" /><Relationship Type="http://schemas.openxmlformats.org/officeDocument/2006/relationships/hyperlink" Id="rId112" Target="https://doi.org/10.1001/jama.1983.03340060055026" TargetMode="External" /><Relationship Type="http://schemas.openxmlformats.org/officeDocument/2006/relationships/hyperlink" Id="rId174" Target="https://doi.org/10.1007/978-3-031-72315-5_20" TargetMode="External" /><Relationship Type="http://schemas.openxmlformats.org/officeDocument/2006/relationships/hyperlink" Id="rId238" Target="https://doi.org/10.1007/BF00138871" TargetMode="External" /><Relationship Type="http://schemas.openxmlformats.org/officeDocument/2006/relationships/hyperlink" Id="rId230" Target="https://doi.org/10.1007/s11604-024-01673-6" TargetMode="External" /><Relationship Type="http://schemas.openxmlformats.org/officeDocument/2006/relationships/hyperlink" Id="rId122" Target="https://doi.org/10.1007/s40670-024-02244-0" TargetMode="External" /><Relationship Type="http://schemas.openxmlformats.org/officeDocument/2006/relationships/hyperlink" Id="rId210" Target="https://doi.org/10.1016/j.glmedi.2025.100198" TargetMode="External" /><Relationship Type="http://schemas.openxmlformats.org/officeDocument/2006/relationships/hyperlink" Id="rId146" Target="https://doi.org/10.1016/j.iot.2024.101101" TargetMode="External" /><Relationship Type="http://schemas.openxmlformats.org/officeDocument/2006/relationships/hyperlink" Id="rId144" Target="https://doi.org/10.1016/j.learninstruc.2024.101894" TargetMode="External" /><Relationship Type="http://schemas.openxmlformats.org/officeDocument/2006/relationships/hyperlink" Id="rId188" Target="https://doi.org/10.1016/j.metip.2021.100067" TargetMode="External" /><Relationship Type="http://schemas.openxmlformats.org/officeDocument/2006/relationships/hyperlink" Id="rId172" Target="https://doi.org/10.1016/j.system.2024.103529" TargetMode="External" /><Relationship Type="http://schemas.openxmlformats.org/officeDocument/2006/relationships/hyperlink" Id="rId208" Target="https://doi.org/10.1037/amp0000151" TargetMode="External" /><Relationship Type="http://schemas.openxmlformats.org/officeDocument/2006/relationships/hyperlink" Id="rId154" Target="https://doi.org/10.1080/02602938.2025.2487495" TargetMode="External" /><Relationship Type="http://schemas.openxmlformats.org/officeDocument/2006/relationships/hyperlink" Id="rId236" Target="https://doi.org/10.1080/14703297.2025.2499174" TargetMode="External" /><Relationship Type="http://schemas.openxmlformats.org/officeDocument/2006/relationships/hyperlink" Id="rId132" Target="https://doi.org/10.1109/icalt58122.2023.00100" TargetMode="External" /><Relationship Type="http://schemas.openxmlformats.org/officeDocument/2006/relationships/hyperlink" Id="rId242" Target="https://doi.org/10.1111/bjet.13494" TargetMode="External" /><Relationship Type="http://schemas.openxmlformats.org/officeDocument/2006/relationships/hyperlink" Id="rId156" Target="https://doi.org/10.1111/bjet.13558" TargetMode="External" /><Relationship Type="http://schemas.openxmlformats.org/officeDocument/2006/relationships/hyperlink" Id="rId178" Target="https://doi.org/10.1145/3706468.3706479" TargetMode="External" /><Relationship Type="http://schemas.openxmlformats.org/officeDocument/2006/relationships/hyperlink" Id="rId206" Target="https://doi.org/10.1177/1609406917733847" TargetMode="External" /><Relationship Type="http://schemas.openxmlformats.org/officeDocument/2006/relationships/hyperlink" Id="rId240" Target="https://doi.org/10.12688/mep.21403.1" TargetMode="External" /><Relationship Type="http://schemas.openxmlformats.org/officeDocument/2006/relationships/hyperlink" Id="rId204" Target="https://doi.org/10.18653/v1/w18-6303" TargetMode="External" /><Relationship Type="http://schemas.openxmlformats.org/officeDocument/2006/relationships/hyperlink" Id="rId228" Target="https://doi.org/10.2196/81399" TargetMode="External" /><Relationship Type="http://schemas.openxmlformats.org/officeDocument/2006/relationships/hyperlink" Id="rId222" Target="https://doi.org/10.3109/0142159X.2012.650741" TargetMode="External" /><Relationship Type="http://schemas.openxmlformats.org/officeDocument/2006/relationships/hyperlink" Id="rId190" Target="https://doi.org/10.31219/osf.io/cr257" TargetMode="External" /><Relationship Type="http://schemas.openxmlformats.org/officeDocument/2006/relationships/hyperlink" Id="rId150" Target="https://doi.org/10.3390/ime4030027" TargetMode="External" /><Relationship Type="http://schemas.openxmlformats.org/officeDocument/2006/relationships/hyperlink" Id="rId224" Target="https://doi.org/10.48550/ARXIV.2602.11311" TargetMode="External" /><Relationship Type="http://schemas.openxmlformats.org/officeDocument/2006/relationships/hyperlink" Id="rId176" Target="https://doi.org/10.48550/arXiv.2504.10961" TargetMode="External" /><Relationship Type="http://schemas.openxmlformats.org/officeDocument/2006/relationships/hyperlink" Id="rId226" Target="https://doi.org/10.5334/pme.2265" TargetMode="External" /><Relationship Type="http://schemas.openxmlformats.org/officeDocument/2006/relationships/hyperlink" Id="rId194" Target="https://platform.openai.com/docs/models/gpt-4o" TargetMode="External" /><Relationship Type="http://schemas.openxmlformats.org/officeDocument/2006/relationships/hyperlink" Id="rId202" Target="https://www.R-project.org/" TargetMode="External" /><Relationship Type="http://schemas.openxmlformats.org/officeDocument/2006/relationships/hyperlink" Id="rId114" Target="https://www.ncbi.nlm.nih.gov/pubmed/18158655" TargetMode="External" /><Relationship Type="http://schemas.openxmlformats.org/officeDocument/2006/relationships/hyperlink" Id="rId128" Target="https://www.ncbi.nlm.nih.gov/pubmed/20881691" TargetMode="External" /><Relationship Type="http://schemas.openxmlformats.org/officeDocument/2006/relationships/hyperlink" Id="rId184" Target="https://www.ncbi.nlm.nih.gov/pubmed/21275539" TargetMode="External" /><Relationship Type="http://schemas.openxmlformats.org/officeDocument/2006/relationships/hyperlink" Id="rId120" Target="https://www.ncbi.nlm.nih.gov/pubmed/23971889" TargetMode="External" /><Relationship Type="http://schemas.openxmlformats.org/officeDocument/2006/relationships/hyperlink" Id="rId182" Target="https://www.ncbi.nlm.nih.gov/pubmed/24279835" TargetMode="External" /><Relationship Type="http://schemas.openxmlformats.org/officeDocument/2006/relationships/hyperlink" Id="rId232" Target="https://www.ncbi.nlm.nih.gov/pubmed/24556758" TargetMode="External" /><Relationship Type="http://schemas.openxmlformats.org/officeDocument/2006/relationships/hyperlink" Id="rId220" Target="https://www.ncbi.nlm.nih.gov/pubmed/24638146" TargetMode="External" /><Relationship Type="http://schemas.openxmlformats.org/officeDocument/2006/relationships/hyperlink" Id="rId198" Target="https://www.ncbi.nlm.nih.gov/pubmed/25306959" TargetMode="External" /><Relationship Type="http://schemas.openxmlformats.org/officeDocument/2006/relationships/hyperlink" Id="rId138" Target="https://www.ncbi.nlm.nih.gov/pubmed/26017442" TargetMode="External" /><Relationship Type="http://schemas.openxmlformats.org/officeDocument/2006/relationships/hyperlink" Id="rId186" Target="https://www.ncbi.nlm.nih.gov/pubmed/26553895" TargetMode="External" /><Relationship Type="http://schemas.openxmlformats.org/officeDocument/2006/relationships/hyperlink" Id="rId124" Target="https://www.ncbi.nlm.nih.gov/pubmed/30376659" TargetMode="External" /><Relationship Type="http://schemas.openxmlformats.org/officeDocument/2006/relationships/hyperlink" Id="rId126" Target="https://www.ncbi.nlm.nih.gov/pubmed/32195692" TargetMode="External" /><Relationship Type="http://schemas.openxmlformats.org/officeDocument/2006/relationships/hyperlink" Id="rId200" Target="https://www.ncbi.nlm.nih.gov/pubmed/33131374" TargetMode="External" /><Relationship Type="http://schemas.openxmlformats.org/officeDocument/2006/relationships/hyperlink" Id="rId116" Target="https://www.ncbi.nlm.nih.gov/pubmed/33272265" TargetMode="External" /><Relationship Type="http://schemas.openxmlformats.org/officeDocument/2006/relationships/hyperlink" Id="rId166" Target="https://www.ncbi.nlm.nih.gov/pubmed/35950329" TargetMode="External" /><Relationship Type="http://schemas.openxmlformats.org/officeDocument/2006/relationships/hyperlink" Id="rId168" Target="https://www.ncbi.nlm.nih.gov/pubmed/36189452" TargetMode="External" /><Relationship Type="http://schemas.openxmlformats.org/officeDocument/2006/relationships/hyperlink" Id="rId142" Target="https://www.ncbi.nlm.nih.gov/pubmed/36916887" TargetMode="External" /><Relationship Type="http://schemas.openxmlformats.org/officeDocument/2006/relationships/hyperlink" Id="rId140" Target="https://www.ncbi.nlm.nih.gov/pubmed/36950398" TargetMode="External" /><Relationship Type="http://schemas.openxmlformats.org/officeDocument/2006/relationships/hyperlink" Id="rId214" Target="https://www.ncbi.nlm.nih.gov/pubmed/37216002" TargetMode="External" /><Relationship Type="http://schemas.openxmlformats.org/officeDocument/2006/relationships/hyperlink" Id="rId136" Target="https://www.ncbi.nlm.nih.gov/pubmed/37261894" TargetMode="External" /><Relationship Type="http://schemas.openxmlformats.org/officeDocument/2006/relationships/hyperlink" Id="rId196" Target="https://www.ncbi.nlm.nih.gov/pubmed/37398605" TargetMode="External" /><Relationship Type="http://schemas.openxmlformats.org/officeDocument/2006/relationships/hyperlink" Id="rId164" Target="https://www.ncbi.nlm.nih.gov/pubmed/37498660" TargetMode="External" /><Relationship Type="http://schemas.openxmlformats.org/officeDocument/2006/relationships/hyperlink" Id="rId216" Target="https://www.ncbi.nlm.nih.gov/pubmed/37770280" TargetMode="External" /><Relationship Type="http://schemas.openxmlformats.org/officeDocument/2006/relationships/hyperlink" Id="rId192" Target="https://www.ncbi.nlm.nih.gov/pubmed/38144670" TargetMode="External" /><Relationship Type="http://schemas.openxmlformats.org/officeDocument/2006/relationships/hyperlink" Id="rId170" Target="https://www.ncbi.nlm.nih.gov/pubmed/38144672" TargetMode="External" /><Relationship Type="http://schemas.openxmlformats.org/officeDocument/2006/relationships/hyperlink" Id="rId110" Target="https://www.ncbi.nlm.nih.gov/pubmed/38306581" TargetMode="External" /><Relationship Type="http://schemas.openxmlformats.org/officeDocument/2006/relationships/hyperlink" Id="rId130" Target="https://www.ncbi.nlm.nih.gov/pubmed/38639098" TargetMode="External" /><Relationship Type="http://schemas.openxmlformats.org/officeDocument/2006/relationships/hyperlink" Id="rId134" Target="https://www.ncbi.nlm.nih.gov/pubmed/38749814" TargetMode="External" /><Relationship Type="http://schemas.openxmlformats.org/officeDocument/2006/relationships/hyperlink" Id="rId160" Target="https://www.ncbi.nlm.nih.gov/pubmed/39346122" TargetMode="External" /><Relationship Type="http://schemas.openxmlformats.org/officeDocument/2006/relationships/hyperlink" Id="rId180" Target="https://www.ncbi.nlm.nih.gov/pubmed/39545499" TargetMode="External" /><Relationship Type="http://schemas.openxmlformats.org/officeDocument/2006/relationships/hyperlink" Id="rId152" Target="https://www.ncbi.nlm.nih.gov/pubmed/39656920" TargetMode="External" /><Relationship Type="http://schemas.openxmlformats.org/officeDocument/2006/relationships/hyperlink" Id="rId148" Target="https://www.ncbi.nlm.nih.gov/pubmed/39799065" TargetMode="External" /><Relationship Type="http://schemas.openxmlformats.org/officeDocument/2006/relationships/hyperlink" Id="rId212" Target="https://www.ncbi.nlm.nih.gov/pubmed/39807150" TargetMode="External" /><Relationship Type="http://schemas.openxmlformats.org/officeDocument/2006/relationships/hyperlink" Id="rId162" Target="https://www.ncbi.nlm.nih.gov/pubmed/39889694" TargetMode="External" /><Relationship Type="http://schemas.openxmlformats.org/officeDocument/2006/relationships/hyperlink" Id="rId234" Target="https://www.ncbi.nlm.nih.gov/pubmed/39891148" TargetMode="External" /><Relationship Type="http://schemas.openxmlformats.org/officeDocument/2006/relationships/hyperlink" Id="rId218" Target="https://www.ncbi.nlm.nih.gov/pubmed/39984362" TargetMode="External" /><Relationship Type="http://schemas.openxmlformats.org/officeDocument/2006/relationships/hyperlink" Id="rId158" Target="https://www.ncbi.nlm.nih.gov/pubmed/40528415" TargetMode="External" /><Relationship Type="http://schemas.openxmlformats.org/officeDocument/2006/relationships/hyperlink" Id="rId244" Target="https://www.ncbi.nlm.nih.gov/pubmed/40781729" TargetMode="External" /><Relationship Type="http://schemas.openxmlformats.org/officeDocument/2006/relationships/hyperlink" Id="rId118" Target="https://www.ncbi.nlm.nih.gov/pubmed/9541371" TargetMode="External" /></Relationships>
</file>

<file path=word/_rels/footnotes.xml.rels><?xml version="1.0" encoding="UTF-8"?><Relationships xmlns="http://schemas.openxmlformats.org/package/2006/relationships"><Relationship Type="http://schemas.openxmlformats.org/officeDocument/2006/relationships/hyperlink" Id="rId112" Target="https://doi.org/10.1001/jama.1983.03340060055026" TargetMode="External" /><Relationship Type="http://schemas.openxmlformats.org/officeDocument/2006/relationships/hyperlink" Id="rId174" Target="https://doi.org/10.1007/978-3-031-72315-5_20" TargetMode="External" /><Relationship Type="http://schemas.openxmlformats.org/officeDocument/2006/relationships/hyperlink" Id="rId238" Target="https://doi.org/10.1007/BF00138871" TargetMode="External" /><Relationship Type="http://schemas.openxmlformats.org/officeDocument/2006/relationships/hyperlink" Id="rId230" Target="https://doi.org/10.1007/s11604-024-01673-6" TargetMode="External" /><Relationship Type="http://schemas.openxmlformats.org/officeDocument/2006/relationships/hyperlink" Id="rId122" Target="https://doi.org/10.1007/s40670-024-02244-0" TargetMode="External" /><Relationship Type="http://schemas.openxmlformats.org/officeDocument/2006/relationships/hyperlink" Id="rId210" Target="https://doi.org/10.1016/j.glmedi.2025.100198" TargetMode="External" /><Relationship Type="http://schemas.openxmlformats.org/officeDocument/2006/relationships/hyperlink" Id="rId146" Target="https://doi.org/10.1016/j.iot.2024.101101" TargetMode="External" /><Relationship Type="http://schemas.openxmlformats.org/officeDocument/2006/relationships/hyperlink" Id="rId144" Target="https://doi.org/10.1016/j.learninstruc.2024.101894" TargetMode="External" /><Relationship Type="http://schemas.openxmlformats.org/officeDocument/2006/relationships/hyperlink" Id="rId188" Target="https://doi.org/10.1016/j.metip.2021.100067" TargetMode="External" /><Relationship Type="http://schemas.openxmlformats.org/officeDocument/2006/relationships/hyperlink" Id="rId172" Target="https://doi.org/10.1016/j.system.2024.103529" TargetMode="External" /><Relationship Type="http://schemas.openxmlformats.org/officeDocument/2006/relationships/hyperlink" Id="rId208" Target="https://doi.org/10.1037/amp0000151" TargetMode="External" /><Relationship Type="http://schemas.openxmlformats.org/officeDocument/2006/relationships/hyperlink" Id="rId154" Target="https://doi.org/10.1080/02602938.2025.2487495" TargetMode="External" /><Relationship Type="http://schemas.openxmlformats.org/officeDocument/2006/relationships/hyperlink" Id="rId236" Target="https://doi.org/10.1080/14703297.2025.2499174" TargetMode="External" /><Relationship Type="http://schemas.openxmlformats.org/officeDocument/2006/relationships/hyperlink" Id="rId132" Target="https://doi.org/10.1109/icalt58122.2023.00100" TargetMode="External" /><Relationship Type="http://schemas.openxmlformats.org/officeDocument/2006/relationships/hyperlink" Id="rId242" Target="https://doi.org/10.1111/bjet.13494" TargetMode="External" /><Relationship Type="http://schemas.openxmlformats.org/officeDocument/2006/relationships/hyperlink" Id="rId156" Target="https://doi.org/10.1111/bjet.13558" TargetMode="External" /><Relationship Type="http://schemas.openxmlformats.org/officeDocument/2006/relationships/hyperlink" Id="rId178" Target="https://doi.org/10.1145/3706468.3706479" TargetMode="External" /><Relationship Type="http://schemas.openxmlformats.org/officeDocument/2006/relationships/hyperlink" Id="rId206" Target="https://doi.org/10.1177/1609406917733847" TargetMode="External" /><Relationship Type="http://schemas.openxmlformats.org/officeDocument/2006/relationships/hyperlink" Id="rId240" Target="https://doi.org/10.12688/mep.21403.1" TargetMode="External" /><Relationship Type="http://schemas.openxmlformats.org/officeDocument/2006/relationships/hyperlink" Id="rId204" Target="https://doi.org/10.18653/v1/w18-6303" TargetMode="External" /><Relationship Type="http://schemas.openxmlformats.org/officeDocument/2006/relationships/hyperlink" Id="rId228" Target="https://doi.org/10.2196/81399" TargetMode="External" /><Relationship Type="http://schemas.openxmlformats.org/officeDocument/2006/relationships/hyperlink" Id="rId222" Target="https://doi.org/10.3109/0142159X.2012.650741" TargetMode="External" /><Relationship Type="http://schemas.openxmlformats.org/officeDocument/2006/relationships/hyperlink" Id="rId190" Target="https://doi.org/10.31219/osf.io/cr257" TargetMode="External" /><Relationship Type="http://schemas.openxmlformats.org/officeDocument/2006/relationships/hyperlink" Id="rId150" Target="https://doi.org/10.3390/ime4030027" TargetMode="External" /><Relationship Type="http://schemas.openxmlformats.org/officeDocument/2006/relationships/hyperlink" Id="rId224" Target="https://doi.org/10.48550/ARXIV.2602.11311" TargetMode="External" /><Relationship Type="http://schemas.openxmlformats.org/officeDocument/2006/relationships/hyperlink" Id="rId176" Target="https://doi.org/10.48550/arXiv.2504.10961" TargetMode="External" /><Relationship Type="http://schemas.openxmlformats.org/officeDocument/2006/relationships/hyperlink" Id="rId226" Target="https://doi.org/10.5334/pme.2265" TargetMode="External" /><Relationship Type="http://schemas.openxmlformats.org/officeDocument/2006/relationships/hyperlink" Id="rId194" Target="https://platform.openai.com/docs/models/gpt-4o" TargetMode="External" /><Relationship Type="http://schemas.openxmlformats.org/officeDocument/2006/relationships/hyperlink" Id="rId202" Target="https://www.R-project.org/" TargetMode="External" /><Relationship Type="http://schemas.openxmlformats.org/officeDocument/2006/relationships/hyperlink" Id="rId114" Target="https://www.ncbi.nlm.nih.gov/pubmed/18158655" TargetMode="External" /><Relationship Type="http://schemas.openxmlformats.org/officeDocument/2006/relationships/hyperlink" Id="rId128" Target="https://www.ncbi.nlm.nih.gov/pubmed/20881691" TargetMode="External" /><Relationship Type="http://schemas.openxmlformats.org/officeDocument/2006/relationships/hyperlink" Id="rId184" Target="https://www.ncbi.nlm.nih.gov/pubmed/21275539" TargetMode="External" /><Relationship Type="http://schemas.openxmlformats.org/officeDocument/2006/relationships/hyperlink" Id="rId120" Target="https://www.ncbi.nlm.nih.gov/pubmed/23971889" TargetMode="External" /><Relationship Type="http://schemas.openxmlformats.org/officeDocument/2006/relationships/hyperlink" Id="rId182" Target="https://www.ncbi.nlm.nih.gov/pubmed/24279835" TargetMode="External" /><Relationship Type="http://schemas.openxmlformats.org/officeDocument/2006/relationships/hyperlink" Id="rId232" Target="https://www.ncbi.nlm.nih.gov/pubmed/24556758" TargetMode="External" /><Relationship Type="http://schemas.openxmlformats.org/officeDocument/2006/relationships/hyperlink" Id="rId220" Target="https://www.ncbi.nlm.nih.gov/pubmed/24638146" TargetMode="External" /><Relationship Type="http://schemas.openxmlformats.org/officeDocument/2006/relationships/hyperlink" Id="rId198" Target="https://www.ncbi.nlm.nih.gov/pubmed/25306959" TargetMode="External" /><Relationship Type="http://schemas.openxmlformats.org/officeDocument/2006/relationships/hyperlink" Id="rId138" Target="https://www.ncbi.nlm.nih.gov/pubmed/26017442" TargetMode="External" /><Relationship Type="http://schemas.openxmlformats.org/officeDocument/2006/relationships/hyperlink" Id="rId186" Target="https://www.ncbi.nlm.nih.gov/pubmed/26553895" TargetMode="External" /><Relationship Type="http://schemas.openxmlformats.org/officeDocument/2006/relationships/hyperlink" Id="rId124" Target="https://www.ncbi.nlm.nih.gov/pubmed/30376659" TargetMode="External" /><Relationship Type="http://schemas.openxmlformats.org/officeDocument/2006/relationships/hyperlink" Id="rId126" Target="https://www.ncbi.nlm.nih.gov/pubmed/32195692" TargetMode="External" /><Relationship Type="http://schemas.openxmlformats.org/officeDocument/2006/relationships/hyperlink" Id="rId200" Target="https://www.ncbi.nlm.nih.gov/pubmed/33131374" TargetMode="External" /><Relationship Type="http://schemas.openxmlformats.org/officeDocument/2006/relationships/hyperlink" Id="rId116" Target="https://www.ncbi.nlm.nih.gov/pubmed/33272265" TargetMode="External" /><Relationship Type="http://schemas.openxmlformats.org/officeDocument/2006/relationships/hyperlink" Id="rId166" Target="https://www.ncbi.nlm.nih.gov/pubmed/35950329" TargetMode="External" /><Relationship Type="http://schemas.openxmlformats.org/officeDocument/2006/relationships/hyperlink" Id="rId168" Target="https://www.ncbi.nlm.nih.gov/pubmed/36189452" TargetMode="External" /><Relationship Type="http://schemas.openxmlformats.org/officeDocument/2006/relationships/hyperlink" Id="rId142" Target="https://www.ncbi.nlm.nih.gov/pubmed/36916887" TargetMode="External" /><Relationship Type="http://schemas.openxmlformats.org/officeDocument/2006/relationships/hyperlink" Id="rId140" Target="https://www.ncbi.nlm.nih.gov/pubmed/36950398" TargetMode="External" /><Relationship Type="http://schemas.openxmlformats.org/officeDocument/2006/relationships/hyperlink" Id="rId214" Target="https://www.ncbi.nlm.nih.gov/pubmed/37216002" TargetMode="External" /><Relationship Type="http://schemas.openxmlformats.org/officeDocument/2006/relationships/hyperlink" Id="rId136" Target="https://www.ncbi.nlm.nih.gov/pubmed/37261894" TargetMode="External" /><Relationship Type="http://schemas.openxmlformats.org/officeDocument/2006/relationships/hyperlink" Id="rId196" Target="https://www.ncbi.nlm.nih.gov/pubmed/37398605" TargetMode="External" /><Relationship Type="http://schemas.openxmlformats.org/officeDocument/2006/relationships/hyperlink" Id="rId164" Target="https://www.ncbi.nlm.nih.gov/pubmed/37498660" TargetMode="External" /><Relationship Type="http://schemas.openxmlformats.org/officeDocument/2006/relationships/hyperlink" Id="rId216" Target="https://www.ncbi.nlm.nih.gov/pubmed/37770280" TargetMode="External" /><Relationship Type="http://schemas.openxmlformats.org/officeDocument/2006/relationships/hyperlink" Id="rId192" Target="https://www.ncbi.nlm.nih.gov/pubmed/38144670" TargetMode="External" /><Relationship Type="http://schemas.openxmlformats.org/officeDocument/2006/relationships/hyperlink" Id="rId170" Target="https://www.ncbi.nlm.nih.gov/pubmed/38144672" TargetMode="External" /><Relationship Type="http://schemas.openxmlformats.org/officeDocument/2006/relationships/hyperlink" Id="rId110" Target="https://www.ncbi.nlm.nih.gov/pubmed/38306581" TargetMode="External" /><Relationship Type="http://schemas.openxmlformats.org/officeDocument/2006/relationships/hyperlink" Id="rId130" Target="https://www.ncbi.nlm.nih.gov/pubmed/38639098" TargetMode="External" /><Relationship Type="http://schemas.openxmlformats.org/officeDocument/2006/relationships/hyperlink" Id="rId134" Target="https://www.ncbi.nlm.nih.gov/pubmed/38749814" TargetMode="External" /><Relationship Type="http://schemas.openxmlformats.org/officeDocument/2006/relationships/hyperlink" Id="rId160" Target="https://www.ncbi.nlm.nih.gov/pubmed/39346122" TargetMode="External" /><Relationship Type="http://schemas.openxmlformats.org/officeDocument/2006/relationships/hyperlink" Id="rId180" Target="https://www.ncbi.nlm.nih.gov/pubmed/39545499" TargetMode="External" /><Relationship Type="http://schemas.openxmlformats.org/officeDocument/2006/relationships/hyperlink" Id="rId152" Target="https://www.ncbi.nlm.nih.gov/pubmed/39656920" TargetMode="External" /><Relationship Type="http://schemas.openxmlformats.org/officeDocument/2006/relationships/hyperlink" Id="rId148" Target="https://www.ncbi.nlm.nih.gov/pubmed/39799065" TargetMode="External" /><Relationship Type="http://schemas.openxmlformats.org/officeDocument/2006/relationships/hyperlink" Id="rId212" Target="https://www.ncbi.nlm.nih.gov/pubmed/39807150" TargetMode="External" /><Relationship Type="http://schemas.openxmlformats.org/officeDocument/2006/relationships/hyperlink" Id="rId162" Target="https://www.ncbi.nlm.nih.gov/pubmed/39889694" TargetMode="External" /><Relationship Type="http://schemas.openxmlformats.org/officeDocument/2006/relationships/hyperlink" Id="rId234" Target="https://www.ncbi.nlm.nih.gov/pubmed/39891148" TargetMode="External" /><Relationship Type="http://schemas.openxmlformats.org/officeDocument/2006/relationships/hyperlink" Id="rId218" Target="https://www.ncbi.nlm.nih.gov/pubmed/39984362" TargetMode="External" /><Relationship Type="http://schemas.openxmlformats.org/officeDocument/2006/relationships/hyperlink" Id="rId158" Target="https://www.ncbi.nlm.nih.gov/pubmed/40528415" TargetMode="External" /><Relationship Type="http://schemas.openxmlformats.org/officeDocument/2006/relationships/hyperlink" Id="rId244" Target="https://www.ncbi.nlm.nih.gov/pubmed/40781729" TargetMode="External" /><Relationship Type="http://schemas.openxmlformats.org/officeDocument/2006/relationships/hyperlink" Id="rId118" Target="https://www.ncbi.nlm.nih.gov/pubmed/9541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2026-05-05T22:47:48Z</dcterms:created>
  <dcterms:modified xsi:type="dcterms:W3CDTF">2026-05-05T22:47:48Z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