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600f03abf923406d020e3aab808b7703c80f33"/>
    <w:p>
      <w:pPr>
        <w:pStyle w:val="Heading1"/>
      </w:pPr>
      <w:r>
        <w:t xml:space="preserve">Comparing AI-Generated and Human-Written Texts</w:t>
      </w:r>
    </w:p>
    <w:bookmarkStart w:id="24" w:name="researches"/>
    <w:p>
      <w:pPr>
        <w:pStyle w:val="Heading2"/>
      </w:pPr>
      <w:r>
        <w:t xml:space="preserve">Researches</w:t>
      </w:r>
    </w:p>
    <w:bookmarkStart w:id="20" w:name="Xbd1cb5081dc60fd7c2668424b500c1e4d7b4e83"/>
    <w:p>
      <w:pPr>
        <w:pStyle w:val="Heading3"/>
      </w:pPr>
      <w:r>
        <w:t xml:space="preserve">Contrasting Linguistic Patterns in Human and LLM-Generated News Text</w:t>
      </w:r>
    </w:p>
    <w:p>
      <w:pPr>
        <w:pStyle w:val="FirstParagraph"/>
      </w:pPr>
      <w:r>
        <w:t xml:space="preserve">Real news articles and LLM-generated news (from six different models) were compared based on morphology, syntax, sentiment, and bias. Human-written news exhibited greater sentence length variability and richer vocabulary diversity, along with stronger emotional expression. LLM outputs showed less sentence variation, higher usage of numerals and symbols, and an amplification of gender biases present in the training data.</w:t>
      </w:r>
    </w:p>
    <w:p>
      <w:pPr>
        <w:pStyle w:val="BodyText"/>
      </w:pPr>
      <w:r>
        <w:t xml:space="preserve">(Muñoz-Ortiz, Gómez-Rodríguez, and Vilares 2024)</w:t>
      </w:r>
    </w:p>
    <w:bookmarkEnd w:id="20"/>
    <w:bookmarkStart w:id="21" w:name="X127fa50dfef71d5aea92c9502a0bda040a369a6"/>
    <w:p>
      <w:pPr>
        <w:pStyle w:val="Heading3"/>
      </w:pPr>
      <w:r>
        <w:t xml:space="preserve">Distinguishing Academic Science Writing from Humans or ChatGPT with Over 99% Accuracy Using Off-the-Shelf Machine Learning Tools</w:t>
      </w:r>
    </w:p>
    <w:p>
      <w:pPr>
        <w:pStyle w:val="FirstParagraph"/>
      </w:pPr>
      <w:r>
        <w:t xml:space="preserve">Perspective articles from Science were analyzed to extract features such as paragraph complexity, sentence-length variance, punctuation variety, and technical specificity. A machine learning classifier using these features distinguished human-written texts from ChatGPT (GPT-3.5) outputs with over 99% accuracy.</w:t>
      </w:r>
    </w:p>
    <w:p>
      <w:pPr>
        <w:pStyle w:val="BodyText"/>
      </w:pPr>
      <w:r>
        <w:t xml:space="preserve">(Desaire et al. 2023)</w:t>
      </w:r>
    </w:p>
    <w:bookmarkEnd w:id="21"/>
    <w:bookmarkStart w:id="22" w:name="X40b2c933f9cf7a86cbcc9a4202c933b11d28d2c"/>
    <w:p>
      <w:pPr>
        <w:pStyle w:val="Heading3"/>
      </w:pPr>
      <w:r>
        <w:t xml:space="preserve">AI-Generated vs Human-Authored Texts: A Multidimensional Comparison</w:t>
      </w:r>
    </w:p>
    <w:p>
      <w:pPr>
        <w:pStyle w:val="FirstParagraph"/>
      </w:pPr>
      <w:r>
        <w:t xml:space="preserve">Using Biber’s multidimensional register analysis, the study compared ChatGPT (GPT-3.5) outputs and human-authored texts across registers (conversation, essays, news, academic writing). AI-generated texts were more informational and lacked interpersonal, persuasive, and narrative features. Classification based on these dimensions distinguished AI vs human texts with approximately 79% accuracy for AI-generated and 69% for human texts.</w:t>
      </w:r>
    </w:p>
    <w:p>
      <w:pPr>
        <w:pStyle w:val="BodyText"/>
      </w:pPr>
      <w:r>
        <w:t xml:space="preserve">(Berber Sardinha 2024)</w:t>
      </w:r>
    </w:p>
    <w:bookmarkEnd w:id="22"/>
    <w:bookmarkStart w:id="23" w:name="comparison-table"/>
    <w:p>
      <w:pPr>
        <w:pStyle w:val="Heading3"/>
      </w:pPr>
      <w:r>
        <w:t xml:space="preserve">Comparison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Title</w:t>
            </w:r>
          </w:p>
        </w:tc>
        <w:tc>
          <w:tcPr/>
          <w:p>
            <w:pPr>
              <w:pStyle w:val="Compact"/>
            </w:pPr>
            <w:r>
              <w:t xml:space="preserve">Target Document</w:t>
            </w:r>
          </w:p>
        </w:tc>
        <w:tc>
          <w:tcPr/>
          <w:p>
            <w:pPr>
              <w:pStyle w:val="Compact"/>
            </w:pPr>
            <w:r>
              <w:t xml:space="preserve">Journal (Year)</w:t>
            </w:r>
          </w:p>
        </w:tc>
        <w:tc>
          <w:tcPr/>
          <w:p>
            <w:pPr>
              <w:pStyle w:val="Compact"/>
            </w:pPr>
            <w:r>
              <w:t xml:space="preserve">Key Differences Highlighted</w:t>
            </w:r>
          </w:p>
        </w:tc>
      </w:tr>
      <w:tr>
        <w:tc>
          <w:tcPr/>
          <w:p>
            <w:pPr>
              <w:pStyle w:val="Compact"/>
            </w:pPr>
            <w:r>
              <w:t xml:space="preserve">Contrasting Linguistic Patterns in Human and LLM-Generated News Text</w:t>
            </w:r>
          </w:p>
        </w:tc>
        <w:tc>
          <w:tcPr/>
          <w:p>
            <w:pPr>
              <w:pStyle w:val="Compact"/>
            </w:pPr>
            <w:r>
              <w:t xml:space="preserve">News Articles vs Multimodel LLM Outputs</w:t>
            </w:r>
          </w:p>
        </w:tc>
        <w:tc>
          <w:tcPr/>
          <w:p>
            <w:pPr>
              <w:pStyle w:val="Compact"/>
            </w:pPr>
            <w:r>
              <w:t xml:space="preserve">Artif. Intell. Rev. 57(10), 2024</w:t>
            </w:r>
          </w:p>
        </w:tc>
        <w:tc>
          <w:tcPr/>
          <w:p>
            <w:pPr>
              <w:pStyle w:val="Compact"/>
            </w:pPr>
            <w:r>
              <w:t xml:space="preserve">Sentence length variability; vocabulary diversity; emotional expression; numerals/symbols; amplified gender bias</w:t>
            </w:r>
          </w:p>
        </w:tc>
      </w:tr>
      <w:tr>
        <w:tc>
          <w:tcPr/>
          <w:p>
            <w:pPr>
              <w:pStyle w:val="Compact"/>
            </w:pPr>
            <w:r>
              <w:t xml:space="preserve">Distinguishing Academic Science Writing from Humans or ChatGPT with Over 99% Accuracy</w:t>
            </w:r>
          </w:p>
        </w:tc>
        <w:tc>
          <w:tcPr/>
          <w:p>
            <w:pPr>
              <w:pStyle w:val="Compact"/>
            </w:pPr>
            <w:r>
              <w:rPr>
                <w:i/>
                <w:iCs/>
              </w:rPr>
              <w:t xml:space="preserve">Science</w:t>
            </w:r>
            <w:r>
              <w:t xml:space="preserve"> </w:t>
            </w:r>
            <w:r>
              <w:t xml:space="preserve">Perspective Articles vs GPT-3.5 Outputs</w:t>
            </w:r>
          </w:p>
        </w:tc>
        <w:tc>
          <w:tcPr/>
          <w:p>
            <w:pPr>
              <w:pStyle w:val="Compact"/>
            </w:pPr>
            <w:r>
              <w:t xml:space="preserve">Cell Rep. Phys. Sci. 4(6), 2023</w:t>
            </w:r>
          </w:p>
        </w:tc>
        <w:tc>
          <w:tcPr/>
          <w:p>
            <w:pPr>
              <w:pStyle w:val="Compact"/>
            </w:pPr>
            <w:r>
              <w:t xml:space="preserve">Paragraph complexity; sentence-length variance; punctuation variety; technical specificity; &gt;99% classification accuracy</w:t>
            </w:r>
          </w:p>
        </w:tc>
      </w:tr>
      <w:tr>
        <w:tc>
          <w:tcPr/>
          <w:p>
            <w:pPr>
              <w:pStyle w:val="Compact"/>
            </w:pPr>
            <w:r>
              <w:t xml:space="preserve">AI-Generated vs Human-Authored Texts: A Multidimensional Comparison</w:t>
            </w:r>
          </w:p>
        </w:tc>
        <w:tc>
          <w:tcPr/>
          <w:p>
            <w:pPr>
              <w:pStyle w:val="Compact"/>
            </w:pPr>
            <w:r>
              <w:t xml:space="preserve">ChatGPT (GPT-3.5) vs Human Texts across Registers</w:t>
            </w:r>
          </w:p>
        </w:tc>
        <w:tc>
          <w:tcPr/>
          <w:p>
            <w:pPr>
              <w:pStyle w:val="Compact"/>
            </w:pPr>
            <w:r>
              <w:t xml:space="preserve">Applied Corpus Linguistics 4(1), 2024</w:t>
            </w:r>
          </w:p>
        </w:tc>
        <w:tc>
          <w:tcPr/>
          <w:p>
            <w:pPr>
              <w:pStyle w:val="Compact"/>
            </w:pPr>
            <w:r>
              <w:t xml:space="preserve">Informational vs interpersonal; persuasion markers; narrative elements; register variation; classification accuracy (~79% AI, ~69% human)</w:t>
            </w:r>
          </w:p>
        </w:tc>
      </w:tr>
    </w:tbl>
    <w:bookmarkEnd w:id="23"/>
    <w:bookmarkEnd w:id="24"/>
    <w:bookmarkStart w:id="32" w:name="references"/>
    <w:p>
      <w:pPr>
        <w:pStyle w:val="Heading2"/>
      </w:pPr>
      <w:r>
        <w:t xml:space="preserve">References</w:t>
      </w:r>
    </w:p>
    <w:bookmarkStart w:id="31" w:name="refs"/>
    <w:bookmarkStart w:id="26" w:name="ref-Berber-Sardinha2024-to"/>
    <w:p>
      <w:pPr>
        <w:pStyle w:val="Bibliography"/>
      </w:pPr>
      <w:r>
        <w:t xml:space="preserve">Berber Sardinha, Tony. 2024.</w:t>
      </w:r>
      <w:r>
        <w:t xml:space="preserve"> </w:t>
      </w:r>
      <w:r>
        <w:t xml:space="preserve">“</w:t>
      </w:r>
      <w:r>
        <w:t xml:space="preserve">AI</w:t>
      </w:r>
      <w:r>
        <w:t xml:space="preserve">-Generated Vs Human-Authored Texts: A Multidimensional Comparison.”</w:t>
      </w:r>
      <w:r>
        <w:t xml:space="preserve"> </w:t>
      </w:r>
      <w:r>
        <w:rPr>
          <w:i/>
          <w:iCs/>
        </w:rPr>
        <w:t xml:space="preserve">Applied Corpus Linguistics</w:t>
      </w:r>
      <w:r>
        <w:t xml:space="preserve"> </w:t>
      </w:r>
      <w:r>
        <w:t xml:space="preserve">4 (1): 100083.</w:t>
      </w:r>
      <w:r>
        <w:t xml:space="preserve"> </w:t>
      </w:r>
      <w:hyperlink r:id="rId25">
        <w:r>
          <w:rPr>
            <w:rStyle w:val="Hyperlink"/>
          </w:rPr>
          <w:t xml:space="preserve">https://doi.org/10.1016/j.acorp.2023.100083</w:t>
        </w:r>
      </w:hyperlink>
      <w:r>
        <w:t xml:space="preserve">.</w:t>
      </w:r>
    </w:p>
    <w:bookmarkEnd w:id="26"/>
    <w:bookmarkStart w:id="28" w:name="ref-Desaire2023-gy"/>
    <w:p>
      <w:pPr>
        <w:pStyle w:val="Bibliography"/>
      </w:pPr>
      <w:r>
        <w:t xml:space="preserve">Desaire, Heather, Aleesa E Chua, Madeline Isom, Romana Jarosova, and David Hua. 2023.</w:t>
      </w:r>
      <w:r>
        <w:t xml:space="preserve"> </w:t>
      </w:r>
      <w:r>
        <w:t xml:space="preserve">“Distinguishing Academic Science Writing from Humans or</w:t>
      </w:r>
      <w:r>
        <w:t xml:space="preserve"> </w:t>
      </w:r>
      <w:r>
        <w:t xml:space="preserve">ChatGPT</w:t>
      </w:r>
      <w:r>
        <w:t xml:space="preserve"> </w:t>
      </w:r>
      <w:r>
        <w:t xml:space="preserve">with over 99% Accuracy Using Off-the-Shelf Machine Learning Tools.”</w:t>
      </w:r>
      <w:r>
        <w:t xml:space="preserve"> </w:t>
      </w:r>
      <w:r>
        <w:rPr>
          <w:i/>
          <w:iCs/>
        </w:rPr>
        <w:t xml:space="preserve">Cell Rep. Phys. Sci.</w:t>
      </w:r>
      <w:r>
        <w:t xml:space="preserve"> </w:t>
      </w:r>
      <w:r>
        <w:t xml:space="preserve">4 (6): 101426.</w:t>
      </w:r>
      <w:r>
        <w:t xml:space="preserve"> </w:t>
      </w:r>
      <w:hyperlink r:id="rId27">
        <w:r>
          <w:rPr>
            <w:rStyle w:val="Hyperlink"/>
          </w:rPr>
          <w:t xml:space="preserve">https://doi.org/10.1016/j.xcrp.2023.101426</w:t>
        </w:r>
      </w:hyperlink>
      <w:r>
        <w:t xml:space="preserve">.</w:t>
      </w:r>
    </w:p>
    <w:bookmarkEnd w:id="28"/>
    <w:bookmarkStart w:id="30" w:name="ref-Munoz-Ortiz2024-yv"/>
    <w:p>
      <w:pPr>
        <w:pStyle w:val="Bibliography"/>
      </w:pPr>
      <w:r>
        <w:t xml:space="preserve">Muñoz-Ortiz, Alberto, Carlos Gómez-Rodríguez, and David Vilares. 2024.</w:t>
      </w:r>
      <w:r>
        <w:t xml:space="preserve"> </w:t>
      </w:r>
      <w:r>
        <w:t xml:space="preserve">“Contrasting Linguistic Patterns in Human and</w:t>
      </w:r>
      <w:r>
        <w:t xml:space="preserve"> </w:t>
      </w:r>
      <w:r>
        <w:t xml:space="preserve">LLM</w:t>
      </w:r>
      <w:r>
        <w:t xml:space="preserve">-Generated News Text.”</w:t>
      </w:r>
      <w:r>
        <w:t xml:space="preserve"> </w:t>
      </w:r>
      <w:r>
        <w:rPr>
          <w:i/>
          <w:iCs/>
        </w:rPr>
        <w:t xml:space="preserve">Artif. Intell. Rev.</w:t>
      </w:r>
      <w:r>
        <w:t xml:space="preserve"> </w:t>
      </w:r>
      <w:r>
        <w:t xml:space="preserve">57 (10): 265.</w:t>
      </w:r>
      <w:r>
        <w:t xml:space="preserve"> </w:t>
      </w:r>
      <w:hyperlink r:id="rId29">
        <w:r>
          <w:rPr>
            <w:rStyle w:val="Hyperlink"/>
          </w:rPr>
          <w:t xml:space="preserve">https://doi.org/10.1007/s10462-024-10903-2</w:t>
        </w:r>
      </w:hyperlink>
      <w:r>
        <w:t xml:space="preserve">.</w:t>
      </w:r>
    </w:p>
    <w:bookmarkEnd w:id="30"/>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doi.org/10.1007/s10462-024-10903-2" TargetMode="External" /><Relationship Type="http://schemas.openxmlformats.org/officeDocument/2006/relationships/hyperlink" Id="rId25" Target="https://doi.org/10.1016/j.acorp.2023.100083" TargetMode="External" /><Relationship Type="http://schemas.openxmlformats.org/officeDocument/2006/relationships/hyperlink" Id="rId27" Target="https://doi.org/10.1016/j.xcrp.2023.101426"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007/s10462-024-10903-2" TargetMode="External" /><Relationship Type="http://schemas.openxmlformats.org/officeDocument/2006/relationships/hyperlink" Id="rId25" Target="https://doi.org/10.1016/j.acorp.2023.100083" TargetMode="External" /><Relationship Type="http://schemas.openxmlformats.org/officeDocument/2006/relationships/hyperlink" Id="rId27" Target="https://doi.org/10.1016/j.xcrp.2023.1014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2025-06-19T02:54:24Z</dcterms:created>
  <dcterms:modified xsi:type="dcterms:W3CDTF">2025-06-19T02:54:24Z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citations.bib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