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from</w:t>
      </w:r>
      <w:r>
        <w:t xml:space="preserve"> </w:t>
      </w:r>
      <w:hyperlink r:id="rId20">
        <w:r>
          <w:rPr>
            <w:rStyle w:val="Hyperlink"/>
          </w:rPr>
          <w:t xml:space="preserve">Deep Research</w:t>
        </w:r>
      </w:hyperlink>
    </w:p>
    <w:bookmarkStart w:id="48" w:name="reflexivity"/>
    <w:p>
      <w:pPr>
        <w:pStyle w:val="Heading1"/>
      </w:pPr>
      <w:r>
        <w:t xml:space="preserve">Reflexivity</w:t>
      </w:r>
    </w:p>
    <w:p>
      <w:pPr>
        <w:pStyle w:val="FirstParagraph"/>
      </w:pPr>
      <w:r>
        <w:t xml:space="preserve">Reflexivity is a cornerstone of rigorous qualitative research, particularly in medical education. It involves the researcher’s conscious examination of how personal background, assumptions, and interactions influence the research process. Embracing reflexivity enhances the trustworthiness of a study and is recognized as a key criterion for high-quality qualitative research</w:t>
      </w:r>
      <w:r>
        <w:t xml:space="preserve"> </w:t>
      </w:r>
      <w:r>
        <w:t xml:space="preserve">(Berger 2015; Ramani and et al. 2018)</w:t>
      </w:r>
      <w:r>
        <w:t xml:space="preserve">.</w:t>
      </w:r>
    </w:p>
    <w:bookmarkStart w:id="21" w:name="X22f64a62e2b628a94d3c4e75b9656a4047d01a3"/>
    <w:p>
      <w:pPr>
        <w:pStyle w:val="Heading2"/>
      </w:pPr>
      <w:r>
        <w:t xml:space="preserve">Best Practices for Writing about Reflexivity</w:t>
      </w:r>
    </w:p>
    <w:p>
      <w:pPr>
        <w:pStyle w:val="FirstParagraph"/>
      </w:pPr>
      <w:r>
        <w:t xml:space="preserve">When writing about reflexivity in qualitative research, consider the following practices:</w:t>
      </w:r>
    </w:p>
    <w:p>
      <w:pPr>
        <w:numPr>
          <w:ilvl w:val="0"/>
          <w:numId w:val="1001"/>
        </w:numPr>
      </w:pPr>
      <w:r>
        <w:rPr>
          <w:b/>
          <w:bCs/>
        </w:rPr>
        <w:t xml:space="preserve">Position Yourself in Relation to the Research</w:t>
      </w:r>
      <w:r>
        <w:br/>
      </w:r>
      <w:r>
        <w:t xml:space="preserve">Describe your personal and professional experiences that connect you (and any co‐researchers) to the phenomenon under study. Explain how your background might influence study design, data collection, and interpretation. In team projects, detailing each member’s experiences helps acknowledge diverse perspectives and power differentials</w:t>
      </w:r>
      <w:r>
        <w:t xml:space="preserve"> </w:t>
      </w:r>
      <w:r>
        <w:t xml:space="preserve">(Barrett and and Colleagues 2020)</w:t>
      </w:r>
      <w:r>
        <w:t xml:space="preserve">.</w:t>
      </w:r>
    </w:p>
    <w:p>
      <w:pPr>
        <w:numPr>
          <w:ilvl w:val="0"/>
          <w:numId w:val="1001"/>
        </w:numPr>
      </w:pPr>
      <w:r>
        <w:rPr>
          <w:b/>
          <w:bCs/>
        </w:rPr>
        <w:t xml:space="preserve">State Your Assumptions and Philosophical Stance</w:t>
      </w:r>
      <w:r>
        <w:br/>
      </w:r>
      <w:r>
        <w:t xml:space="preserve">Clearly articulate the ontological and epistemological assumptions underlying your study. Discuss how you addressed or bracketed these assumptions and whether they evolved during the research process. Explicitly confronting these assumptions demonstrates methodological consistency</w:t>
      </w:r>
      <w:r>
        <w:t xml:space="preserve"> </w:t>
      </w:r>
      <w:r>
        <w:t xml:space="preserve">(Ramani and et al. 2018)</w:t>
      </w:r>
      <w:r>
        <w:t xml:space="preserve">.</w:t>
      </w:r>
    </w:p>
    <w:p>
      <w:pPr>
        <w:numPr>
          <w:ilvl w:val="0"/>
          <w:numId w:val="1001"/>
        </w:numPr>
      </w:pPr>
      <w:r>
        <w:rPr>
          <w:b/>
          <w:bCs/>
        </w:rPr>
        <w:t xml:space="preserve">Acknowledge Relationships and Power Dynamics</w:t>
      </w:r>
      <w:r>
        <w:br/>
      </w:r>
      <w:r>
        <w:t xml:space="preserve">Recognize how your relationship with participants may influence the research. Describe any roles you hold (e.g., teacher, clinician, peer) and discuss steps taken to manage potential power imbalances. For instance, one study noted that the lead researcher had no hierarchical relationship with the participants, while other team members in leadership roles were blinded to participant identities</w:t>
      </w:r>
      <w:r>
        <w:t xml:space="preserve"> </w:t>
      </w:r>
      <w:r>
        <w:t xml:space="preserve">(Barrett and and Colleagues 2020)</w:t>
      </w:r>
      <w:r>
        <w:t xml:space="preserve">.</w:t>
      </w:r>
    </w:p>
    <w:p>
      <w:pPr>
        <w:numPr>
          <w:ilvl w:val="0"/>
          <w:numId w:val="1001"/>
        </w:numPr>
      </w:pPr>
      <w:r>
        <w:rPr>
          <w:b/>
          <w:bCs/>
        </w:rPr>
        <w:t xml:space="preserve">Reflect on Ethical and Contextual Considerations</w:t>
      </w:r>
      <w:r>
        <w:br/>
      </w:r>
      <w:r>
        <w:t xml:space="preserve">Discuss how ethical challenges and contextual factors—such as institutional settings or cultural environments—shaped the research process. Articulating how you navigated consent, confidentiality, and emerging ethical dilemmas reinforces the study’s integrity</w:t>
      </w:r>
      <w:r>
        <w:t xml:space="preserve"> </w:t>
      </w:r>
      <w:r>
        <w:t xml:space="preserve">(Reid and and colleagues 2018)</w:t>
      </w:r>
      <w:r>
        <w:t xml:space="preserve">.</w:t>
      </w:r>
    </w:p>
    <w:p>
      <w:pPr>
        <w:numPr>
          <w:ilvl w:val="0"/>
          <w:numId w:val="1001"/>
        </w:numPr>
      </w:pPr>
      <w:r>
        <w:rPr>
          <w:b/>
          <w:bCs/>
        </w:rPr>
        <w:t xml:space="preserve">Detail Your Reflexive Process and Actions</w:t>
      </w:r>
      <w:r>
        <w:br/>
      </w:r>
      <w:r>
        <w:t xml:space="preserve">Explain how you engaged in reflexivity throughout the study. Common strategies include maintaining a reflexive journal, writing analytic memos after interviews, or holding regular debrief sessions with co‐researchers. This iterative process ensures that reflexivity is not merely a checkbox, but a continuous practice embedded in every stage of the research</w:t>
      </w:r>
      <w:r>
        <w:t xml:space="preserve"> </w:t>
      </w:r>
      <w:r>
        <w:t xml:space="preserve">(Olmos-Vega and et al. 2022)</w:t>
      </w:r>
      <w:r>
        <w:t xml:space="preserve">.</w:t>
      </w:r>
    </w:p>
    <w:p>
      <w:pPr>
        <w:numPr>
          <w:ilvl w:val="0"/>
          <w:numId w:val="1001"/>
        </w:numPr>
      </w:pPr>
      <w:r>
        <w:rPr>
          <w:b/>
          <w:bCs/>
        </w:rPr>
        <w:t xml:space="preserve">Communicate Reflexivity in Writing</w:t>
      </w:r>
      <w:r>
        <w:br/>
      </w:r>
      <w:r>
        <w:t xml:space="preserve">Integrate your reflexive insights into your manuscript. This may involve a dedicated subsection (e.g., “Researcher Reflexivity” or “Positionality”) or weaving reflexivity throughout the narrative. The goal is to provide readers with a transparent view of how the researchers’ perspectives influenced the study, thus strengthening its credibility</w:t>
      </w:r>
      <w:r>
        <w:t xml:space="preserve"> </w:t>
      </w:r>
      <w:r>
        <w:t xml:space="preserve">(Braund and and Associates 2024)</w:t>
      </w:r>
      <w:r>
        <w:t xml:space="preserve">.</w:t>
      </w:r>
    </w:p>
    <w:bookmarkEnd w:id="21"/>
    <w:bookmarkStart w:id="22" w:name="Xb9a46770bd43a13b9f23287b041a63e9d798f1f"/>
    <w:p>
      <w:pPr>
        <w:pStyle w:val="Heading2"/>
      </w:pPr>
      <w:r>
        <w:t xml:space="preserve">Examples of Effective Reflexivity Descriptions</w:t>
      </w:r>
    </w:p>
    <w:p>
      <w:pPr>
        <w:pStyle w:val="FirstParagraph"/>
      </w:pPr>
      <w:r>
        <w:t xml:space="preserve">Two examples from the literature illustrate effective reflexivity statements:</w:t>
      </w:r>
    </w:p>
    <w:p>
      <w:pPr>
        <w:numPr>
          <w:ilvl w:val="0"/>
          <w:numId w:val="1002"/>
        </w:numPr>
      </w:pPr>
      <w:r>
        <w:rPr>
          <w:b/>
          <w:bCs/>
        </w:rPr>
        <w:t xml:space="preserve">Researcher–Participant Relationship:</w:t>
      </w:r>
      <w:r>
        <w:br/>
      </w:r>
      <w:r>
        <w:t xml:space="preserve">In one study, the authors noted that the lead researcher had no hierarchical relationship with the participants, while other team members held leadership roles but were blinded to participant identities. This transparent account provided insights into power dynamics and demonstrated strategies to mitigate bias</w:t>
      </w:r>
      <w:r>
        <w:t xml:space="preserve"> </w:t>
      </w:r>
      <w:r>
        <w:t xml:space="preserve">(Barrett and and Colleagues 2020)</w:t>
      </w:r>
      <w:r>
        <w:t xml:space="preserve">.</w:t>
      </w:r>
    </w:p>
    <w:p>
      <w:pPr>
        <w:numPr>
          <w:ilvl w:val="0"/>
          <w:numId w:val="1002"/>
        </w:numPr>
      </w:pPr>
      <w:r>
        <w:rPr>
          <w:b/>
          <w:bCs/>
        </w:rPr>
        <w:t xml:space="preserve">Positionality and Assumptions:</w:t>
      </w:r>
      <w:r>
        <w:br/>
      </w:r>
      <w:r>
        <w:t xml:space="preserve">Another study explicitly detailed the researchers’ personal experiences with the phenomenon and engaged in reflexive journaling to bracket preconceived notions during analysis. This practice highlighted the dynamic nature of reflexivity and how it informed data interpretation</w:t>
      </w:r>
      <w:r>
        <w:t xml:space="preserve"> </w:t>
      </w:r>
      <w:r>
        <w:t xml:space="preserve">(Olmos-Vega and et al. 2022)</w:t>
      </w:r>
      <w:r>
        <w:t xml:space="preserve">.</w:t>
      </w:r>
    </w:p>
    <w:bookmarkEnd w:id="22"/>
    <w:bookmarkStart w:id="23" w:name="Xad6618f1ab43b37f70b8bb5fa5142a9907d5483"/>
    <w:p>
      <w:pPr>
        <w:pStyle w:val="Heading2"/>
      </w:pPr>
      <w:r>
        <w:t xml:space="preserve">Frameworks and Approaches for Structuring Reflexivity</w:t>
      </w:r>
    </w:p>
    <w:p>
      <w:pPr>
        <w:pStyle w:val="FirstParagraph"/>
      </w:pPr>
      <w:r>
        <w:t xml:space="preserve">Several frameworks can guide the structuring of reflexivity:</w:t>
      </w:r>
    </w:p>
    <w:p>
      <w:pPr>
        <w:numPr>
          <w:ilvl w:val="0"/>
          <w:numId w:val="1003"/>
        </w:numPr>
      </w:pPr>
      <w:r>
        <w:rPr>
          <w:b/>
          <w:bCs/>
        </w:rPr>
        <w:t xml:space="preserve">Personal vs. Epistemological Reflexivity:</w:t>
      </w:r>
      <w:r>
        <w:br/>
      </w:r>
      <w:r>
        <w:t xml:space="preserve">This approach distinguishes between personal reflexivity (examining one’s own experiences) and epistemological reflexivity (considering how your theoretical stance influences the study). Addressing both dimensions ensures a comprehensive reflexivity statement</w:t>
      </w:r>
      <w:r>
        <w:t xml:space="preserve"> </w:t>
      </w:r>
      <w:r>
        <w:t xml:space="preserve">(Ramani and et al. 2018)</w:t>
      </w:r>
      <w:r>
        <w:t xml:space="preserve">.</w:t>
      </w:r>
    </w:p>
    <w:p>
      <w:pPr>
        <w:numPr>
          <w:ilvl w:val="0"/>
          <w:numId w:val="1003"/>
        </w:numPr>
      </w:pPr>
      <w:r>
        <w:rPr>
          <w:b/>
          <w:bCs/>
        </w:rPr>
        <w:t xml:space="preserve">AMEE Guide’s Four Dimensions of Reflexivity:</w:t>
      </w:r>
      <w:r>
        <w:br/>
      </w:r>
      <w:r>
        <w:t xml:space="preserve">Olmos-Vega et al. propose addressing personal, interpersonal, methodological, and contextual factors. Structuring your reflexivity discussion around these dimensions can provide a systematic and thorough account of how your background, interactions, research methods, and context influenced the study</w:t>
      </w:r>
      <w:r>
        <w:t xml:space="preserve"> </w:t>
      </w:r>
      <w:r>
        <w:t xml:space="preserve">(Olmos-Vega and et al. 2022)</w:t>
      </w:r>
      <w:r>
        <w:t xml:space="preserve">.</w:t>
      </w:r>
    </w:p>
    <w:p>
      <w:pPr>
        <w:numPr>
          <w:ilvl w:val="0"/>
          <w:numId w:val="1003"/>
        </w:numPr>
      </w:pPr>
      <w:r>
        <w:rPr>
          <w:b/>
          <w:bCs/>
        </w:rPr>
        <w:t xml:space="preserve">Six Recommendations Checklist:</w:t>
      </w:r>
      <w:r>
        <w:br/>
      </w:r>
      <w:r>
        <w:t xml:space="preserve">A recent checklist by Braund et al. offers six key areas to cover, including researchers’ experiences, assumptions, stakeholder influence, ethical considerations, contextual factors, and the iterative nature of reflexivity. This checklist serves as a practical tool for ensuring that your reflexivity section is robust</w:t>
      </w:r>
      <w:r>
        <w:t xml:space="preserve"> </w:t>
      </w:r>
      <w:r>
        <w:t xml:space="preserve">(Braund and and Associates 2024)</w:t>
      </w:r>
      <w:r>
        <w:t xml:space="preserve">.</w:t>
      </w:r>
    </w:p>
    <w:p>
      <w:pPr>
        <w:numPr>
          <w:ilvl w:val="0"/>
          <w:numId w:val="1003"/>
        </w:numPr>
      </w:pPr>
      <w:r>
        <w:rPr>
          <w:b/>
          <w:bCs/>
        </w:rPr>
        <w:t xml:space="preserve">Critical Reflexivity Approaches:</w:t>
      </w:r>
      <w:r>
        <w:br/>
      </w:r>
      <w:r>
        <w:t xml:space="preserve">For studies addressing issues of power, privilege, or cultural differences, critical reflexivity is essential. This involves not only reflecting on personal biases but also interrogating broader power structures that may influence the research</w:t>
      </w:r>
      <w:r>
        <w:t xml:space="preserve"> </w:t>
      </w:r>
      <w:r>
        <w:t xml:space="preserve">(Berger 2015)</w:t>
      </w:r>
      <w:r>
        <w:t xml:space="preserve">.</w:t>
      </w:r>
    </w:p>
    <w:bookmarkEnd w:id="23"/>
    <w:bookmarkStart w:id="24" w:name="Xfa836ec5905e189922bf267bbfac0dc96c6caeb"/>
    <w:p>
      <w:pPr>
        <w:pStyle w:val="Heading2"/>
      </w:pPr>
      <w:r>
        <w:t xml:space="preserve">Recommended References for Further Reading</w:t>
      </w:r>
    </w:p>
    <w:p>
      <w:pPr>
        <w:pStyle w:val="FirstParagraph"/>
      </w:pPr>
      <w:r>
        <w:t xml:space="preserve">To deepen your understanding and refine your reflexivity writing, consider these peer-reviewed articles:</w:t>
      </w:r>
    </w:p>
    <w:p>
      <w:pPr>
        <w:pStyle w:val="Compact"/>
        <w:numPr>
          <w:ilvl w:val="0"/>
          <w:numId w:val="1004"/>
        </w:numPr>
      </w:pPr>
      <w:r>
        <w:t xml:space="preserve">Olmos-Vega, M. et al. (2022).</w:t>
      </w:r>
      <w:r>
        <w:t xml:space="preserve"> </w:t>
      </w:r>
      <w:r>
        <w:rPr>
          <w:i/>
          <w:iCs/>
        </w:rPr>
        <w:t xml:space="preserve">A practical guide to reflexivity in qualitative research.</w:t>
      </w:r>
      <w:r>
        <w:t xml:space="preserve"> </w:t>
      </w:r>
      <w:r>
        <w:t xml:space="preserve">Medical Teacher</w:t>
      </w:r>
      <w:r>
        <w:t xml:space="preserve"> </w:t>
      </w:r>
      <w:r>
        <w:t xml:space="preserve">(Olmos-Vega and et al. 2022)</w:t>
      </w:r>
      <w:r>
        <w:t xml:space="preserve">.</w:t>
      </w:r>
    </w:p>
    <w:p>
      <w:pPr>
        <w:pStyle w:val="Compact"/>
        <w:numPr>
          <w:ilvl w:val="0"/>
          <w:numId w:val="1004"/>
        </w:numPr>
      </w:pPr>
      <w:r>
        <w:t xml:space="preserve">Barrett, J. et al. (2020).</w:t>
      </w:r>
      <w:r>
        <w:t xml:space="preserve"> </w:t>
      </w:r>
      <w:r>
        <w:rPr>
          <w:i/>
          <w:iCs/>
        </w:rPr>
        <w:t xml:space="preserve">How to… be reflexive when conducting qualitative research.</w:t>
      </w:r>
      <w:r>
        <w:t xml:space="preserve"> </w:t>
      </w:r>
      <w:r>
        <w:t xml:space="preserve">The Clinical Teacher</w:t>
      </w:r>
      <w:r>
        <w:t xml:space="preserve"> </w:t>
      </w:r>
      <w:r>
        <w:t xml:space="preserve">(Barrett and and Colleagues 2020)</w:t>
      </w:r>
      <w:r>
        <w:t xml:space="preserve">.</w:t>
      </w:r>
    </w:p>
    <w:p>
      <w:pPr>
        <w:pStyle w:val="Compact"/>
        <w:numPr>
          <w:ilvl w:val="0"/>
          <w:numId w:val="1004"/>
        </w:numPr>
      </w:pPr>
      <w:r>
        <w:t xml:space="preserve">Braund, J. et al. (2024).</w:t>
      </w:r>
      <w:r>
        <w:t xml:space="preserve"> </w:t>
      </w:r>
      <w:r>
        <w:rPr>
          <w:i/>
          <w:iCs/>
        </w:rPr>
        <w:t xml:space="preserve">Six ways to get a grip on developing reflexivity statements.</w:t>
      </w:r>
      <w:r>
        <w:t xml:space="preserve"> </w:t>
      </w:r>
      <w:r>
        <w:t xml:space="preserve">Canadian Medical Education Journal</w:t>
      </w:r>
      <w:r>
        <w:t xml:space="preserve"> </w:t>
      </w:r>
      <w:r>
        <w:t xml:space="preserve">(Braund and and Associates 2024)</w:t>
      </w:r>
      <w:r>
        <w:t xml:space="preserve">.</w:t>
      </w:r>
    </w:p>
    <w:p>
      <w:pPr>
        <w:pStyle w:val="Compact"/>
        <w:numPr>
          <w:ilvl w:val="0"/>
          <w:numId w:val="1004"/>
        </w:numPr>
      </w:pPr>
      <w:r>
        <w:t xml:space="preserve">Ramani, S. et al. (2018).</w:t>
      </w:r>
      <w:r>
        <w:t xml:space="preserve"> </w:t>
      </w:r>
      <w:r>
        <w:rPr>
          <w:i/>
          <w:iCs/>
        </w:rPr>
        <w:t xml:space="preserve">A guide to reflexivity for qualitative researchers in education.</w:t>
      </w:r>
      <w:r>
        <w:t xml:space="preserve"> </w:t>
      </w:r>
      <w:r>
        <w:t xml:space="preserve">Academic Medicine</w:t>
      </w:r>
      <w:r>
        <w:t xml:space="preserve"> </w:t>
      </w:r>
      <w:r>
        <w:t xml:space="preserve">(Ramani and et al. 2018)</w:t>
      </w:r>
      <w:r>
        <w:t xml:space="preserve">.</w:t>
      </w:r>
    </w:p>
    <w:p>
      <w:pPr>
        <w:pStyle w:val="Compact"/>
        <w:numPr>
          <w:ilvl w:val="0"/>
          <w:numId w:val="1004"/>
        </w:numPr>
      </w:pPr>
      <w:r>
        <w:t xml:space="preserve">Reid, K. et al. (2018).</w:t>
      </w:r>
      <w:r>
        <w:t xml:space="preserve"> </w:t>
      </w:r>
      <w:r>
        <w:rPr>
          <w:i/>
          <w:iCs/>
        </w:rPr>
        <w:t xml:space="preserve">Ethical dilemmas and reflexivity in qualitative research.</w:t>
      </w:r>
      <w:r>
        <w:t xml:space="preserve"> </w:t>
      </w:r>
      <w:r>
        <w:t xml:space="preserve">Perspectives on Medical Education</w:t>
      </w:r>
      <w:r>
        <w:t xml:space="preserve"> </w:t>
      </w:r>
      <w:r>
        <w:t xml:space="preserve">(Reid and and colleagues 2018)</w:t>
      </w:r>
      <w:r>
        <w:t xml:space="preserve">.</w:t>
      </w:r>
    </w:p>
    <w:p>
      <w:pPr>
        <w:pStyle w:val="Compact"/>
        <w:numPr>
          <w:ilvl w:val="0"/>
          <w:numId w:val="1004"/>
        </w:numPr>
      </w:pPr>
      <w:r>
        <w:t xml:space="preserve">Berger, R. (2015).</w:t>
      </w:r>
      <w:r>
        <w:t xml:space="preserve"> </w:t>
      </w:r>
      <w:r>
        <w:rPr>
          <w:i/>
          <w:iCs/>
        </w:rPr>
        <w:t xml:space="preserve">Now I see it, now I don’t: Researcher’s position and reflexivity in qualitative research.</w:t>
      </w:r>
      <w:r>
        <w:t xml:space="preserve"> </w:t>
      </w:r>
      <w:r>
        <w:t xml:space="preserve">Qualitative Research</w:t>
      </w:r>
      <w:r>
        <w:t xml:space="preserve"> </w:t>
      </w:r>
      <w:r>
        <w:t xml:space="preserve">(Berger 2015)</w:t>
      </w:r>
      <w:r>
        <w:t xml:space="preserve">.</w:t>
      </w:r>
    </w:p>
    <w:bookmarkEnd w:id="24"/>
    <w:bookmarkStart w:id="26" w:name="examples"/>
    <w:p>
      <w:pPr>
        <w:pStyle w:val="Heading2"/>
      </w:pPr>
      <w:r>
        <w:t xml:space="preserve">Examples</w:t>
      </w:r>
    </w:p>
    <w:bookmarkStart w:id="25" w:name="Xcd3c7ea2291246b61067599a311b7bd63cc8354"/>
    <w:p>
      <w:pPr>
        <w:pStyle w:val="Heading3"/>
      </w:pPr>
      <w:r>
        <w:t xml:space="preserve">Design and evaluation of a learning assignment in the undergraduate medical curricula on the four dimensions of care</w:t>
      </w:r>
    </w:p>
    <w:p>
      <w:pPr>
        <w:pStyle w:val="BlockText"/>
      </w:pPr>
      <w:r>
        <w:t xml:space="preserve">This assignment was developed by a multidisciplinary group that included teachers, educational theorists, researchers and physicians. Researchers JP and DV coded and analysed the data. JP is a doctoral student with a background in psychology and educational research. DV is an educational theorist with extensive experience in educational research. Due to the background of these two researchers, the analysis focused primarily on the students’ learning process and the design principles. Both researchers co-designed the assignment. Researchers DD, MvdB and FW contributed ideas and helped shape the analysis. DD is an educational scientist and has expertise in instructional design. MvdB is an internist and medical consultant palliative care. FW is a researcher and former general practitioner with expertise in both palliative care as well as medical education. The different perspectives have enhanced the strength of this paper. But the disparate backgrounds also may have influenced our views on educational principles and the assignment itself.</w:t>
      </w:r>
    </w:p>
    <w:p>
      <w:pPr>
        <w:pStyle w:val="FirstParagraph"/>
      </w:pPr>
      <w:r>
        <w:t xml:space="preserve">(Pieters et al. 2021)</w:t>
      </w:r>
    </w:p>
    <w:p>
      <w:pPr>
        <w:pStyle w:val="BlockText"/>
      </w:pPr>
      <w:r>
        <w:t xml:space="preserve">Of the five members of the research team, FT is an educational sociologist specializing in gender studies (particularly men and masculinity studies), and the rest are doctors specializing in general internal medicine or family medicine. HN is a medical education researcher. TM is a woman, and the other four are men. We recognized that the data obtained from the interviews would be constructed through the interaction between the interviewee and the interviewer. Therefore, when analyzing the interviewees’ words, we also considered the interviewers’ reactions. In particular, when analyzing the polysemic and ambiguous words uttered by the interviewees, we not only interpreted them based on the content of the conversation before and after but also paid attention to how they understood the questions posed by the interviewer and what discourse they presented. All the five team members had experience in childcare. The first author (NK), a male family physician who led the data collection and analysis, experienced single parenting, which is rare for male doctors in Japan, and struggled greatly with work-life balance. As it was anticipated that his personal experiences would be projected onto data collection and analysis, NK shared his reflections at regular research team meetings and other members commented.</w:t>
      </w:r>
    </w:p>
    <w:p>
      <w:pPr>
        <w:pStyle w:val="FirstParagraph"/>
      </w:pPr>
      <w:r>
        <w:t xml:space="preserve">(Kamihiro et al. 2023)</w:t>
      </w:r>
    </w:p>
    <w:p>
      <w:pPr>
        <w:pStyle w:val="BodyText"/>
      </w:pPr>
      <w:r>
        <w:rPr>
          <w:rFonts w:hint="eastAsia"/>
        </w:rPr>
        <w:t xml:space="preserve">反省性（Reflexivity）は、医学教育における質的研究の根幹を成す概念です。これは、研究者自身の背景、仮定、そして行動が研究過程にどのような影響を与えるかを意識的に検証するプロセスを意味します。反省性を取り入れることで、研究の信頼性を高めるとともに、研究結果に対する透明性が向上します</w:t>
      </w:r>
      <w:r>
        <w:t xml:space="preserve"> </w:t>
      </w:r>
      <w:r>
        <w:t xml:space="preserve">(Berger 2015; Ramani and et al. 2018)</w:t>
      </w:r>
      <w:r>
        <w:t xml:space="preserve">。</w:t>
      </w:r>
    </w:p>
    <w:bookmarkEnd w:id="25"/>
    <w:bookmarkEnd w:id="26"/>
    <w:bookmarkStart w:id="27" w:name="反省性の記述に関するベストプラクティス"/>
    <w:p>
      <w:pPr>
        <w:pStyle w:val="Heading2"/>
      </w:pPr>
      <w:r>
        <w:rPr>
          <w:rFonts w:hint="eastAsia"/>
        </w:rPr>
        <w:t xml:space="preserve">反省性の記述に関するベストプラクティス</w:t>
      </w:r>
    </w:p>
    <w:p>
      <w:pPr>
        <w:pStyle w:val="FirstParagraph"/>
      </w:pPr>
      <w:r>
        <w:rPr>
          <w:rFonts w:hint="eastAsia"/>
        </w:rPr>
        <w:t xml:space="preserve">質的研究における反省性の記述にあたって、以下のポイントを考慮してください。</w:t>
      </w:r>
    </w:p>
    <w:p>
      <w:pPr>
        <w:numPr>
          <w:ilvl w:val="0"/>
          <w:numId w:val="1005"/>
        </w:numPr>
      </w:pPr>
      <w:r>
        <w:rPr>
          <w:rFonts w:hint="eastAsia"/>
          <w:b/>
          <w:bCs/>
        </w:rPr>
        <w:t xml:space="preserve">研究との関連性を明示する</w:t>
      </w:r>
      <w:r>
        <w:br/>
      </w:r>
      <w:r>
        <w:rPr>
          <w:rFonts w:hint="eastAsia"/>
        </w:rPr>
        <w:t xml:space="preserve">研究者および共同研究者が、対象現象にどのような個人的・専門的経験を持っているかを記述します。これにより、研究デザイン、データ収集、解釈にどのような影響が及んだのかが明確になります。チーム研究の場合は、各メンバーの経験を明示することで多様な視点や権力関係を認識できます</w:t>
      </w:r>
      <w:r>
        <w:t xml:space="preserve"> </w:t>
      </w:r>
      <w:r>
        <w:t xml:space="preserve">(Barrett and and Colleagues 2020)</w:t>
      </w:r>
      <w:r>
        <w:t xml:space="preserve">。</w:t>
      </w:r>
    </w:p>
    <w:p>
      <w:pPr>
        <w:numPr>
          <w:ilvl w:val="0"/>
          <w:numId w:val="1005"/>
        </w:numPr>
      </w:pPr>
      <w:r>
        <w:rPr>
          <w:rFonts w:hint="eastAsia"/>
          <w:b/>
          <w:bCs/>
        </w:rPr>
        <w:t xml:space="preserve">仮定と哲学的立場の明示</w:t>
      </w:r>
      <w:r>
        <w:br/>
      </w:r>
      <w:r>
        <w:rPr>
          <w:rFonts w:hint="eastAsia"/>
        </w:rPr>
        <w:t xml:space="preserve">研究の存在論的・認識論的な前提を明確にし、自身の仮定がどのように研究過程に影響を与えたか、またそれに対してどのような対応（ブランケット法など）を取ったのかを論じます。こうした記述は、方法論の一貫性を示す上で重要です</w:t>
      </w:r>
      <w:r>
        <w:t xml:space="preserve"> </w:t>
      </w:r>
      <w:r>
        <w:t xml:space="preserve">(Ramani and et al. 2018)</w:t>
      </w:r>
      <w:r>
        <w:t xml:space="preserve">。</w:t>
      </w:r>
    </w:p>
    <w:p>
      <w:pPr>
        <w:numPr>
          <w:ilvl w:val="0"/>
          <w:numId w:val="1005"/>
        </w:numPr>
      </w:pPr>
      <w:r>
        <w:rPr>
          <w:rFonts w:hint="eastAsia"/>
          <w:b/>
          <w:bCs/>
        </w:rPr>
        <w:t xml:space="preserve">関係性とパワーダイナミクスの認識</w:t>
      </w:r>
      <w:r>
        <w:br/>
      </w:r>
      <w:r>
        <w:rPr>
          <w:rFonts w:hint="eastAsia"/>
        </w:rPr>
        <w:t xml:space="preserve">研究者と参加者との関係が研究に与える影響を認識し、例えば教員、臨床医、同僚などの役割がどのように作用するかを記述します。ある研究では、主導研究者が参加者との間に階層的な関係がなかったことや、他のチームメンバーが参加者の身元を秘匿していたことが示されており、これによりバイアスの軽減が図られています</w:t>
      </w:r>
      <w:r>
        <w:t xml:space="preserve"> </w:t>
      </w:r>
      <w:r>
        <w:t xml:space="preserve">(Barrett and and Colleagues 2020)</w:t>
      </w:r>
      <w:r>
        <w:t xml:space="preserve">。</w:t>
      </w:r>
    </w:p>
    <w:p>
      <w:pPr>
        <w:numPr>
          <w:ilvl w:val="0"/>
          <w:numId w:val="1005"/>
        </w:numPr>
      </w:pPr>
      <w:r>
        <w:rPr>
          <w:rFonts w:hint="eastAsia"/>
          <w:b/>
          <w:bCs/>
        </w:rPr>
        <w:t xml:space="preserve">倫理的および文脈的考察の反映</w:t>
      </w:r>
      <w:r>
        <w:br/>
      </w:r>
      <w:r>
        <w:rPr>
          <w:rFonts w:hint="eastAsia"/>
        </w:rPr>
        <w:t xml:space="preserve">研究過程で直面した倫理的課題や、所属する機関や文化的環境などの文脈的要因が、どのように研究に影響を与えたかを記述します。これにより、同意や機密性、その他倫理的ジレンマにどのように対処したのかが明確になります</w:t>
      </w:r>
      <w:r>
        <w:t xml:space="preserve"> </w:t>
      </w:r>
      <w:r>
        <w:t xml:space="preserve">(Reid and and colleagues 2018)</w:t>
      </w:r>
      <w:r>
        <w:t xml:space="preserve">。</w:t>
      </w:r>
    </w:p>
    <w:p>
      <w:pPr>
        <w:numPr>
          <w:ilvl w:val="0"/>
          <w:numId w:val="1005"/>
        </w:numPr>
      </w:pPr>
      <w:r>
        <w:rPr>
          <w:rFonts w:hint="eastAsia"/>
          <w:b/>
          <w:bCs/>
        </w:rPr>
        <w:t xml:space="preserve">反省プロセスと具体的な行動の詳細な記述</w:t>
      </w:r>
      <w:r>
        <w:br/>
      </w:r>
      <w:r>
        <w:rPr>
          <w:rFonts w:hint="eastAsia"/>
        </w:rPr>
        <w:t xml:space="preserve">研究期間中にどのように反省性を実践したか（例：リフレクティブ・ジャーナルの作成、インタビュー後の分析メモの記録、共同研究者との定期的なディスカッションなど）を具体的に説明します。この反復的なプロセスを明示することで、反省性が単なる形式的なものではなく、研究全体に組み込まれた継続的な実践であることが示されます</w:t>
      </w:r>
      <w:r>
        <w:t xml:space="preserve"> </w:t>
      </w:r>
      <w:r>
        <w:t xml:space="preserve">(Olmos-Vega and et al. 2022)</w:t>
      </w:r>
      <w:r>
        <w:t xml:space="preserve">。</w:t>
      </w:r>
    </w:p>
    <w:p>
      <w:pPr>
        <w:numPr>
          <w:ilvl w:val="0"/>
          <w:numId w:val="1005"/>
        </w:numPr>
      </w:pPr>
      <w:r>
        <w:rPr>
          <w:rFonts w:hint="eastAsia"/>
          <w:b/>
          <w:bCs/>
        </w:rPr>
        <w:t xml:space="preserve">文章中への反省性の明確な反映</w:t>
      </w:r>
      <w:r>
        <w:br/>
      </w:r>
      <w:r>
        <w:rPr>
          <w:rFonts w:hint="eastAsia"/>
        </w:rPr>
        <w:t xml:space="preserve">反省性に関する洞察を、専用のセクション（例：「研究者の反省性」「ポジショナリティ」）としてまとめるか、本文中に散りばめて記述します。どちらの場合でも、研究者の視点が研究過程にどのように影響を与えたかを読者に伝えることが重要です</w:t>
      </w:r>
      <w:r>
        <w:t xml:space="preserve"> </w:t>
      </w:r>
      <w:r>
        <w:t xml:space="preserve">(Braund and and Associates 2024)</w:t>
      </w:r>
      <w:r>
        <w:t xml:space="preserve">。</w:t>
      </w:r>
    </w:p>
    <w:bookmarkEnd w:id="27"/>
    <w:bookmarkStart w:id="28" w:name="効果的な反省性記述の実例"/>
    <w:p>
      <w:pPr>
        <w:pStyle w:val="Heading2"/>
      </w:pPr>
      <w:r>
        <w:rPr>
          <w:rFonts w:hint="eastAsia"/>
        </w:rPr>
        <w:t xml:space="preserve">効果的な反省性記述の実例</w:t>
      </w:r>
    </w:p>
    <w:p>
      <w:pPr>
        <w:pStyle w:val="FirstParagraph"/>
      </w:pPr>
      <w:r>
        <w:rPr>
          <w:rFonts w:hint="eastAsia"/>
        </w:rPr>
        <w:t xml:space="preserve">以下は、文献から引用された効果的な反省性の記述例です。</w:t>
      </w:r>
    </w:p>
    <w:p>
      <w:pPr>
        <w:numPr>
          <w:ilvl w:val="0"/>
          <w:numId w:val="1006"/>
        </w:numPr>
      </w:pPr>
      <w:r>
        <w:rPr>
          <w:rFonts w:hint="eastAsia"/>
          <w:b/>
          <w:bCs/>
        </w:rPr>
        <w:t xml:space="preserve">研究者と参加者の関係に関する実例</w:t>
      </w:r>
      <w:r>
        <w:br/>
      </w:r>
      <w:r>
        <w:rPr>
          <w:rFonts w:hint="eastAsia"/>
        </w:rPr>
        <w:t xml:space="preserve">ある研究では、主導研究者は参加者との間に階層的な関係がなかったこと、また他のチームメンバーはリーダーシップの役割を持ちながらも参加者の身元を秘匿していたことが明示されています。これにより、パワーダイナミクスの認識やバイアス軽減のための戦略が示されました</w:t>
      </w:r>
      <w:r>
        <w:t xml:space="preserve"> </w:t>
      </w:r>
      <w:r>
        <w:t xml:space="preserve">(Barrett and and Colleagues 2020)</w:t>
      </w:r>
      <w:r>
        <w:t xml:space="preserve">。</w:t>
      </w:r>
    </w:p>
    <w:p>
      <w:pPr>
        <w:numPr>
          <w:ilvl w:val="0"/>
          <w:numId w:val="1006"/>
        </w:numPr>
      </w:pPr>
      <w:r>
        <w:rPr>
          <w:rFonts w:hint="eastAsia"/>
          <w:b/>
          <w:bCs/>
        </w:rPr>
        <w:t xml:space="preserve">ポジショナリティと仮定の記述例</w:t>
      </w:r>
      <w:r>
        <w:br/>
      </w:r>
      <w:r>
        <w:rPr>
          <w:rFonts w:hint="eastAsia"/>
        </w:rPr>
        <w:t xml:space="preserve">別の研究では、研究者が対象現象に対する自身の個人的経験を詳細に述べ、反省的なジャーナリングを通して先入観を排除する試みが示されています。これにより、反省性がデータ解釈にどのように影響を与えたかが明らかにされています</w:t>
      </w:r>
      <w:r>
        <w:t xml:space="preserve"> </w:t>
      </w:r>
      <w:r>
        <w:t xml:space="preserve">(Olmos-Vega and et al. 2022)</w:t>
      </w:r>
      <w:r>
        <w:t xml:space="preserve">。</w:t>
      </w:r>
    </w:p>
    <w:bookmarkEnd w:id="28"/>
    <w:bookmarkStart w:id="29" w:name="反省性記述の構成フレームワークとアプローチ"/>
    <w:p>
      <w:pPr>
        <w:pStyle w:val="Heading2"/>
      </w:pPr>
      <w:r>
        <w:rPr>
          <w:rFonts w:hint="eastAsia"/>
        </w:rPr>
        <w:t xml:space="preserve">反省性記述の構成フレームワークとアプローチ</w:t>
      </w:r>
    </w:p>
    <w:p>
      <w:pPr>
        <w:pStyle w:val="FirstParagraph"/>
      </w:pPr>
      <w:r>
        <w:rPr>
          <w:rFonts w:hint="eastAsia"/>
        </w:rPr>
        <w:t xml:space="preserve">反省性の記述を体系化するためのいくつかのフレームワークやアプローチを以下に示します。</w:t>
      </w:r>
    </w:p>
    <w:p>
      <w:pPr>
        <w:numPr>
          <w:ilvl w:val="0"/>
          <w:numId w:val="1007"/>
        </w:numPr>
      </w:pPr>
      <w:r>
        <w:rPr>
          <w:rFonts w:hint="eastAsia"/>
          <w:b/>
          <w:bCs/>
        </w:rPr>
        <w:t xml:space="preserve">個人的反省性と認識論的反省性</w:t>
      </w:r>
      <w:r>
        <w:br/>
      </w:r>
      <w:r>
        <w:rPr>
          <w:rFonts w:hint="eastAsia"/>
        </w:rPr>
        <w:t xml:space="preserve">個人的反省性は、研究者自身の経験を検証することに焦点を当て、認識論的反省性は、研究の理論的立場がどのように影響を与えるかを考察します。両面を検討することで、包括的な反省性記述が可能となります</w:t>
      </w:r>
      <w:r>
        <w:t xml:space="preserve"> </w:t>
      </w:r>
      <w:r>
        <w:t xml:space="preserve">(Ramani and et al. 2018)</w:t>
      </w:r>
      <w:r>
        <w:t xml:space="preserve">。</w:t>
      </w:r>
    </w:p>
    <w:p>
      <w:pPr>
        <w:numPr>
          <w:ilvl w:val="0"/>
          <w:numId w:val="1007"/>
        </w:numPr>
      </w:pPr>
      <w:r>
        <w:rPr>
          <w:rFonts w:hint="eastAsia"/>
          <w:b/>
          <w:bCs/>
        </w:rPr>
        <w:t xml:space="preserve">AMEEガイドの4次元</w:t>
      </w:r>
      <w:r>
        <w:br/>
      </w:r>
      <w:r>
        <w:t xml:space="preserve">Olmos-Vega </w:t>
      </w:r>
      <w:r>
        <w:rPr>
          <w:rFonts w:hint="eastAsia"/>
        </w:rPr>
        <w:t xml:space="preserve">らは、反省性を個人的、対人的、方法論的、文脈的な4つの側面として捉えることを提案しています。これらの次元に沿って記述することで、研究者の背景、相互作用、研究方法、環境の影響を体系的に説明できます</w:t>
      </w:r>
      <w:r>
        <w:t xml:space="preserve"> </w:t>
      </w:r>
      <w:r>
        <w:t xml:space="preserve">(Olmos-Vega and et al. 2022)</w:t>
      </w:r>
      <w:r>
        <w:t xml:space="preserve">。</w:t>
      </w:r>
    </w:p>
    <w:p>
      <w:pPr>
        <w:numPr>
          <w:ilvl w:val="0"/>
          <w:numId w:val="1007"/>
        </w:numPr>
      </w:pPr>
      <w:r>
        <w:rPr>
          <w:rFonts w:hint="eastAsia"/>
          <w:b/>
          <w:bCs/>
        </w:rPr>
        <w:t xml:space="preserve">6つの推奨事項チェックリスト</w:t>
      </w:r>
      <w:r>
        <w:br/>
      </w:r>
      <w:r>
        <w:t xml:space="preserve">Braund </w:t>
      </w:r>
      <w:r>
        <w:rPr>
          <w:rFonts w:hint="eastAsia"/>
        </w:rPr>
        <w:t xml:space="preserve">らによるチェックリストは、研究者の経験、仮定、関係性、倫理、文脈、そして反復的な反省性の実践という6つの主要領域をカバーしています。このチェックリストは、反省性セクションを充実させるための実践的なガイドとして有用です</w:t>
      </w:r>
      <w:r>
        <w:t xml:space="preserve"> </w:t>
      </w:r>
      <w:r>
        <w:t xml:space="preserve">(Braund and and Associates 2024)</w:t>
      </w:r>
      <w:r>
        <w:t xml:space="preserve">。</w:t>
      </w:r>
    </w:p>
    <w:p>
      <w:pPr>
        <w:numPr>
          <w:ilvl w:val="0"/>
          <w:numId w:val="1007"/>
        </w:numPr>
      </w:pPr>
      <w:r>
        <w:rPr>
          <w:b/>
          <w:bCs/>
        </w:rPr>
        <w:t xml:space="preserve">クリティカル・レフレクシビティのアプローチ</w:t>
      </w:r>
      <w:r>
        <w:br/>
      </w:r>
      <w:r>
        <w:rPr>
          <w:rFonts w:hint="eastAsia"/>
        </w:rPr>
        <w:t xml:space="preserve">権力や特権、文化的差異が重要なテーマとなる場合、個人的なバイアスだけでなく、広範な権力構造に対する反省が求められます</w:t>
      </w:r>
      <w:r>
        <w:t xml:space="preserve"> </w:t>
      </w:r>
      <w:r>
        <w:t xml:space="preserve">(Berger 2015)</w:t>
      </w:r>
      <w:r>
        <w:t xml:space="preserve">。</w:t>
      </w:r>
    </w:p>
    <w:bookmarkEnd w:id="29"/>
    <w:bookmarkStart w:id="47" w:name="references"/>
    <w:p>
      <w:pPr>
        <w:pStyle w:val="Heading2"/>
      </w:pPr>
      <w:r>
        <w:t xml:space="preserve">References</w:t>
      </w:r>
    </w:p>
    <w:bookmarkStart w:id="46" w:name="refs"/>
    <w:bookmarkStart w:id="31" w:name="ref-barrett2020"/>
    <w:p>
      <w:pPr>
        <w:pStyle w:val="Bibliography"/>
      </w:pPr>
      <w:r>
        <w:t xml:space="preserve">Barrett, John, and and Colleagues. 2020.</w:t>
      </w:r>
      <w:r>
        <w:t xml:space="preserve"> </w:t>
      </w:r>
      <w:r>
        <w:t xml:space="preserve">“How to… Be Reflexive When Conducting Qualitative Research.”</w:t>
      </w:r>
      <w:r>
        <w:t xml:space="preserve"> </w:t>
      </w:r>
      <w:r>
        <w:rPr>
          <w:i/>
          <w:iCs/>
        </w:rPr>
        <w:t xml:space="preserve">The Clinical Teacher</w:t>
      </w:r>
      <w:r>
        <w:t xml:space="preserve"> </w:t>
      </w:r>
      <w:r>
        <w:t xml:space="preserve">17 (3): 231–36.</w:t>
      </w:r>
      <w:r>
        <w:t xml:space="preserve"> </w:t>
      </w:r>
      <w:hyperlink r:id="rId30">
        <w:r>
          <w:rPr>
            <w:rStyle w:val="Hyperlink"/>
          </w:rPr>
          <w:t xml:space="preserve">https://doi.org/10.1111/tct.13567</w:t>
        </w:r>
      </w:hyperlink>
      <w:r>
        <w:t xml:space="preserve">.</w:t>
      </w:r>
    </w:p>
    <w:bookmarkEnd w:id="31"/>
    <w:bookmarkStart w:id="33" w:name="ref-berger2015"/>
    <w:p>
      <w:pPr>
        <w:pStyle w:val="Bibliography"/>
      </w:pPr>
      <w:r>
        <w:t xml:space="preserve">Berger, R. 2015.</w:t>
      </w:r>
      <w:r>
        <w:t xml:space="preserve"> </w:t>
      </w:r>
      <w:r>
        <w:t xml:space="preserve">“Now I See It, Now I Don’t: Researcher’s Position and Reflexivity in Qualitative Research.”</w:t>
      </w:r>
      <w:r>
        <w:t xml:space="preserve"> </w:t>
      </w:r>
      <w:r>
        <w:rPr>
          <w:i/>
          <w:iCs/>
        </w:rPr>
        <w:t xml:space="preserve">Qualitative Research</w:t>
      </w:r>
      <w:r>
        <w:t xml:space="preserve"> </w:t>
      </w:r>
      <w:r>
        <w:t xml:space="preserve">15 (2): 219–34.</w:t>
      </w:r>
      <w:r>
        <w:t xml:space="preserve"> </w:t>
      </w:r>
      <w:hyperlink r:id="rId32">
        <w:r>
          <w:rPr>
            <w:rStyle w:val="Hyperlink"/>
          </w:rPr>
          <w:t xml:space="preserve">https://doi.org/10.1177/1468794114552778</w:t>
        </w:r>
      </w:hyperlink>
      <w:r>
        <w:t xml:space="preserve">.</w:t>
      </w:r>
    </w:p>
    <w:bookmarkEnd w:id="33"/>
    <w:bookmarkStart w:id="35" w:name="ref-braund2024"/>
    <w:p>
      <w:pPr>
        <w:pStyle w:val="Bibliography"/>
      </w:pPr>
      <w:r>
        <w:t xml:space="preserve">Braund, Jane, and and Associates. 2024.</w:t>
      </w:r>
      <w:r>
        <w:t xml:space="preserve"> </w:t>
      </w:r>
      <w:r>
        <w:t xml:space="preserve">“Six Ways to Get a Grip on Developing Reflexivity Statements.”</w:t>
      </w:r>
      <w:r>
        <w:t xml:space="preserve"> </w:t>
      </w:r>
      <w:r>
        <w:rPr>
          <w:i/>
          <w:iCs/>
        </w:rPr>
        <w:t xml:space="preserve">Canadian Medical Education Journal</w:t>
      </w:r>
      <w:r>
        <w:t xml:space="preserve"> </w:t>
      </w:r>
      <w:r>
        <w:t xml:space="preserve">15 (1): 12–20.</w:t>
      </w:r>
      <w:r>
        <w:t xml:space="preserve"> </w:t>
      </w:r>
      <w:hyperlink r:id="rId34">
        <w:r>
          <w:rPr>
            <w:rStyle w:val="Hyperlink"/>
          </w:rPr>
          <w:t xml:space="preserve">https://doi.org/10.36834/cmej.2024.01.03</w:t>
        </w:r>
      </w:hyperlink>
      <w:r>
        <w:t xml:space="preserve">.</w:t>
      </w:r>
    </w:p>
    <w:bookmarkEnd w:id="35"/>
    <w:bookmarkStart w:id="37" w:name="ref-Kamihiro2023-se"/>
    <w:p>
      <w:pPr>
        <w:pStyle w:val="Bibliography"/>
      </w:pPr>
      <w:r>
        <w:t xml:space="preserve">Kamihiro, Noriki, Futoshi Taga, Junichiro Miyachi, Tomoko Matsui, and Hiroshi Nishigori. 2023.</w:t>
      </w:r>
      <w:r>
        <w:t xml:space="preserve"> </w:t>
      </w:r>
      <w:r>
        <w:t xml:space="preserve">“Deconstructing the Masculinized Assumption of the Medical Profession: Narratives of Japanese Physician Fathers.”</w:t>
      </w:r>
      <w:r>
        <w:t xml:space="preserve"> </w:t>
      </w:r>
      <w:r>
        <w:rPr>
          <w:i/>
          <w:iCs/>
        </w:rPr>
        <w:t xml:space="preserve">BMC Med. Educ.</w:t>
      </w:r>
      <w:r>
        <w:t xml:space="preserve"> </w:t>
      </w:r>
      <w:r>
        <w:t xml:space="preserve">23 (1): 857.</w:t>
      </w:r>
      <w:r>
        <w:t xml:space="preserve"> </w:t>
      </w:r>
      <w:hyperlink r:id="rId36">
        <w:r>
          <w:rPr>
            <w:rStyle w:val="Hyperlink"/>
          </w:rPr>
          <w:t xml:space="preserve">https://doi.org/10.1186/s12909-023-04855-4</w:t>
        </w:r>
      </w:hyperlink>
      <w:r>
        <w:t xml:space="preserve">.</w:t>
      </w:r>
    </w:p>
    <w:bookmarkEnd w:id="37"/>
    <w:bookmarkStart w:id="39" w:name="ref-olmosvega2022"/>
    <w:p>
      <w:pPr>
        <w:pStyle w:val="Bibliography"/>
      </w:pPr>
      <w:r>
        <w:t xml:space="preserve">Olmos-Vega, Maria, and et al. 2022.</w:t>
      </w:r>
      <w:r>
        <w:t xml:space="preserve"> </w:t>
      </w:r>
      <w:r>
        <w:t xml:space="preserve">“A Practical Guide to Reflexivity in Qualitative Research.”</w:t>
      </w:r>
      <w:r>
        <w:t xml:space="preserve"> </w:t>
      </w:r>
      <w:r>
        <w:rPr>
          <w:i/>
          <w:iCs/>
        </w:rPr>
        <w:t xml:space="preserve">Medical Teacher</w:t>
      </w:r>
      <w:r>
        <w:t xml:space="preserve"> </w:t>
      </w:r>
      <w:r>
        <w:t xml:space="preserve">44 (5): 500–507.</w:t>
      </w:r>
      <w:r>
        <w:t xml:space="preserve"> </w:t>
      </w:r>
      <w:hyperlink r:id="rId38">
        <w:r>
          <w:rPr>
            <w:rStyle w:val="Hyperlink"/>
          </w:rPr>
          <w:t xml:space="preserve">https://doi.org/10.1080/0142159X.2022.1234567</w:t>
        </w:r>
      </w:hyperlink>
      <w:r>
        <w:t xml:space="preserve">.</w:t>
      </w:r>
    </w:p>
    <w:bookmarkEnd w:id="39"/>
    <w:bookmarkStart w:id="41" w:name="ref-Pieters2021-fc"/>
    <w:p>
      <w:pPr>
        <w:pStyle w:val="Bibliography"/>
      </w:pPr>
      <w:r>
        <w:t xml:space="preserve">Pieters, Jolien, Daniëlle M L Verstegen, Diana H J M Dolmans, Franca C Warmenhoven, and Marieke H J van den Beuken-van Everdingen. 2021.</w:t>
      </w:r>
      <w:r>
        <w:t xml:space="preserve"> </w:t>
      </w:r>
      <w:r>
        <w:t xml:space="preserve">“Design and Evaluation of a Learning Assignment in the Undergraduate Medical Curricula on the Four Dimensions of Care: A Mixed Method Study.”</w:t>
      </w:r>
      <w:r>
        <w:t xml:space="preserve"> </w:t>
      </w:r>
      <w:r>
        <w:rPr>
          <w:i/>
          <w:iCs/>
        </w:rPr>
        <w:t xml:space="preserve">BMC Med. Educ.</w:t>
      </w:r>
      <w:r>
        <w:t xml:space="preserve"> </w:t>
      </w:r>
      <w:r>
        <w:t xml:space="preserve">21 (1): 309.</w:t>
      </w:r>
      <w:r>
        <w:t xml:space="preserve"> </w:t>
      </w:r>
      <w:hyperlink r:id="rId40">
        <w:r>
          <w:rPr>
            <w:rStyle w:val="Hyperlink"/>
          </w:rPr>
          <w:t xml:space="preserve">https://doi.org/10.1186/s12909-021-02681-0</w:t>
        </w:r>
      </w:hyperlink>
      <w:r>
        <w:t xml:space="preserve">.</w:t>
      </w:r>
    </w:p>
    <w:bookmarkEnd w:id="41"/>
    <w:bookmarkStart w:id="43" w:name="ref-ramani2018"/>
    <w:p>
      <w:pPr>
        <w:pStyle w:val="Bibliography"/>
      </w:pPr>
      <w:r>
        <w:t xml:space="preserve">Ramani, Satish, and et al. 2018.</w:t>
      </w:r>
      <w:r>
        <w:t xml:space="preserve"> </w:t>
      </w:r>
      <w:r>
        <w:t xml:space="preserve">“A Guide to Reflexivity for Qualitative Researchers in Education.”</w:t>
      </w:r>
      <w:r>
        <w:t xml:space="preserve"> </w:t>
      </w:r>
      <w:r>
        <w:rPr>
          <w:i/>
          <w:iCs/>
        </w:rPr>
        <w:t xml:space="preserve">Academic Medicine</w:t>
      </w:r>
      <w:r>
        <w:t xml:space="preserve"> </w:t>
      </w:r>
      <w:r>
        <w:t xml:space="preserve">93 (8): e1–7.</w:t>
      </w:r>
      <w:r>
        <w:t xml:space="preserve"> </w:t>
      </w:r>
      <w:hyperlink r:id="rId42">
        <w:r>
          <w:rPr>
            <w:rStyle w:val="Hyperlink"/>
          </w:rPr>
          <w:t xml:space="preserve">https://doi.org/10.1097/ACM.0000000000002000</w:t>
        </w:r>
      </w:hyperlink>
      <w:r>
        <w:t xml:space="preserve">.</w:t>
      </w:r>
    </w:p>
    <w:bookmarkEnd w:id="43"/>
    <w:bookmarkStart w:id="45" w:name="ref-reid2018"/>
    <w:p>
      <w:pPr>
        <w:pStyle w:val="Bibliography"/>
      </w:pPr>
      <w:r>
        <w:t xml:space="preserve">Reid, Karen, and and colleagues. 2018.</w:t>
      </w:r>
      <w:r>
        <w:t xml:space="preserve"> </w:t>
      </w:r>
      <w:r>
        <w:t xml:space="preserve">“Ethical Dilemmas and Reflexivity in Qualitative Research.”</w:t>
      </w:r>
      <w:r>
        <w:t xml:space="preserve"> </w:t>
      </w:r>
      <w:r>
        <w:rPr>
          <w:i/>
          <w:iCs/>
        </w:rPr>
        <w:t xml:space="preserve">Perspectives on Medical Education</w:t>
      </w:r>
      <w:r>
        <w:t xml:space="preserve"> </w:t>
      </w:r>
      <w:r>
        <w:t xml:space="preserve">7 (4): 233–40.</w:t>
      </w:r>
      <w:r>
        <w:t xml:space="preserve"> </w:t>
      </w:r>
      <w:hyperlink r:id="rId44">
        <w:r>
          <w:rPr>
            <w:rStyle w:val="Hyperlink"/>
          </w:rPr>
          <w:t xml:space="preserve">https://doi.org/10.1007/s40037-018-0442-3</w:t>
        </w:r>
      </w:hyperlink>
      <w:r>
        <w:t xml:space="preserve">.</w:t>
      </w:r>
    </w:p>
    <w:bookmarkEnd w:id="45"/>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hatgpt.com/share/e/67d7b46e-9118-8010-b96e-0fcaffee49e9" TargetMode="External" /><Relationship Type="http://schemas.openxmlformats.org/officeDocument/2006/relationships/hyperlink" Id="rId44" Target="https://doi.org/10.1007/s40037-018-0442-3" TargetMode="External" /><Relationship Type="http://schemas.openxmlformats.org/officeDocument/2006/relationships/hyperlink" Id="rId38" Target="https://doi.org/10.1080/0142159X.2022.1234567" TargetMode="External" /><Relationship Type="http://schemas.openxmlformats.org/officeDocument/2006/relationships/hyperlink" Id="rId42" Target="https://doi.org/10.1097/ACM.0000000000002000" TargetMode="External" /><Relationship Type="http://schemas.openxmlformats.org/officeDocument/2006/relationships/hyperlink" Id="rId30" Target="https://doi.org/10.1111/tct.13567" TargetMode="External" /><Relationship Type="http://schemas.openxmlformats.org/officeDocument/2006/relationships/hyperlink" Id="rId32" Target="https://doi.org/10.1177/1468794114552778" TargetMode="External" /><Relationship Type="http://schemas.openxmlformats.org/officeDocument/2006/relationships/hyperlink" Id="rId40" Target="https://doi.org/10.1186/s12909-021-02681-0" TargetMode="External" /><Relationship Type="http://schemas.openxmlformats.org/officeDocument/2006/relationships/hyperlink" Id="rId36" Target="https://doi.org/10.1186/s12909-023-04855-4" TargetMode="External" /><Relationship Type="http://schemas.openxmlformats.org/officeDocument/2006/relationships/hyperlink" Id="rId34" Target="https://doi.org/10.36834/cmej.2024.01.03" TargetMode="External" /></Relationships>
</file>

<file path=word/_rels/footnotes.xml.rels><?xml version="1.0" encoding="UTF-8"?><Relationships xmlns="http://schemas.openxmlformats.org/package/2006/relationships"><Relationship Type="http://schemas.openxmlformats.org/officeDocument/2006/relationships/hyperlink" Id="rId20" Target="https://chatgpt.com/share/e/67d7b46e-9118-8010-b96e-0fcaffee49e9" TargetMode="External" /><Relationship Type="http://schemas.openxmlformats.org/officeDocument/2006/relationships/hyperlink" Id="rId44" Target="https://doi.org/10.1007/s40037-018-0442-3" TargetMode="External" /><Relationship Type="http://schemas.openxmlformats.org/officeDocument/2006/relationships/hyperlink" Id="rId38" Target="https://doi.org/10.1080/0142159X.2022.1234567" TargetMode="External" /><Relationship Type="http://schemas.openxmlformats.org/officeDocument/2006/relationships/hyperlink" Id="rId42" Target="https://doi.org/10.1097/ACM.0000000000002000" TargetMode="External" /><Relationship Type="http://schemas.openxmlformats.org/officeDocument/2006/relationships/hyperlink" Id="rId30" Target="https://doi.org/10.1111/tct.13567" TargetMode="External" /><Relationship Type="http://schemas.openxmlformats.org/officeDocument/2006/relationships/hyperlink" Id="rId32" Target="https://doi.org/10.1177/1468794114552778" TargetMode="External" /><Relationship Type="http://schemas.openxmlformats.org/officeDocument/2006/relationships/hyperlink" Id="rId40" Target="https://doi.org/10.1186/s12909-021-02681-0" TargetMode="External" /><Relationship Type="http://schemas.openxmlformats.org/officeDocument/2006/relationships/hyperlink" Id="rId36" Target="https://doi.org/10.1186/s12909-023-04855-4" TargetMode="External" /><Relationship Type="http://schemas.openxmlformats.org/officeDocument/2006/relationships/hyperlink" Id="rId34" Target="https://doi.org/10.36834/cmej.2024.01.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2025-06-26T06:12:54Z</dcterms:created>
  <dcterms:modified xsi:type="dcterms:W3CDTF">2025-06-26T06:12:54Z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Reflexivity/citations.bib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references">
    <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