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2"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rPr>
          <w:rStyle w:val="SectionNumber"/>
        </w:rPr>
        <w:t xml:space="preserve">1.1.4</w:t>
      </w:r>
      <w:r>
        <w:tab/>
      </w: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rPr>
          <w:rStyle w:val="SectionNumber"/>
        </w:rPr>
        <w:t xml:space="preserve">1.2.1</w:t>
      </w:r>
      <w:r>
        <w:tab/>
      </w: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rPr>
          <w:rStyle w:val="SectionNumber"/>
        </w:rPr>
        <w:t xml:space="preserve">1.3.2</w:t>
      </w:r>
      <w:r>
        <w:tab/>
      </w: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rPr>
          <w:rStyle w:val="SectionNumber"/>
        </w:rPr>
        <w:t xml:space="preserve">2.1.1</w:t>
      </w:r>
      <w:r>
        <w:tab/>
      </w: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rPr>
          <w:rStyle w:val="SectionNumber"/>
        </w:rPr>
        <w:t xml:space="preserve">2.1.3</w:t>
      </w:r>
      <w:r>
        <w:tab/>
      </w: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rPr>
          <w:rStyle w:val="SectionNumber"/>
        </w:rPr>
        <w:t xml:space="preserve">2.1.4</w:t>
      </w:r>
      <w:r>
        <w:tab/>
      </w: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rPr>
          <w:rStyle w:val="SectionNumber"/>
        </w:rPr>
        <w:t xml:space="preserve">2.1.5</w:t>
      </w:r>
      <w:r>
        <w:tab/>
      </w: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rPr>
          <w:rStyle w:val="SectionNumber"/>
        </w:rPr>
        <w:t xml:space="preserve">2.3.1</w:t>
      </w:r>
      <w:r>
        <w:tab/>
      </w: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rPr>
          <w:rStyle w:val="SectionNumber"/>
        </w:rPr>
        <w:t xml:space="preserve">2.3.2</w:t>
      </w:r>
      <w:r>
        <w:tab/>
      </w: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rPr>
          <w:rStyle w:val="SectionNumber"/>
        </w:rPr>
        <w:t xml:space="preserve">2.3.3</w:t>
      </w:r>
      <w:r>
        <w:tab/>
      </w: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rPr>
          <w:rStyle w:val="SectionNumber"/>
        </w:rPr>
        <w:t xml:space="preserve">2.3.4</w:t>
      </w:r>
      <w:r>
        <w:tab/>
      </w: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rPr>
          <w:rStyle w:val="SectionNumber"/>
        </w:rPr>
        <w:t xml:space="preserve">2.3.5</w:t>
      </w:r>
      <w:r>
        <w:tab/>
      </w: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rPr>
          <w:rStyle w:val="SectionNumber"/>
        </w:rPr>
        <w:t xml:space="preserve">2.3.6</w:t>
      </w:r>
      <w:r>
        <w:tab/>
      </w: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rPr>
          <w:rStyle w:val="SectionNumber"/>
        </w:rPr>
        <w:t xml:space="preserve">2.4.2</w:t>
      </w:r>
      <w:r>
        <w:tab/>
      </w: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rPr>
          <w:rStyle w:val="SectionNumber"/>
        </w:rPr>
        <w:t xml:space="preserve">3.1.1</w:t>
      </w:r>
      <w:r>
        <w:tab/>
      </w: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rPr>
          <w:rStyle w:val="SectionNumber"/>
        </w:rPr>
        <w:t xml:space="preserve">3.1.2</w:t>
      </w:r>
      <w:r>
        <w:tab/>
      </w: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rPr>
          <w:rStyle w:val="SectionNumber"/>
        </w:rPr>
        <w:t xml:space="preserve">3.1.3</w:t>
      </w:r>
      <w:r>
        <w:tab/>
      </w: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8" w:name="生涯学習の意義と方略"/>
    <w:p>
      <w:pPr>
        <w:pStyle w:val="Heading3"/>
      </w:pPr>
      <w:r>
        <w:rPr>
          <w:rStyle w:val="SectionNumber"/>
        </w:rPr>
        <w:t xml:space="preserve">3.2.1</w:t>
      </w:r>
      <w:r>
        <w:tab/>
      </w: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rPr>
          <w:rStyle w:val="SectionNumber"/>
        </w:rPr>
        <w:t xml:space="preserve">3.2.2</w:t>
      </w:r>
      <w:r>
        <w:tab/>
      </w: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rPr>
          <w:rStyle w:val="SectionNumber"/>
        </w:rPr>
        <w:t xml:space="preserve">3.3.1</w:t>
      </w:r>
      <w:r>
        <w:tab/>
      </w: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73"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66"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64"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2"/>
        </w:numPr>
        <w:pStyle w:val="Compact"/>
      </w:pPr>
      <w:r>
        <w:t xml:space="preserve">情報・科学技術を医療に活用することの重要性と社会的意義を認識する。</w:t>
      </w:r>
    </w:p>
    <w:p>
      <w:pPr>
        <w:numPr>
          <w:ilvl w:val="0"/>
          <w:numId w:val="1032"/>
        </w:numPr>
        <w:pStyle w:val="Compact"/>
      </w:pPr>
      <w:r>
        <w:t xml:space="preserve">医療における情報・科学技術に関連する規制（法律・ガイドラインを含む）を説明できる。</w:t>
      </w:r>
    </w:p>
    <w:p>
      <w:pPr>
        <w:numPr>
          <w:ilvl w:val="0"/>
          <w:numId w:val="1032"/>
        </w:numPr>
        <w:pStyle w:val="Compact"/>
      </w:pPr>
      <w:r>
        <w:t xml:space="preserve">デジタルデバイドによる医療格差や個人情報漏洩など、情報・科学技術を医療に活用するにあたり起こりうる倫理的問題を議論できる。</w:t>
      </w:r>
    </w:p>
    <w:bookmarkEnd w:id="64"/>
    <w:bookmarkStart w:id="65"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3"/>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3"/>
        </w:numPr>
        <w:pStyle w:val="Compact"/>
      </w:pPr>
      <w:r>
        <w:t xml:space="preserve">ソーシャルメディア（インターネット、SNSなど）などの利用における医療者として相応しい情報発信のあり方を理解できる。</w:t>
      </w:r>
    </w:p>
    <w:bookmarkEnd w:id="65"/>
    <w:bookmarkEnd w:id="66"/>
    <w:bookmarkStart w:id="69"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67" w:name="情報科学技術を活用した医療"/>
    <w:p>
      <w:pPr>
        <w:pStyle w:val="Heading3"/>
      </w:pPr>
      <w:r>
        <w:rPr>
          <w:rStyle w:val="SectionNumber"/>
        </w:rPr>
        <w:t xml:space="preserve">4.2.1</w:t>
      </w:r>
      <w:r>
        <w:tab/>
      </w:r>
      <w:r>
        <w:t xml:space="preserve">情報・科学技術を活用した医療</w:t>
      </w:r>
    </w:p>
    <w:p>
      <w:pPr>
        <w:numPr>
          <w:ilvl w:val="0"/>
          <w:numId w:val="1034"/>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34"/>
        </w:numPr>
        <w:pStyle w:val="Compact"/>
      </w:pPr>
      <w:r>
        <w:t xml:space="preserve">情報・科学技術を用いて収集した情報およびデータを適切に分析・総括し、問題解決を図る。</w:t>
      </w:r>
    </w:p>
    <w:bookmarkEnd w:id="67"/>
    <w:bookmarkStart w:id="68" w:name="情報科学技術の先端知識"/>
    <w:p>
      <w:pPr>
        <w:pStyle w:val="Heading3"/>
      </w:pPr>
      <w:r>
        <w:rPr>
          <w:rStyle w:val="SectionNumber"/>
        </w:rPr>
        <w:t xml:space="preserve">4.2.2</w:t>
      </w:r>
      <w:r>
        <w:tab/>
      </w:r>
      <w:r>
        <w:t xml:space="preserve">情報・科学技術の先端知識</w:t>
      </w:r>
    </w:p>
    <w:p>
      <w:pPr>
        <w:numPr>
          <w:ilvl w:val="0"/>
          <w:numId w:val="1035"/>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35"/>
        </w:numPr>
        <w:pStyle w:val="Compact"/>
      </w:pPr>
      <w:r>
        <w:t xml:space="preserve">新たに開発される情報・科学技術に順応し、それらを自身の学び及び医療に活用する習慣を身につける。</w:t>
      </w:r>
    </w:p>
    <w:bookmarkEnd w:id="68"/>
    <w:bookmarkEnd w:id="69"/>
    <w:bookmarkStart w:id="72"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0"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36"/>
        </w:numPr>
        <w:pStyle w:val="Compact"/>
      </w:pPr>
      <w:r>
        <w:t xml:space="preserve">電子カルテや診療において曖昧な表現や複数の意味を有する略語を避け、適切な表現、記述(時制など)ができる。</w:t>
      </w:r>
    </w:p>
    <w:p>
      <w:pPr>
        <w:numPr>
          <w:ilvl w:val="0"/>
          <w:numId w:val="1036"/>
        </w:numPr>
        <w:pStyle w:val="Compact"/>
      </w:pPr>
      <w:r>
        <w:t xml:space="preserve">遠隔コミュニケーション（電子メール、テレビ会議システム、SNS）において、適切なコミュニケーションができる</w:t>
      </w:r>
    </w:p>
    <w:bookmarkEnd w:id="70"/>
    <w:bookmarkStart w:id="71"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37"/>
        </w:numPr>
        <w:pStyle w:val="Compact"/>
      </w:pPr>
      <w:r>
        <w:t xml:space="preserve">自己学習や協同学習の場に適切なICT（e-ラーニング、モバイル技術など）を活用できる</w:t>
      </w:r>
    </w:p>
    <w:p>
      <w:pPr>
        <w:numPr>
          <w:ilvl w:val="0"/>
          <w:numId w:val="1037"/>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71"/>
    <w:bookmarkEnd w:id="72"/>
    <w:bookmarkEnd w:id="73"/>
    <w:bookmarkStart w:id="94"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76"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74" w:name="医療面接"/>
    <w:p>
      <w:pPr>
        <w:pStyle w:val="Heading3"/>
      </w:pPr>
      <w:r>
        <w:rPr>
          <w:rStyle w:val="SectionNumber"/>
        </w:rPr>
        <w:t xml:space="preserve">5.1.1</w:t>
      </w:r>
      <w:r>
        <w:tab/>
      </w:r>
      <w:r>
        <w:t xml:space="preserve">医療面接</w:t>
      </w:r>
    </w:p>
    <w:p>
      <w:pPr>
        <w:numPr>
          <w:ilvl w:val="0"/>
          <w:numId w:val="1038"/>
        </w:numPr>
        <w:pStyle w:val="Compact"/>
      </w:pPr>
      <w:r>
        <w:t xml:space="preserve">適切な身だしなみ、言葉遣い及び態度で患者に接することができる。</w:t>
      </w:r>
    </w:p>
    <w:p>
      <w:pPr>
        <w:numPr>
          <w:ilvl w:val="0"/>
          <w:numId w:val="1038"/>
        </w:numPr>
        <w:pStyle w:val="Compact"/>
      </w:pPr>
      <w:r>
        <w:t xml:space="preserve">医療面接における基本的コミュニケーション技法を用いることができる。</w:t>
      </w:r>
    </w:p>
    <w:p>
      <w:pPr>
        <w:numPr>
          <w:ilvl w:val="0"/>
          <w:numId w:val="1038"/>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38"/>
        </w:numPr>
        <w:pStyle w:val="Compact"/>
      </w:pPr>
      <w:r>
        <w:t xml:space="preserve">患者の立場を尊重し、信頼を得ることができる。</w:t>
      </w:r>
    </w:p>
    <w:p>
      <w:pPr>
        <w:numPr>
          <w:ilvl w:val="0"/>
          <w:numId w:val="1038"/>
        </w:numPr>
        <w:pStyle w:val="Compact"/>
      </w:pPr>
      <w:r>
        <w:t xml:space="preserve">保護者から必要な情報を得たり対応したりすることに可能な範囲で参加できる。</w:t>
      </w:r>
    </w:p>
    <w:bookmarkEnd w:id="74"/>
    <w:bookmarkStart w:id="75" w:name="身体所見"/>
    <w:p>
      <w:pPr>
        <w:pStyle w:val="Heading3"/>
      </w:pPr>
      <w:r>
        <w:rPr>
          <w:rStyle w:val="SectionNumber"/>
        </w:rPr>
        <w:t xml:space="preserve">5.1.2</w:t>
      </w:r>
      <w:r>
        <w:tab/>
      </w:r>
      <w:r>
        <w:t xml:space="preserve">身体所見</w:t>
      </w:r>
    </w:p>
    <w:p>
      <w:pPr>
        <w:numPr>
          <w:ilvl w:val="0"/>
          <w:numId w:val="1039"/>
        </w:numPr>
        <w:pStyle w:val="Compact"/>
      </w:pPr>
      <w:r>
        <w:t xml:space="preserve">患者の状態から診察が可能かどうかを判断し、状態に応じた診察ができる。</w:t>
      </w:r>
    </w:p>
    <w:p>
      <w:pPr>
        <w:numPr>
          <w:ilvl w:val="0"/>
          <w:numId w:val="1039"/>
        </w:numPr>
        <w:pStyle w:val="Compact"/>
      </w:pPr>
      <w:r>
        <w:t xml:space="preserve">身長・体重を測定し、body mass index</w:t>
      </w:r>
      <w:r>
        <w:t xml:space="preserve"> </w:t>
      </w:r>
      <w:r>
        <w:t xml:space="preserve">の算出、栄養状態を評価できる。</w:t>
      </w:r>
    </w:p>
    <w:p>
      <w:pPr>
        <w:numPr>
          <w:ilvl w:val="0"/>
          <w:numId w:val="1039"/>
        </w:numPr>
        <w:pStyle w:val="Compact"/>
      </w:pPr>
      <w:r>
        <w:t xml:space="preserve">バイタルサイン(体温(腋窩)、呼吸数、酸素飽和度、脈拍(橈骨)、血圧(上肢・下肢))の測定ができる</w:t>
      </w:r>
    </w:p>
    <w:p>
      <w:pPr>
        <w:numPr>
          <w:ilvl w:val="0"/>
          <w:numId w:val="1039"/>
        </w:numPr>
        <w:pStyle w:val="Compact"/>
      </w:pPr>
      <w:r>
        <w:t xml:space="preserve">診察時に患者に適切な体位（立位、座位、半座位、臥位、砕石位）を説明できる。</w:t>
      </w:r>
    </w:p>
    <w:p>
      <w:pPr>
        <w:numPr>
          <w:ilvl w:val="0"/>
          <w:numId w:val="1039"/>
        </w:numPr>
        <w:pStyle w:val="Compact"/>
      </w:pPr>
      <w:r>
        <w:t xml:space="preserve">全身の外観（体型、栄養、姿勢、歩行、顔貌、皮膚、発声）を評価できる。</w:t>
      </w:r>
    </w:p>
    <w:p>
      <w:pPr>
        <w:numPr>
          <w:ilvl w:val="0"/>
          <w:numId w:val="1039"/>
        </w:numPr>
        <w:pStyle w:val="Compact"/>
      </w:pPr>
      <w:r>
        <w:t xml:space="preserve">頭部（顔貌、頭髪、頭皮、頭蓋）の診察ができる。</w:t>
      </w:r>
    </w:p>
    <w:p>
      <w:pPr>
        <w:numPr>
          <w:ilvl w:val="0"/>
          <w:numId w:val="1039"/>
        </w:numPr>
        <w:pStyle w:val="Compact"/>
      </w:pPr>
      <w:r>
        <w:t xml:space="preserve">眼（視野、瞳孔、対光反射、眼球運動・突出、結膜）の診察ができる。</w:t>
      </w:r>
    </w:p>
    <w:p>
      <w:pPr>
        <w:numPr>
          <w:ilvl w:val="0"/>
          <w:numId w:val="1039"/>
        </w:numPr>
        <w:pStyle w:val="Compact"/>
      </w:pPr>
      <w:r>
        <w:t xml:space="preserve">耳（耳介、聴力）の診察ができる。</w:t>
      </w:r>
    </w:p>
    <w:p>
      <w:pPr>
        <w:numPr>
          <w:ilvl w:val="0"/>
          <w:numId w:val="1039"/>
        </w:numPr>
        <w:pStyle w:val="Compact"/>
      </w:pPr>
      <w:r>
        <w:t xml:space="preserve">耳鏡で外耳道、鼓膜を観察できる。</w:t>
      </w:r>
    </w:p>
    <w:p>
      <w:pPr>
        <w:numPr>
          <w:ilvl w:val="0"/>
          <w:numId w:val="1039"/>
        </w:numPr>
        <w:pStyle w:val="Compact"/>
      </w:pPr>
      <w:r>
        <w:t xml:space="preserve">口唇、口腔、咽頭、扁桃の診察ができる。</w:t>
      </w:r>
    </w:p>
    <w:p>
      <w:pPr>
        <w:numPr>
          <w:ilvl w:val="0"/>
          <w:numId w:val="1039"/>
        </w:numPr>
        <w:pStyle w:val="Compact"/>
      </w:pPr>
      <w:r>
        <w:t xml:space="preserve">副鼻腔の診察ができる。</w:t>
      </w:r>
    </w:p>
    <w:p>
      <w:pPr>
        <w:numPr>
          <w:ilvl w:val="0"/>
          <w:numId w:val="1039"/>
        </w:numPr>
        <w:pStyle w:val="Compact"/>
      </w:pPr>
      <w:r>
        <w:t xml:space="preserve">鼻鏡を用いて前鼻腔を観察できる。</w:t>
      </w:r>
    </w:p>
    <w:p>
      <w:pPr>
        <w:numPr>
          <w:ilvl w:val="0"/>
          <w:numId w:val="1039"/>
        </w:numPr>
        <w:pStyle w:val="Compact"/>
      </w:pPr>
      <w:r>
        <w:t xml:space="preserve">甲状腺、頸部血管、気管、唾液腺の診察ができる。</w:t>
      </w:r>
    </w:p>
    <w:p>
      <w:pPr>
        <w:numPr>
          <w:ilvl w:val="0"/>
          <w:numId w:val="1039"/>
        </w:numPr>
        <w:pStyle w:val="Compact"/>
      </w:pPr>
      <w:r>
        <w:t xml:space="preserve">頭頸部リンパ節の診察ができる。</w:t>
      </w:r>
    </w:p>
    <w:p>
      <w:pPr>
        <w:numPr>
          <w:ilvl w:val="0"/>
          <w:numId w:val="1039"/>
        </w:numPr>
        <w:pStyle w:val="Compact"/>
      </w:pPr>
      <w:r>
        <w:t xml:space="preserve">胸部の視診、触診、打診ができる。</w:t>
      </w:r>
    </w:p>
    <w:p>
      <w:pPr>
        <w:numPr>
          <w:ilvl w:val="0"/>
          <w:numId w:val="1039"/>
        </w:numPr>
        <w:pStyle w:val="Compact"/>
      </w:pPr>
      <w:r>
        <w:t xml:space="preserve">呼吸音と副雑音の聴診ができる。</w:t>
      </w:r>
    </w:p>
    <w:p>
      <w:pPr>
        <w:numPr>
          <w:ilvl w:val="0"/>
          <w:numId w:val="1039"/>
        </w:numPr>
        <w:pStyle w:val="Compact"/>
      </w:pPr>
      <w:r>
        <w:t xml:space="preserve">心音と心雑音の聴診ができる。</w:t>
      </w:r>
    </w:p>
    <w:p>
      <w:pPr>
        <w:numPr>
          <w:ilvl w:val="0"/>
          <w:numId w:val="1039"/>
        </w:numPr>
        <w:pStyle w:val="Compact"/>
      </w:pPr>
      <w:r>
        <w:t xml:space="preserve">腹部の視診、聴診ができる。</w:t>
      </w:r>
    </w:p>
    <w:p>
      <w:pPr>
        <w:numPr>
          <w:ilvl w:val="0"/>
          <w:numId w:val="1039"/>
        </w:numPr>
        <w:pStyle w:val="Compact"/>
      </w:pPr>
      <w:r>
        <w:t xml:space="preserve">圧痛、腹膜刺激徴候、筋性防御の有無を判断できる。</w:t>
      </w:r>
    </w:p>
    <w:p>
      <w:pPr>
        <w:numPr>
          <w:ilvl w:val="0"/>
          <w:numId w:val="1039"/>
        </w:numPr>
        <w:pStyle w:val="Compact"/>
      </w:pPr>
      <w:r>
        <w:t xml:space="preserve">区分に応じて腹部の打診、触診ができる。</w:t>
      </w:r>
    </w:p>
    <w:p>
      <w:pPr>
        <w:numPr>
          <w:ilvl w:val="0"/>
          <w:numId w:val="1039"/>
        </w:numPr>
        <w:pStyle w:val="Compact"/>
      </w:pPr>
      <w:r>
        <w:t xml:space="preserve">腹水の有無を判断できる。</w:t>
      </w:r>
    </w:p>
    <w:p>
      <w:pPr>
        <w:numPr>
          <w:ilvl w:val="0"/>
          <w:numId w:val="1039"/>
        </w:numPr>
        <w:pStyle w:val="Compact"/>
      </w:pPr>
      <w:r>
        <w:t xml:space="preserve">腸雑音、血管雑音の聴診ができる。</w:t>
      </w:r>
    </w:p>
    <w:p>
      <w:pPr>
        <w:numPr>
          <w:ilvl w:val="0"/>
          <w:numId w:val="1039"/>
        </w:numPr>
        <w:pStyle w:val="Compact"/>
      </w:pPr>
      <w:r>
        <w:t xml:space="preserve">背部の叩打痛を確認できる。</w:t>
      </w:r>
    </w:p>
    <w:p>
      <w:pPr>
        <w:numPr>
          <w:ilvl w:val="0"/>
          <w:numId w:val="1039"/>
        </w:numPr>
        <w:pStyle w:val="Compact"/>
      </w:pPr>
      <w:r>
        <w:t xml:space="preserve">直腸（前立腺を含む）指診を実演できる。</w:t>
      </w:r>
    </w:p>
    <w:p>
      <w:pPr>
        <w:numPr>
          <w:ilvl w:val="0"/>
          <w:numId w:val="1039"/>
        </w:numPr>
        <w:pStyle w:val="Compact"/>
      </w:pPr>
      <w:r>
        <w:t xml:space="preserve">乳房の診察を実演できる。</w:t>
      </w:r>
    </w:p>
    <w:p>
      <w:pPr>
        <w:numPr>
          <w:ilvl w:val="0"/>
          <w:numId w:val="1039"/>
        </w:numPr>
        <w:pStyle w:val="Compact"/>
      </w:pPr>
      <w:r>
        <w:t xml:space="preserve">意識レベルを判定できる。</w:t>
      </w:r>
    </w:p>
    <w:p>
      <w:pPr>
        <w:numPr>
          <w:ilvl w:val="0"/>
          <w:numId w:val="1039"/>
        </w:numPr>
        <w:pStyle w:val="Compact"/>
      </w:pPr>
      <w:r>
        <w:t xml:space="preserve">脳神経系の診察ができる（眼底検査を含む）。</w:t>
      </w:r>
    </w:p>
    <w:p>
      <w:pPr>
        <w:numPr>
          <w:ilvl w:val="0"/>
          <w:numId w:val="1039"/>
        </w:numPr>
        <w:pStyle w:val="Compact"/>
      </w:pPr>
      <w:r>
        <w:t xml:space="preserve">腱反射の診察ができる。</w:t>
      </w:r>
    </w:p>
    <w:p>
      <w:pPr>
        <w:numPr>
          <w:ilvl w:val="0"/>
          <w:numId w:val="1039"/>
        </w:numPr>
        <w:pStyle w:val="Compact"/>
      </w:pPr>
      <w:r>
        <w:t xml:space="preserve">小脳機能・運動系の診察ができる。</w:t>
      </w:r>
    </w:p>
    <w:p>
      <w:pPr>
        <w:numPr>
          <w:ilvl w:val="0"/>
          <w:numId w:val="1039"/>
        </w:numPr>
        <w:pStyle w:val="Compact"/>
      </w:pPr>
      <w:r>
        <w:t xml:space="preserve">感覚系（痛覚、温度覚、触覚、深部感覚）の診察ができる。</w:t>
      </w:r>
    </w:p>
    <w:p>
      <w:pPr>
        <w:numPr>
          <w:ilvl w:val="0"/>
          <w:numId w:val="1039"/>
        </w:numPr>
        <w:pStyle w:val="Compact"/>
      </w:pPr>
      <w:r>
        <w:t xml:space="preserve">髄膜刺激所見（項部硬直、Kernig徴候）を確認できる。</w:t>
      </w:r>
    </w:p>
    <w:p>
      <w:pPr>
        <w:numPr>
          <w:ilvl w:val="0"/>
          <w:numId w:val="1039"/>
        </w:numPr>
        <w:pStyle w:val="Compact"/>
      </w:pPr>
      <w:r>
        <w:t xml:space="preserve">四肢と脊柱（弯曲、疼痛）の診察ができる。</w:t>
      </w:r>
    </w:p>
    <w:p>
      <w:pPr>
        <w:numPr>
          <w:ilvl w:val="0"/>
          <w:numId w:val="1039"/>
        </w:numPr>
        <w:pStyle w:val="Compact"/>
      </w:pPr>
      <w:r>
        <w:t xml:space="preserve">関節（可動域、腫脹、疼痛、変形）の診察ができる。</w:t>
      </w:r>
    </w:p>
    <w:p>
      <w:pPr>
        <w:numPr>
          <w:ilvl w:val="0"/>
          <w:numId w:val="1039"/>
        </w:numPr>
        <w:pStyle w:val="Compact"/>
      </w:pPr>
      <w:r>
        <w:t xml:space="preserve">筋骨格系の診察（徒手筋力テスト）ができる。</w:t>
      </w:r>
    </w:p>
    <w:p>
      <w:pPr>
        <w:numPr>
          <w:ilvl w:val="0"/>
          <w:numId w:val="1039"/>
        </w:numPr>
        <w:pStyle w:val="Compact"/>
      </w:pPr>
      <w:r>
        <w:t xml:space="preserve">基本診療科[^table:基本診療科]において診察技能ができる。</w:t>
      </w:r>
    </w:p>
    <w:bookmarkEnd w:id="75"/>
    <w:bookmarkEnd w:id="76"/>
    <w:bookmarkStart w:id="82"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77" w:name="カルテ記載"/>
    <w:p>
      <w:pPr>
        <w:pStyle w:val="Heading3"/>
      </w:pPr>
      <w:r>
        <w:rPr>
          <w:rStyle w:val="SectionNumber"/>
        </w:rPr>
        <w:t xml:space="preserve">5.2.1</w:t>
      </w:r>
      <w:r>
        <w:tab/>
      </w:r>
      <w:r>
        <w:t xml:space="preserve">カルテ記載</w:t>
      </w:r>
    </w:p>
    <w:p>
      <w:pPr>
        <w:numPr>
          <w:ilvl w:val="0"/>
          <w:numId w:val="1040"/>
        </w:numPr>
        <w:pStyle w:val="Compact"/>
      </w:pPr>
      <w:r>
        <w:t xml:space="preserve">適切に患者の情報を収集し、問題志向型医療記録</w:t>
      </w:r>
      <w:r>
        <w:t xml:space="preserve">を作成できる。</w:t>
      </w:r>
    </w:p>
    <w:p>
      <w:pPr>
        <w:numPr>
          <w:ilvl w:val="0"/>
          <w:numId w:val="1040"/>
        </w:numPr>
        <w:pStyle w:val="Compact"/>
      </w:pPr>
      <w:r>
        <w:t xml:space="preserve">診療経過を主観的所見・客観的所見・評価・計画</w:t>
      </w:r>
      <w:r>
        <w:t xml:space="preserve">で記載できる。</w:t>
      </w:r>
    </w:p>
    <w:p>
      <w:pPr>
        <w:numPr>
          <w:ilvl w:val="0"/>
          <w:numId w:val="1040"/>
        </w:numPr>
        <w:pStyle w:val="Compact"/>
      </w:pPr>
      <w:r>
        <w:t xml:space="preserve">過去の診療経過をまとめてカルテに記載できる</w:t>
      </w:r>
    </w:p>
    <w:bookmarkEnd w:id="77"/>
    <w:bookmarkStart w:id="78" w:name="臨床推論"/>
    <w:p>
      <w:pPr>
        <w:pStyle w:val="Heading3"/>
      </w:pPr>
      <w:r>
        <w:rPr>
          <w:rStyle w:val="SectionNumber"/>
        </w:rPr>
        <w:t xml:space="preserve">5.2.2</w:t>
      </w:r>
      <w:r>
        <w:tab/>
      </w:r>
      <w:r>
        <w:t xml:space="preserve">臨床推論</w:t>
      </w:r>
    </w:p>
    <w:p>
      <w:pPr>
        <w:numPr>
          <w:ilvl w:val="0"/>
          <w:numId w:val="1041"/>
        </w:numPr>
        <w:pStyle w:val="Compact"/>
      </w:pPr>
      <w:r>
        <w:t xml:space="preserve">基本症候[^table:基本症候]について原因と病態生理を説明できる。</w:t>
      </w:r>
    </w:p>
    <w:p>
      <w:pPr>
        <w:numPr>
          <w:ilvl w:val="0"/>
          <w:numId w:val="1041"/>
        </w:numPr>
        <w:pStyle w:val="Compact"/>
      </w:pPr>
      <w:r>
        <w:t xml:space="preserve">基本症候[^table:基本症候]について鑑別診断を検討し、診断の要点を説明できる。</w:t>
      </w:r>
    </w:p>
    <w:p>
      <w:pPr>
        <w:numPr>
          <w:ilvl w:val="0"/>
          <w:numId w:val="1041"/>
        </w:numPr>
        <w:pStyle w:val="Compact"/>
      </w:pPr>
      <w:r>
        <w:t xml:space="preserve">診断仮説を検証するために、診断仮説に基づいた情報収集を実施できる。</w:t>
      </w:r>
    </w:p>
    <w:p>
      <w:pPr>
        <w:numPr>
          <w:ilvl w:val="0"/>
          <w:numId w:val="1041"/>
        </w:numPr>
        <w:pStyle w:val="Compact"/>
      </w:pPr>
      <w:r>
        <w:t xml:space="preserve">症例に関する情報を収集・分析できる。</w:t>
      </w:r>
    </w:p>
    <w:p>
      <w:pPr>
        <w:numPr>
          <w:ilvl w:val="0"/>
          <w:numId w:val="1041"/>
        </w:numPr>
        <w:pStyle w:val="Compact"/>
      </w:pPr>
      <w:r>
        <w:t xml:space="preserve">得られた情報を基に、その症例の問題点を抽出できる。</w:t>
      </w:r>
    </w:p>
    <w:p>
      <w:pPr>
        <w:numPr>
          <w:ilvl w:val="0"/>
          <w:numId w:val="1041"/>
        </w:numPr>
        <w:pStyle w:val="Compact"/>
      </w:pPr>
      <w:r>
        <w:t xml:space="preserve">病歴と身体所見等の情報を統合して、鑑別診断ができる。</w:t>
      </w:r>
    </w:p>
    <w:p>
      <w:pPr>
        <w:numPr>
          <w:ilvl w:val="0"/>
          <w:numId w:val="1041"/>
        </w:numPr>
        <w:pStyle w:val="Compact"/>
      </w:pPr>
      <w:r>
        <w:t xml:space="preserve">基本診療科[^table:基本診療科]でのそれぞれの状況を考慮して主訴からの診断推論を組み立てられる</w:t>
      </w:r>
    </w:p>
    <w:p>
      <w:pPr>
        <w:numPr>
          <w:ilvl w:val="0"/>
          <w:numId w:val="1041"/>
        </w:numPr>
        <w:pStyle w:val="Compact"/>
      </w:pPr>
      <w:r>
        <w:t xml:space="preserve">基本診療科[^table:基本診療科]における疾患の病態や疫学を説明できる</w:t>
      </w:r>
    </w:p>
    <w:p>
      <w:pPr>
        <w:numPr>
          <w:ilvl w:val="0"/>
          <w:numId w:val="1041"/>
        </w:numPr>
        <w:pStyle w:val="Compact"/>
      </w:pPr>
      <w:r>
        <w:t xml:space="preserve">複数の臓器にまたがる問題を統合する視点を獲得する。</w:t>
      </w:r>
    </w:p>
    <w:p>
      <w:pPr>
        <w:numPr>
          <w:ilvl w:val="0"/>
          <w:numId w:val="1041"/>
        </w:numPr>
        <w:pStyle w:val="Compact"/>
      </w:pPr>
      <w:r>
        <w:t xml:space="preserve">主訴からの診断推論を組み立てる、又はたどる。</w:t>
      </w:r>
    </w:p>
    <w:p>
      <w:pPr>
        <w:numPr>
          <w:ilvl w:val="0"/>
          <w:numId w:val="1041"/>
        </w:numPr>
        <w:pStyle w:val="Compact"/>
      </w:pPr>
      <w:r>
        <w:t xml:space="preserve">薬物によるアナフィラキシーショックの症候、診断、対処法を説明できる。</w:t>
      </w:r>
    </w:p>
    <w:p>
      <w:pPr>
        <w:numPr>
          <w:ilvl w:val="0"/>
          <w:numId w:val="1041"/>
        </w:numPr>
        <w:pStyle w:val="Compact"/>
      </w:pPr>
      <w:r>
        <w:t xml:space="preserve">女性の健康問題に関する理解を深める。</w:t>
      </w:r>
    </w:p>
    <w:p>
      <w:pPr>
        <w:numPr>
          <w:ilvl w:val="0"/>
          <w:numId w:val="1041"/>
        </w:numPr>
        <w:pStyle w:val="Compact"/>
      </w:pPr>
      <w:r>
        <w:t xml:space="preserve">病歴・身体診察を重視した診断推論（診断がつかない場合を含む）を組み立てる、又はたどる。</w:t>
      </w:r>
    </w:p>
    <w:p>
      <w:pPr>
        <w:numPr>
          <w:ilvl w:val="0"/>
          <w:numId w:val="1041"/>
        </w:numPr>
        <w:pStyle w:val="Compact"/>
      </w:pPr>
      <w:r>
        <w:t xml:space="preserve">呼吸、循環を安定化するための初期治療を学ぶ。</w:t>
      </w:r>
    </w:p>
    <w:p>
      <w:pPr>
        <w:numPr>
          <w:ilvl w:val="0"/>
          <w:numId w:val="1041"/>
        </w:numPr>
        <w:pStyle w:val="Compact"/>
      </w:pPr>
      <w:r>
        <w:t xml:space="preserve">症候をベースとした診断推論を組み立てる、又はたどる。</w:t>
      </w:r>
    </w:p>
    <w:bookmarkEnd w:id="78"/>
    <w:bookmarkStart w:id="79" w:name="検査計画分析評価"/>
    <w:p>
      <w:pPr>
        <w:pStyle w:val="Heading3"/>
      </w:pPr>
      <w:r>
        <w:rPr>
          <w:rStyle w:val="SectionNumber"/>
        </w:rPr>
        <w:t xml:space="preserve">5.2.3</w:t>
      </w:r>
      <w:r>
        <w:tab/>
      </w:r>
      <w:r>
        <w:t xml:space="preserve">検査(計画・分析評価)</w:t>
      </w:r>
    </w:p>
    <w:p>
      <w:pPr>
        <w:numPr>
          <w:ilvl w:val="0"/>
          <w:numId w:val="1042"/>
        </w:numPr>
        <w:pStyle w:val="Compact"/>
      </w:pPr>
      <w:r>
        <w:t xml:space="preserve">小児の成長・発達の評価を評価できる。</w:t>
      </w:r>
    </w:p>
    <w:p>
      <w:pPr>
        <w:numPr>
          <w:ilvl w:val="0"/>
          <w:numId w:val="1042"/>
        </w:numPr>
        <w:pStyle w:val="Compact"/>
      </w:pPr>
      <w:r>
        <w:t xml:space="preserve">臨床検査の目的と意義を説明でき、必要最小限の検査項目を選択できる。</w:t>
      </w:r>
    </w:p>
    <w:p>
      <w:pPr>
        <w:numPr>
          <w:ilvl w:val="0"/>
          <w:numId w:val="1042"/>
        </w:numPr>
        <w:pStyle w:val="Compact"/>
      </w:pPr>
      <w:r>
        <w:t xml:space="preserve">臨床検査の正しい検体採取方法と検体保存方法を説明できる。</w:t>
      </w:r>
    </w:p>
    <w:p>
      <w:pPr>
        <w:numPr>
          <w:ilvl w:val="0"/>
          <w:numId w:val="1042"/>
        </w:numPr>
        <w:pStyle w:val="Compact"/>
      </w:pPr>
      <w:r>
        <w:t xml:space="preserve">臨床検査の安全な実施方法（患者確認と検体確認、検査の合併症、感染症予防、精度管理）を説明できる。</w:t>
      </w:r>
    </w:p>
    <w:p>
      <w:pPr>
        <w:numPr>
          <w:ilvl w:val="0"/>
          <w:numId w:val="1042"/>
        </w:numPr>
        <w:pStyle w:val="Compact"/>
      </w:pPr>
      <w:r>
        <w:t xml:space="preserve">病態を推察する基本的検査と確定診断のための検査の意義・相違点を理解・説明できる。</w:t>
      </w:r>
    </w:p>
    <w:p>
      <w:pPr>
        <w:numPr>
          <w:ilvl w:val="0"/>
          <w:numId w:val="1042"/>
        </w:numPr>
        <w:pStyle w:val="Compact"/>
      </w:pPr>
      <w:r>
        <w:t xml:space="preserve">血算、凝固・線溶検査、尿・糞便検査、生化学検査の目的と適応を説明し、結果を解釈できる。</w:t>
      </w:r>
    </w:p>
    <w:p>
      <w:pPr>
        <w:numPr>
          <w:ilvl w:val="0"/>
          <w:numId w:val="1042"/>
        </w:numPr>
        <w:pStyle w:val="Compact"/>
      </w:pPr>
      <w:r>
        <w:t xml:space="preserve">免疫血清学検査、輸血検査の目的と適応を説明し、結果を解釈できる。</w:t>
      </w:r>
    </w:p>
    <w:p>
      <w:pPr>
        <w:numPr>
          <w:ilvl w:val="0"/>
          <w:numId w:val="1042"/>
        </w:numPr>
        <w:pStyle w:val="Compact"/>
      </w:pPr>
      <w:r>
        <w:t xml:space="preserve">染色体・遺伝子検査の目的と適応を説明し、結果を解釈できる。</w:t>
      </w:r>
    </w:p>
    <w:p>
      <w:pPr>
        <w:numPr>
          <w:ilvl w:val="0"/>
          <w:numId w:val="1042"/>
        </w:numPr>
        <w:pStyle w:val="Compact"/>
      </w:pPr>
      <w:r>
        <w:t xml:space="preserve">病理組織検査、細胞診検査、フローサイトメトリの意義を説明できる。</w:t>
      </w:r>
    </w:p>
    <w:p>
      <w:pPr>
        <w:numPr>
          <w:ilvl w:val="0"/>
          <w:numId w:val="1042"/>
        </w:numPr>
        <w:pStyle w:val="Compact"/>
      </w:pPr>
      <w:r>
        <w:t xml:space="preserve">診断に必要な臨床情報の適切な提供法を説明できる。</w:t>
      </w:r>
    </w:p>
    <w:p>
      <w:pPr>
        <w:numPr>
          <w:ilvl w:val="0"/>
          <w:numId w:val="1042"/>
        </w:numPr>
        <w:pStyle w:val="Compact"/>
      </w:pPr>
      <w:r>
        <w:t xml:space="preserve">術中迅速診断の利点、欠点を説明できる。</w:t>
      </w:r>
    </w:p>
    <w:p>
      <w:pPr>
        <w:numPr>
          <w:ilvl w:val="0"/>
          <w:numId w:val="1042"/>
        </w:numPr>
        <w:pStyle w:val="Compact"/>
      </w:pPr>
      <w:r>
        <w:t xml:space="preserve">デジタル画像を用いた病理診断（遠隔診断を含む）の利点、欠点を説明できる。</w:t>
      </w:r>
    </w:p>
    <w:p>
      <w:pPr>
        <w:numPr>
          <w:ilvl w:val="0"/>
          <w:numId w:val="1042"/>
        </w:numPr>
        <w:pStyle w:val="Compact"/>
      </w:pPr>
      <w:r>
        <w:t xml:space="preserve">病理解剖の医療における位置付けと法的事項、手続等を説明できる。</w:t>
      </w:r>
    </w:p>
    <w:p>
      <w:pPr>
        <w:numPr>
          <w:ilvl w:val="0"/>
          <w:numId w:val="1042"/>
        </w:numPr>
        <w:pStyle w:val="Compact"/>
      </w:pPr>
      <w:r>
        <w:t xml:space="preserve">エックス線撮影、コンピュータ断層撮影</w:t>
      </w:r>
      <w:r>
        <w:t xml:space="preserve">、磁気共鳴画像法</w:t>
      </w:r>
      <w:r>
        <w:t xml:space="preserve">と核医学検査の原理を説明できる。</w:t>
      </w:r>
    </w:p>
    <w:p>
      <w:pPr>
        <w:numPr>
          <w:ilvl w:val="0"/>
          <w:numId w:val="1042"/>
        </w:numPr>
        <w:pStyle w:val="Compact"/>
      </w:pPr>
      <w:r>
        <w:t xml:space="preserve">内視鏡検査の適応を説明できる</w:t>
      </w:r>
    </w:p>
    <w:p>
      <w:pPr>
        <w:numPr>
          <w:ilvl w:val="0"/>
          <w:numId w:val="1042"/>
        </w:numPr>
        <w:pStyle w:val="Compact"/>
      </w:pPr>
      <w:r>
        <w:t xml:space="preserve">超音波検査の適応を説明できる。</w:t>
      </w:r>
    </w:p>
    <w:p>
      <w:pPr>
        <w:numPr>
          <w:ilvl w:val="0"/>
          <w:numId w:val="1042"/>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2"/>
        </w:numPr>
        <w:pStyle w:val="Compact"/>
      </w:pPr>
      <w:r>
        <w:t xml:space="preserve">臨床検査の生理的変動、測定誤差、精度管理、ヒューマンエラーを説明できる。</w:t>
      </w:r>
    </w:p>
    <w:p>
      <w:pPr>
        <w:numPr>
          <w:ilvl w:val="0"/>
          <w:numId w:val="1042"/>
        </w:numPr>
        <w:pStyle w:val="Compact"/>
      </w:pPr>
      <w:r>
        <w:t xml:space="preserve">小児、高齢者、妊産婦の検査値特性を説明し、結果を解釈できる。</w:t>
      </w:r>
    </w:p>
    <w:p>
      <w:pPr>
        <w:numPr>
          <w:ilvl w:val="0"/>
          <w:numId w:val="1042"/>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2"/>
        </w:numPr>
        <w:pStyle w:val="Compact"/>
      </w:pPr>
      <w:r>
        <w:t xml:space="preserve">細菌学検査（細菌の塗抹、培養、同定、薬剤感受性試験）の目的と適応を説明し、結果を解釈できる。</w:t>
      </w:r>
    </w:p>
    <w:p>
      <w:pPr>
        <w:numPr>
          <w:ilvl w:val="0"/>
          <w:numId w:val="1042"/>
        </w:numPr>
        <w:pStyle w:val="Compact"/>
      </w:pPr>
      <w:r>
        <w:t xml:space="preserve">動脈血ガス分析の目的と適応を説明し、結果を解釈できる。</w:t>
      </w:r>
    </w:p>
    <w:p>
      <w:pPr>
        <w:numPr>
          <w:ilvl w:val="0"/>
          <w:numId w:val="1042"/>
        </w:numPr>
        <w:pStyle w:val="Compact"/>
      </w:pPr>
      <w:r>
        <w:t xml:space="preserve">脳脊髄液・胸水・腹水検査の目的と適応を説明し、結果を解釈できる。</w:t>
      </w:r>
    </w:p>
    <w:p>
      <w:pPr>
        <w:numPr>
          <w:ilvl w:val="0"/>
          <w:numId w:val="1042"/>
        </w:numPr>
        <w:pStyle w:val="Compact"/>
      </w:pPr>
      <w:r>
        <w:t xml:space="preserve">病理診断、細胞診の適切な検体の取扱い、標本作製及び診断過程が説明できる。</w:t>
      </w:r>
    </w:p>
    <w:p>
      <w:pPr>
        <w:numPr>
          <w:ilvl w:val="0"/>
          <w:numId w:val="1042"/>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42"/>
        </w:numPr>
        <w:pStyle w:val="Compact"/>
      </w:pPr>
      <w:r>
        <w:t xml:space="preserve">主な疾患、病態のエコー像を概説できる。</w:t>
      </w:r>
    </w:p>
    <w:p>
      <w:pPr>
        <w:numPr>
          <w:ilvl w:val="0"/>
          <w:numId w:val="1042"/>
        </w:numPr>
        <w:pStyle w:val="Compact"/>
      </w:pPr>
      <w:r>
        <w:t xml:space="preserve">臨床疫学的指標（感度・特異度、尤度比等）を考慮して、検査計画を立てられる。</w:t>
      </w:r>
    </w:p>
    <w:bookmarkEnd w:id="79"/>
    <w:bookmarkStart w:id="80" w:name="治療計画経過の評価"/>
    <w:p>
      <w:pPr>
        <w:pStyle w:val="Heading3"/>
      </w:pPr>
      <w:r>
        <w:rPr>
          <w:rStyle w:val="SectionNumber"/>
        </w:rPr>
        <w:t xml:space="preserve">5.2.4</w:t>
      </w:r>
      <w:r>
        <w:tab/>
      </w:r>
      <w:r>
        <w:t xml:space="preserve">治療(計画・経過の評価)</w:t>
      </w:r>
    </w:p>
    <w:p>
      <w:pPr>
        <w:numPr>
          <w:ilvl w:val="0"/>
          <w:numId w:val="1043"/>
        </w:numPr>
        <w:pStyle w:val="Compact"/>
      </w:pPr>
      <w:r>
        <w:t xml:space="preserve">基本症候[^table:基本症候]について初期対応を計画し、専門的治療が必要な状態を概説できる。</w:t>
      </w:r>
    </w:p>
    <w:p>
      <w:pPr>
        <w:numPr>
          <w:ilvl w:val="0"/>
          <w:numId w:val="1043"/>
        </w:numPr>
        <w:pStyle w:val="Compact"/>
      </w:pPr>
      <w:r>
        <w:t xml:space="preserve">治療やマネジメントに関して意思決定するために、患者側と情報共有や摺り合わせをすることができる。</w:t>
      </w:r>
    </w:p>
    <w:p>
      <w:pPr>
        <w:numPr>
          <w:ilvl w:val="0"/>
          <w:numId w:val="1043"/>
        </w:numPr>
        <w:pStyle w:val="Compact"/>
      </w:pPr>
      <w:r>
        <w:t xml:space="preserve">放射線治療の原理を説明し、主な放射線治療法を列挙できる。</w:t>
      </w:r>
    </w:p>
    <w:p>
      <w:pPr>
        <w:numPr>
          <w:ilvl w:val="0"/>
          <w:numId w:val="1043"/>
        </w:numPr>
        <w:pStyle w:val="Compact"/>
      </w:pPr>
      <w:r>
        <w:t xml:space="preserve">放射線診断・治療による利益と不利益を説明できる。</w:t>
      </w:r>
    </w:p>
    <w:p>
      <w:pPr>
        <w:numPr>
          <w:ilvl w:val="0"/>
          <w:numId w:val="1043"/>
        </w:numPr>
        <w:pStyle w:val="Compact"/>
      </w:pPr>
      <w:r>
        <w:t xml:space="preserve">インターベンショナルラジオロジー（画像誘導下治療）を概説できる。</w:t>
      </w:r>
    </w:p>
    <w:p>
      <w:pPr>
        <w:numPr>
          <w:ilvl w:val="0"/>
          <w:numId w:val="1043"/>
        </w:numPr>
        <w:pStyle w:val="Compact"/>
      </w:pPr>
      <w:r>
        <w:t xml:space="preserve">内視鏡を用いる治療を概説できる。</w:t>
      </w:r>
    </w:p>
    <w:p>
      <w:pPr>
        <w:numPr>
          <w:ilvl w:val="0"/>
          <w:numId w:val="1043"/>
        </w:numPr>
        <w:pStyle w:val="Compact"/>
      </w:pPr>
      <w:r>
        <w:t xml:space="preserve">超音波を用いる治療を概説できる。</w:t>
      </w:r>
    </w:p>
    <w:p>
      <w:pPr>
        <w:numPr>
          <w:ilvl w:val="0"/>
          <w:numId w:val="1043"/>
        </w:numPr>
        <w:pStyle w:val="Compact"/>
      </w:pPr>
      <w:r>
        <w:t xml:space="preserve">薬物（オピオイドを含む）の蓄積、耐性、タキフィラキシー、依存、習慣性や嗜癖を説明できる。</w:t>
      </w:r>
    </w:p>
    <w:p>
      <w:pPr>
        <w:numPr>
          <w:ilvl w:val="0"/>
          <w:numId w:val="1043"/>
        </w:numPr>
        <w:pStyle w:val="Compact"/>
      </w:pPr>
      <w:r>
        <w:t xml:space="preserve">主な薬物アレルギーの症候、診察、診断を列挙し、予防策と対処法を説明できる。</w:t>
      </w:r>
    </w:p>
    <w:p>
      <w:pPr>
        <w:numPr>
          <w:ilvl w:val="0"/>
          <w:numId w:val="1043"/>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3"/>
        </w:numPr>
        <w:pStyle w:val="Compact"/>
      </w:pPr>
      <w:r>
        <w:t xml:space="preserve">抗微生物薬の薬理作用、適応、有害事象、投与時の注意事項を説明できる。</w:t>
      </w:r>
    </w:p>
    <w:p>
      <w:pPr>
        <w:numPr>
          <w:ilvl w:val="0"/>
          <w:numId w:val="1043"/>
        </w:numPr>
        <w:pStyle w:val="Compact"/>
      </w:pPr>
      <w:r>
        <w:t xml:space="preserve">抗腫瘍薬の適応、有害事象、投与時の注意事項を説明できる。</w:t>
      </w:r>
    </w:p>
    <w:p>
      <w:pPr>
        <w:numPr>
          <w:ilvl w:val="0"/>
          <w:numId w:val="1043"/>
        </w:numPr>
        <w:pStyle w:val="Compact"/>
      </w:pPr>
      <w:r>
        <w:t xml:space="preserve">妊娠反応検査が必要な状況とその解釈を説明できる。</w:t>
      </w:r>
    </w:p>
    <w:p>
      <w:pPr>
        <w:numPr>
          <w:ilvl w:val="0"/>
          <w:numId w:val="1043"/>
        </w:numPr>
        <w:pStyle w:val="Compact"/>
      </w:pPr>
      <w:r>
        <w:t xml:space="preserve">麻薬性鎮痛薬・鎮静薬の適応、有害事象、投与時の注意事項を説明できる。</w:t>
      </w:r>
    </w:p>
    <w:p>
      <w:pPr>
        <w:numPr>
          <w:ilvl w:val="0"/>
          <w:numId w:val="1043"/>
        </w:numPr>
        <w:pStyle w:val="Compact"/>
      </w:pPr>
      <w:r>
        <w:t xml:space="preserve">主な薬物の有害事象を概説できる。</w:t>
      </w:r>
    </w:p>
    <w:p>
      <w:pPr>
        <w:numPr>
          <w:ilvl w:val="0"/>
          <w:numId w:val="1043"/>
        </w:numPr>
        <w:pStyle w:val="Compact"/>
      </w:pPr>
      <w:r>
        <w:t xml:space="preserve">年齢や臓器障害に応じた薬物動態の特徴を考慮して薬剤投与の注意点を説明できる。</w:t>
      </w:r>
    </w:p>
    <w:p>
      <w:pPr>
        <w:numPr>
          <w:ilvl w:val="0"/>
          <w:numId w:val="1043"/>
        </w:numPr>
        <w:pStyle w:val="Compact"/>
      </w:pPr>
      <w:r>
        <w:t xml:space="preserve">薬物動態的相互作用について例を挙げて説明できる。</w:t>
      </w:r>
    </w:p>
    <w:p>
      <w:pPr>
        <w:numPr>
          <w:ilvl w:val="0"/>
          <w:numId w:val="1043"/>
        </w:numPr>
        <w:pStyle w:val="Compact"/>
      </w:pPr>
      <w:r>
        <w:t xml:space="preserve">処方箋の書き方、服薬の基本・アドヒアランスを説明できる。</w:t>
      </w:r>
    </w:p>
    <w:p>
      <w:pPr>
        <w:numPr>
          <w:ilvl w:val="0"/>
          <w:numId w:val="1043"/>
        </w:numPr>
        <w:pStyle w:val="Compact"/>
      </w:pPr>
      <w:r>
        <w:t xml:space="preserve">分子標的薬の薬理作用と有害事象を説明できる。</w:t>
      </w:r>
    </w:p>
    <w:p>
      <w:pPr>
        <w:numPr>
          <w:ilvl w:val="0"/>
          <w:numId w:val="1043"/>
        </w:numPr>
        <w:pStyle w:val="Compact"/>
      </w:pPr>
      <w:r>
        <w:t xml:space="preserve">漢方医学の特徴や、主な和漢薬（漢方薬）の適応、薬理作用を概説できる。</w:t>
      </w:r>
    </w:p>
    <w:p>
      <w:pPr>
        <w:numPr>
          <w:ilvl w:val="0"/>
          <w:numId w:val="1043"/>
        </w:numPr>
        <w:pStyle w:val="Compact"/>
      </w:pPr>
      <w:r>
        <w:t xml:space="preserve">ポリファーマシー、使用禁忌、特定条件下での薬物使用（アンチ・ドーピング等）を説明できる。</w:t>
      </w:r>
    </w:p>
    <w:p>
      <w:pPr>
        <w:numPr>
          <w:ilvl w:val="0"/>
          <w:numId w:val="1043"/>
        </w:numPr>
        <w:pStyle w:val="Compact"/>
      </w:pPr>
      <w:r>
        <w:t xml:space="preserve">清潔の概念と必要性を説明できる。</w:t>
      </w:r>
    </w:p>
    <w:p>
      <w:pPr>
        <w:numPr>
          <w:ilvl w:val="0"/>
          <w:numId w:val="1043"/>
        </w:numPr>
        <w:pStyle w:val="Compact"/>
      </w:pPr>
      <w:r>
        <w:t xml:space="preserve">手洗いの意味と手技を説明できる。</w:t>
      </w:r>
    </w:p>
    <w:p>
      <w:pPr>
        <w:numPr>
          <w:ilvl w:val="0"/>
          <w:numId w:val="1043"/>
        </w:numPr>
        <w:pStyle w:val="Compact"/>
      </w:pPr>
      <w:r>
        <w:t xml:space="preserve">ガウンテクニックの必要性と手技を説明できる。</w:t>
      </w:r>
    </w:p>
    <w:p>
      <w:pPr>
        <w:numPr>
          <w:ilvl w:val="0"/>
          <w:numId w:val="1043"/>
        </w:numPr>
        <w:pStyle w:val="Compact"/>
      </w:pPr>
      <w:r>
        <w:t xml:space="preserve">消毒の意味と方法を説明でき、被覆材の種類と適応、効果を説明できる。</w:t>
      </w:r>
    </w:p>
    <w:p>
      <w:pPr>
        <w:numPr>
          <w:ilvl w:val="0"/>
          <w:numId w:val="1043"/>
        </w:numPr>
        <w:pStyle w:val="Compact"/>
      </w:pPr>
      <w:r>
        <w:t xml:space="preserve">外科的治療の適応と合併症を説明できる。</w:t>
      </w:r>
    </w:p>
    <w:p>
      <w:pPr>
        <w:numPr>
          <w:ilvl w:val="0"/>
          <w:numId w:val="1043"/>
        </w:numPr>
        <w:pStyle w:val="Compact"/>
      </w:pPr>
      <w:r>
        <w:t xml:space="preserve">手術の危険因子を列挙し、その対応の基本を説明できる。</w:t>
      </w:r>
    </w:p>
    <w:p>
      <w:pPr>
        <w:numPr>
          <w:ilvl w:val="0"/>
          <w:numId w:val="1043"/>
        </w:numPr>
        <w:pStyle w:val="Compact"/>
      </w:pPr>
      <w:r>
        <w:t xml:space="preserve">主な術後合併症を列挙し、その予防の基本を説明できる。</w:t>
      </w:r>
    </w:p>
    <w:p>
      <w:pPr>
        <w:numPr>
          <w:ilvl w:val="0"/>
          <w:numId w:val="1043"/>
        </w:numPr>
        <w:pStyle w:val="Compact"/>
      </w:pPr>
      <w:r>
        <w:t xml:space="preserve">手術に関するインフォームド・コンセントの注意点を列挙できる。</w:t>
      </w:r>
    </w:p>
    <w:p>
      <w:pPr>
        <w:numPr>
          <w:ilvl w:val="0"/>
          <w:numId w:val="1043"/>
        </w:numPr>
        <w:pStyle w:val="Compact"/>
      </w:pPr>
      <w:r>
        <w:t xml:space="preserve">周術期管理における事前のリスク評価を説明できる。</w:t>
      </w:r>
    </w:p>
    <w:p>
      <w:pPr>
        <w:numPr>
          <w:ilvl w:val="0"/>
          <w:numId w:val="1043"/>
        </w:numPr>
        <w:pStyle w:val="Compact"/>
      </w:pPr>
      <w:r>
        <w:t xml:space="preserve">周術期における主な薬剤の服薬管理（継続、中止等）の必要性とそれに伴うリスクの基本を説明できる。</w:t>
      </w:r>
    </w:p>
    <w:p>
      <w:pPr>
        <w:numPr>
          <w:ilvl w:val="0"/>
          <w:numId w:val="1043"/>
        </w:numPr>
        <w:pStyle w:val="Compact"/>
      </w:pPr>
      <w:r>
        <w:t xml:space="preserve">周術期管理における輸液・輸血の基本を説明できる。</w:t>
      </w:r>
    </w:p>
    <w:p>
      <w:pPr>
        <w:numPr>
          <w:ilvl w:val="0"/>
          <w:numId w:val="1043"/>
        </w:numPr>
        <w:pStyle w:val="Compact"/>
      </w:pPr>
      <w:r>
        <w:t xml:space="preserve">術後痛の管理を説明できる。</w:t>
      </w:r>
    </w:p>
    <w:p>
      <w:pPr>
        <w:numPr>
          <w:ilvl w:val="0"/>
          <w:numId w:val="1043"/>
        </w:numPr>
        <w:pStyle w:val="Compact"/>
      </w:pPr>
      <w:r>
        <w:t xml:space="preserve">術後回復室の役割を概説できる。</w:t>
      </w:r>
    </w:p>
    <w:p>
      <w:pPr>
        <w:numPr>
          <w:ilvl w:val="0"/>
          <w:numId w:val="1043"/>
        </w:numPr>
        <w:pStyle w:val="Compact"/>
      </w:pPr>
      <w:r>
        <w:t xml:space="preserve">集中治療室の役割を概説できる。</w:t>
      </w:r>
    </w:p>
    <w:p>
      <w:pPr>
        <w:numPr>
          <w:ilvl w:val="0"/>
          <w:numId w:val="1043"/>
        </w:numPr>
        <w:pStyle w:val="Compact"/>
      </w:pPr>
      <w:r>
        <w:t xml:space="preserve">麻酔の概念、種類と麻酔時の生体反応を説明できる。</w:t>
      </w:r>
    </w:p>
    <w:p>
      <w:pPr>
        <w:numPr>
          <w:ilvl w:val="0"/>
          <w:numId w:val="1043"/>
        </w:numPr>
        <w:pStyle w:val="Compact"/>
      </w:pPr>
      <w:r>
        <w:t xml:space="preserve">麻酔管理を安全に行うための術前評価と呼吸管理を概説できる。</w:t>
      </w:r>
    </w:p>
    <w:p>
      <w:pPr>
        <w:numPr>
          <w:ilvl w:val="0"/>
          <w:numId w:val="1043"/>
        </w:numPr>
        <w:pStyle w:val="Compact"/>
      </w:pPr>
      <w:r>
        <w:t xml:space="preserve">麻酔薬と筋弛緩薬の種類と使用上の原則を説明できる。</w:t>
      </w:r>
    </w:p>
    <w:p>
      <w:pPr>
        <w:numPr>
          <w:ilvl w:val="0"/>
          <w:numId w:val="1043"/>
        </w:numPr>
        <w:pStyle w:val="Compact"/>
      </w:pPr>
      <w:r>
        <w:t xml:space="preserve">吸入麻酔と静脈麻酔の適応、禁忌、方法、事故と合併症を概説できる。</w:t>
      </w:r>
    </w:p>
    <w:p>
      <w:pPr>
        <w:numPr>
          <w:ilvl w:val="0"/>
          <w:numId w:val="1043"/>
        </w:numPr>
        <w:pStyle w:val="Compact"/>
      </w:pPr>
      <w:r>
        <w:t xml:space="preserve">局所麻酔、末梢神経ブロック、神経叢ブロック、脊髄くも膜下麻酔、硬膜外麻酔の適応、禁忌と合併症を概説できる。</w:t>
      </w:r>
    </w:p>
    <w:p>
      <w:pPr>
        <w:numPr>
          <w:ilvl w:val="0"/>
          <w:numId w:val="1043"/>
        </w:numPr>
        <w:pStyle w:val="Compact"/>
      </w:pPr>
      <w:r>
        <w:t xml:space="preserve">安全な麻酔のためのモニタリングの方法、重要な異常所見と対処法を概説できる。</w:t>
      </w:r>
    </w:p>
    <w:p>
      <w:pPr>
        <w:numPr>
          <w:ilvl w:val="0"/>
          <w:numId w:val="1043"/>
        </w:numPr>
        <w:pStyle w:val="Compact"/>
      </w:pPr>
      <w:r>
        <w:t xml:space="preserve">悪性高熱症や神経筋疾患患者における麻酔管理上の注意点を概説できる。</w:t>
      </w:r>
    </w:p>
    <w:p>
      <w:pPr>
        <w:numPr>
          <w:ilvl w:val="0"/>
          <w:numId w:val="1043"/>
        </w:numPr>
        <w:pStyle w:val="Compact"/>
      </w:pPr>
      <w:r>
        <w:t xml:space="preserve">食行動、食事摂取基準、食事バランス、日本食品標準成分表、補助食品、食物繊維・プロバイオティクス・プレバイオティクスを概説できる。</w:t>
      </w:r>
    </w:p>
    <w:p>
      <w:pPr>
        <w:numPr>
          <w:ilvl w:val="0"/>
          <w:numId w:val="1043"/>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3"/>
        </w:numPr>
        <w:pStyle w:val="Compact"/>
      </w:pPr>
      <w:r>
        <w:t xml:space="preserve">各種補液製剤（ビタミン、微量元素を含む）の特徴と病態に合わせた適応、投与時の注意事項を説明できる。</w:t>
      </w:r>
    </w:p>
    <w:p>
      <w:pPr>
        <w:numPr>
          <w:ilvl w:val="0"/>
          <w:numId w:val="1043"/>
        </w:numPr>
        <w:pStyle w:val="Compact"/>
      </w:pPr>
      <w:r>
        <w:t xml:space="preserve">経静脈栄養と経管・経腸栄養の適応、方法と合併症、長期投与時の注意事項を説明できる。</w:t>
      </w:r>
    </w:p>
    <w:p>
      <w:pPr>
        <w:numPr>
          <w:ilvl w:val="0"/>
          <w:numId w:val="1043"/>
        </w:numPr>
        <w:pStyle w:val="Compact"/>
      </w:pPr>
      <w:r>
        <w:t xml:space="preserve">乳幼児と小児の輸液療法を説明できる。</w:t>
      </w:r>
    </w:p>
    <w:p>
      <w:pPr>
        <w:numPr>
          <w:ilvl w:val="0"/>
          <w:numId w:val="1043"/>
        </w:numPr>
        <w:pStyle w:val="Compact"/>
      </w:pPr>
      <w:r>
        <w:t xml:space="preserve">主な医療機器の種類と原理を概説できる。</w:t>
      </w:r>
    </w:p>
    <w:p>
      <w:pPr>
        <w:numPr>
          <w:ilvl w:val="0"/>
          <w:numId w:val="1043"/>
        </w:numPr>
        <w:pStyle w:val="Compact"/>
      </w:pPr>
      <w:r>
        <w:t xml:space="preserve">主な人工臓器の種類と原理を概説できる。</w:t>
      </w:r>
    </w:p>
    <w:p>
      <w:pPr>
        <w:numPr>
          <w:ilvl w:val="0"/>
          <w:numId w:val="1043"/>
        </w:numPr>
        <w:pStyle w:val="Compact"/>
      </w:pPr>
      <w:r>
        <w:t xml:space="preserve">血液製剤及び血漿分画製剤の種類と適応を説明できる。</w:t>
      </w:r>
    </w:p>
    <w:p>
      <w:pPr>
        <w:numPr>
          <w:ilvl w:val="0"/>
          <w:numId w:val="1043"/>
        </w:numPr>
        <w:pStyle w:val="Compact"/>
      </w:pPr>
      <w:r>
        <w:t xml:space="preserve">血液型(ABO、RhD)検査、血液交差適合（クロスマッチ）試験、不規則抗体検査を説明できる。</w:t>
      </w:r>
    </w:p>
    <w:p>
      <w:pPr>
        <w:numPr>
          <w:ilvl w:val="0"/>
          <w:numId w:val="1043"/>
        </w:numPr>
        <w:pStyle w:val="Compact"/>
      </w:pPr>
      <w:r>
        <w:t xml:space="preserve">輸血副反応、輸血使用記録保管義務、不適合輸血の防止手順を説明できる。</w:t>
      </w:r>
    </w:p>
    <w:p>
      <w:pPr>
        <w:numPr>
          <w:ilvl w:val="0"/>
          <w:numId w:val="1043"/>
        </w:numPr>
        <w:pStyle w:val="Compact"/>
      </w:pPr>
      <w:r>
        <w:t xml:space="preserve">輸血の適正使用、成分輸血、自己血輸血、緊急時の輸血を説明できる。</w:t>
      </w:r>
    </w:p>
    <w:p>
      <w:pPr>
        <w:numPr>
          <w:ilvl w:val="0"/>
          <w:numId w:val="1043"/>
        </w:numPr>
        <w:pStyle w:val="Compact"/>
      </w:pPr>
      <w:r>
        <w:t xml:space="preserve">臓器移植、造血幹細胞移植の種類と適応を説明できる。</w:t>
      </w:r>
    </w:p>
    <w:p>
      <w:pPr>
        <w:numPr>
          <w:ilvl w:val="0"/>
          <w:numId w:val="1043"/>
        </w:numPr>
        <w:pStyle w:val="Compact"/>
      </w:pPr>
      <w:r>
        <w:t xml:space="preserve">移植と組織適合性の関係を説明できる。</w:t>
      </w:r>
    </w:p>
    <w:p>
      <w:pPr>
        <w:numPr>
          <w:ilvl w:val="0"/>
          <w:numId w:val="1043"/>
        </w:numPr>
        <w:pStyle w:val="Compact"/>
      </w:pPr>
      <w:r>
        <w:t xml:space="preserve">移植後の拒絶反応、移植片対宿主病の病態生理と発症時の対応を説明できる。</w:t>
      </w:r>
    </w:p>
    <w:p>
      <w:pPr>
        <w:numPr>
          <w:ilvl w:val="0"/>
          <w:numId w:val="1043"/>
        </w:numPr>
        <w:pStyle w:val="Compact"/>
      </w:pPr>
      <w:r>
        <w:t xml:space="preserve">免疫抑制薬の種類、適応と副作用を説明できる。</w:t>
      </w:r>
    </w:p>
    <w:p>
      <w:pPr>
        <w:numPr>
          <w:ilvl w:val="0"/>
          <w:numId w:val="1043"/>
        </w:numPr>
        <w:pStyle w:val="Compact"/>
      </w:pPr>
      <w:r>
        <w:t xml:space="preserve">リハビリテーションの概念と適応（心大血管疾患、呼吸器疾患、癌等の内部障害を含む）を説明できる。</w:t>
      </w:r>
    </w:p>
    <w:p>
      <w:pPr>
        <w:numPr>
          <w:ilvl w:val="0"/>
          <w:numId w:val="1043"/>
        </w:numPr>
        <w:pStyle w:val="Compact"/>
      </w:pPr>
      <w:r>
        <w:t xml:space="preserve">福祉・介護との連携におけるリハビリテーションの役割を説明できる。</w:t>
      </w:r>
    </w:p>
    <w:p>
      <w:pPr>
        <w:numPr>
          <w:ilvl w:val="0"/>
          <w:numId w:val="1043"/>
        </w:numPr>
        <w:pStyle w:val="Compact"/>
      </w:pPr>
      <w:r>
        <w:t xml:space="preserve">機能障害と日常生活動作(activities of daily living</w:t>
      </w:r>
      <w:r>
        <w:t xml:space="preserve"> </w:t>
      </w:r>
      <w:r>
        <w:t xml:space="preserve">)の評価ができる。</w:t>
      </w:r>
    </w:p>
    <w:p>
      <w:pPr>
        <w:numPr>
          <w:ilvl w:val="0"/>
          <w:numId w:val="1043"/>
        </w:numPr>
        <w:pStyle w:val="Compact"/>
      </w:pPr>
      <w:r>
        <w:t xml:space="preserve">理学療法、作業療法と言語聴覚療法を概説できる。</w:t>
      </w:r>
    </w:p>
    <w:p>
      <w:pPr>
        <w:numPr>
          <w:ilvl w:val="0"/>
          <w:numId w:val="1043"/>
        </w:numPr>
        <w:pStyle w:val="Compact"/>
      </w:pPr>
      <w:r>
        <w:t xml:space="preserve">主な歩行補助具、車椅子、義肢（義手、義足）と装具を概説できる。</w:t>
      </w:r>
    </w:p>
    <w:p>
      <w:pPr>
        <w:numPr>
          <w:ilvl w:val="0"/>
          <w:numId w:val="1043"/>
        </w:numPr>
        <w:pStyle w:val="Compact"/>
      </w:pPr>
      <w:r>
        <w:t xml:space="preserve">在宅医療の在り方、今後の必要性と課題を概説できる。</w:t>
      </w:r>
    </w:p>
    <w:p>
      <w:pPr>
        <w:numPr>
          <w:ilvl w:val="0"/>
          <w:numId w:val="1043"/>
        </w:numPr>
        <w:pStyle w:val="Compact"/>
      </w:pPr>
      <w:r>
        <w:t xml:space="preserve">在宅における人生の最終段階における医療、看取りの在り方と課題を概説できる。</w:t>
      </w:r>
    </w:p>
    <w:p>
      <w:pPr>
        <w:numPr>
          <w:ilvl w:val="0"/>
          <w:numId w:val="1043"/>
        </w:numPr>
        <w:pStyle w:val="Compact"/>
      </w:pPr>
      <w:r>
        <w:t xml:space="preserve">介護の定義と種類を説明できる。</w:t>
      </w:r>
    </w:p>
    <w:p>
      <w:pPr>
        <w:numPr>
          <w:ilvl w:val="0"/>
          <w:numId w:val="1043"/>
        </w:numPr>
        <w:pStyle w:val="Compact"/>
      </w:pPr>
      <w:r>
        <w:t xml:space="preserve">日常生活動作</w:t>
      </w:r>
      <w:r>
        <w:t xml:space="preserve">（排泄、摂食、入浴等）に応じた介護と環境整備の要点を概説できる。</w:t>
      </w:r>
    </w:p>
    <w:p>
      <w:pPr>
        <w:numPr>
          <w:ilvl w:val="0"/>
          <w:numId w:val="1043"/>
        </w:numPr>
        <w:pStyle w:val="Compact"/>
      </w:pPr>
      <w:r>
        <w:t xml:space="preserve">地域包括ケアシステムと介護保険制度、障害者総合支援法等の医療保健福祉制度を概説できる。</w:t>
      </w:r>
    </w:p>
    <w:p>
      <w:pPr>
        <w:numPr>
          <w:ilvl w:val="0"/>
          <w:numId w:val="1043"/>
        </w:numPr>
        <w:pStyle w:val="Compact"/>
      </w:pPr>
      <w:r>
        <w:t xml:space="preserve">全人的苦痛を説明できる。</w:t>
      </w:r>
    </w:p>
    <w:p>
      <w:pPr>
        <w:numPr>
          <w:ilvl w:val="0"/>
          <w:numId w:val="1043"/>
        </w:numPr>
        <w:pStyle w:val="Compact"/>
      </w:pPr>
      <w:r>
        <w:t xml:space="preserve">緩和ケアにおいて頻度の高い身体的苦痛、心理社会的苦痛を列挙することができる。</w:t>
      </w:r>
    </w:p>
    <w:p>
      <w:pPr>
        <w:numPr>
          <w:ilvl w:val="0"/>
          <w:numId w:val="1043"/>
        </w:numPr>
        <w:pStyle w:val="Compact"/>
      </w:pPr>
      <w:r>
        <w:t xml:space="preserve">疼痛のアセスメント、疼痛緩和の薬物療法、癌疼痛治療法を説明できる。</w:t>
      </w:r>
    </w:p>
    <w:p>
      <w:pPr>
        <w:numPr>
          <w:ilvl w:val="0"/>
          <w:numId w:val="1043"/>
        </w:numPr>
        <w:pStyle w:val="Compact"/>
      </w:pPr>
      <w:r>
        <w:t xml:space="preserve">オピオイドの適応と課題を説明できる。</w:t>
      </w:r>
    </w:p>
    <w:p>
      <w:pPr>
        <w:numPr>
          <w:ilvl w:val="0"/>
          <w:numId w:val="1043"/>
        </w:numPr>
        <w:pStyle w:val="Compact"/>
      </w:pPr>
      <w:r>
        <w:t xml:space="preserve">緩和ケアにおける患者・家族の心理を説明できる。</w:t>
      </w:r>
    </w:p>
    <w:p>
      <w:pPr>
        <w:numPr>
          <w:ilvl w:val="0"/>
          <w:numId w:val="1043"/>
        </w:numPr>
        <w:pStyle w:val="Compact"/>
      </w:pPr>
      <w:r>
        <w:t xml:space="preserve">科学的根拠に基づいた治療法を述べることができる。</w:t>
      </w:r>
    </w:p>
    <w:p>
      <w:pPr>
        <w:numPr>
          <w:ilvl w:val="0"/>
          <w:numId w:val="1043"/>
        </w:numPr>
        <w:pStyle w:val="Compact"/>
      </w:pPr>
      <w:r>
        <w:t xml:space="preserve">基本的な治療の立案・実施ができる。</w:t>
      </w:r>
    </w:p>
    <w:p>
      <w:pPr>
        <w:numPr>
          <w:ilvl w:val="0"/>
          <w:numId w:val="1043"/>
        </w:numPr>
        <w:pStyle w:val="Compact"/>
      </w:pPr>
      <w:r>
        <w:t xml:space="preserve">手術計画の立案に参加する。</w:t>
      </w:r>
    </w:p>
    <w:p>
      <w:pPr>
        <w:numPr>
          <w:ilvl w:val="0"/>
          <w:numId w:val="1043"/>
        </w:numPr>
        <w:pStyle w:val="Compact"/>
      </w:pPr>
      <w:r>
        <w:t xml:space="preserve">周術期管理に参加する。</w:t>
      </w:r>
    </w:p>
    <w:p>
      <w:pPr>
        <w:numPr>
          <w:ilvl w:val="0"/>
          <w:numId w:val="1043"/>
        </w:numPr>
        <w:pStyle w:val="Compact"/>
      </w:pPr>
      <w:r>
        <w:t xml:space="preserve">手術を含めた婦人科的治療に参加する。</w:t>
      </w:r>
    </w:p>
    <w:p>
      <w:pPr>
        <w:numPr>
          <w:ilvl w:val="0"/>
          <w:numId w:val="1043"/>
        </w:numPr>
        <w:pStyle w:val="Compact"/>
      </w:pPr>
      <w:r>
        <w:t xml:space="preserve">健康問題に対する包括的アプローチ（複数の健康問題の相互作用等）を理解できる。</w:t>
      </w:r>
    </w:p>
    <w:p>
      <w:pPr>
        <w:numPr>
          <w:ilvl w:val="0"/>
          <w:numId w:val="1043"/>
        </w:numPr>
        <w:pStyle w:val="Compact"/>
      </w:pPr>
      <w:r>
        <w:t xml:space="preserve">家族や地域といった視点をもち、心理・社会的背景を配慮した診療ができる。</w:t>
      </w:r>
    </w:p>
    <w:p>
      <w:pPr>
        <w:numPr>
          <w:ilvl w:val="0"/>
          <w:numId w:val="1043"/>
        </w:numPr>
        <w:pStyle w:val="Compact"/>
      </w:pPr>
      <w:r>
        <w:t xml:space="preserve">在宅医療の適応を説明できる。</w:t>
      </w:r>
    </w:p>
    <w:p>
      <w:pPr>
        <w:numPr>
          <w:ilvl w:val="0"/>
          <w:numId w:val="1043"/>
        </w:numPr>
        <w:pStyle w:val="Compact"/>
      </w:pPr>
      <w:r>
        <w:t xml:space="preserve">基本診療科[^table:基本診療科]の基本的な治療を実施できる。</w:t>
      </w:r>
    </w:p>
    <w:p>
      <w:pPr>
        <w:numPr>
          <w:ilvl w:val="0"/>
          <w:numId w:val="1043"/>
        </w:numPr>
        <w:pStyle w:val="Compact"/>
      </w:pPr>
      <w:r>
        <w:t xml:space="preserve">創傷治癒のメカニズムを説明できる。</w:t>
      </w:r>
    </w:p>
    <w:bookmarkEnd w:id="80"/>
    <w:bookmarkStart w:id="81" w:name="教育計画"/>
    <w:p>
      <w:pPr>
        <w:pStyle w:val="Heading3"/>
      </w:pPr>
      <w:r>
        <w:rPr>
          <w:rStyle w:val="SectionNumber"/>
        </w:rPr>
        <w:t xml:space="preserve">5.2.5</w:t>
      </w:r>
      <w:r>
        <w:tab/>
      </w:r>
      <w:r>
        <w:t xml:space="preserve">教育計画</w:t>
      </w:r>
    </w:p>
    <w:p>
      <w:pPr>
        <w:numPr>
          <w:ilvl w:val="0"/>
          <w:numId w:val="1044"/>
        </w:numPr>
        <w:pStyle w:val="Compact"/>
      </w:pPr>
      <w:r>
        <w:t xml:space="preserve">患者説明のための文書を作成できる</w:t>
      </w:r>
    </w:p>
    <w:p>
      <w:pPr>
        <w:numPr>
          <w:ilvl w:val="0"/>
          <w:numId w:val="1044"/>
        </w:numPr>
        <w:pStyle w:val="Compact"/>
      </w:pPr>
      <w:r>
        <w:t xml:space="preserve">各種同意書を用いた説明を行うことができる</w:t>
      </w:r>
    </w:p>
    <w:bookmarkEnd w:id="81"/>
    <w:bookmarkEnd w:id="82"/>
    <w:bookmarkStart w:id="89"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83" w:name="検査手技"/>
    <w:p>
      <w:pPr>
        <w:pStyle w:val="Heading3"/>
      </w:pPr>
      <w:r>
        <w:rPr>
          <w:rStyle w:val="SectionNumber"/>
        </w:rPr>
        <w:t xml:space="preserve">5.3.1</w:t>
      </w:r>
      <w:r>
        <w:tab/>
      </w:r>
      <w:r>
        <w:t xml:space="preserve">検査手技</w:t>
      </w:r>
    </w:p>
    <w:p>
      <w:pPr>
        <w:numPr>
          <w:ilvl w:val="0"/>
          <w:numId w:val="1045"/>
        </w:numPr>
        <w:pStyle w:val="Compact"/>
      </w:pPr>
      <w:r>
        <w:t xml:space="preserve">検査に関する基本的臨床手技[^table:基本的臨床手技]に関して定められた目標を達成できる。</w:t>
      </w:r>
    </w:p>
    <w:bookmarkEnd w:id="83"/>
    <w:bookmarkStart w:id="84" w:name="治療手技"/>
    <w:p>
      <w:pPr>
        <w:pStyle w:val="Heading3"/>
      </w:pPr>
      <w:r>
        <w:rPr>
          <w:rStyle w:val="SectionNumber"/>
        </w:rPr>
        <w:t xml:space="preserve">5.3.2</w:t>
      </w:r>
      <w:r>
        <w:tab/>
      </w:r>
      <w:r>
        <w:t xml:space="preserve">治療手技</w:t>
      </w:r>
    </w:p>
    <w:p>
      <w:pPr>
        <w:numPr>
          <w:ilvl w:val="0"/>
          <w:numId w:val="1046"/>
        </w:numPr>
        <w:pStyle w:val="Compact"/>
      </w:pPr>
      <w:r>
        <w:t xml:space="preserve">治療に関する基本的臨床手技[^table:基本的臨床手技]に関して定められた目標を達成できる。</w:t>
      </w:r>
    </w:p>
    <w:bookmarkEnd w:id="84"/>
    <w:bookmarkStart w:id="85" w:name="救急初期対応"/>
    <w:p>
      <w:pPr>
        <w:pStyle w:val="Heading3"/>
      </w:pPr>
      <w:r>
        <w:rPr>
          <w:rStyle w:val="SectionNumber"/>
        </w:rPr>
        <w:t xml:space="preserve">5.3.3</w:t>
      </w:r>
      <w:r>
        <w:tab/>
      </w:r>
      <w:r>
        <w:t xml:space="preserve">救急・初期対応</w:t>
      </w:r>
    </w:p>
    <w:p>
      <w:pPr>
        <w:numPr>
          <w:ilvl w:val="0"/>
          <w:numId w:val="1047"/>
        </w:numPr>
        <w:pStyle w:val="Compact"/>
      </w:pPr>
      <w:r>
        <w:t xml:space="preserve">緊急性の高い状況かどうかをある程度判断できる。</w:t>
      </w:r>
    </w:p>
    <w:p>
      <w:pPr>
        <w:numPr>
          <w:ilvl w:val="0"/>
          <w:numId w:val="1047"/>
        </w:numPr>
        <w:pStyle w:val="Compact"/>
      </w:pPr>
      <w:r>
        <w:t xml:space="preserve">身体徴候、バイタルサインから緊急性の高い状況であることを判断できる。</w:t>
      </w:r>
    </w:p>
    <w:p>
      <w:pPr>
        <w:numPr>
          <w:ilvl w:val="0"/>
          <w:numId w:val="1047"/>
        </w:numPr>
        <w:pStyle w:val="Compact"/>
      </w:pPr>
      <w:r>
        <w:t xml:space="preserve">一次救命処置を実施できる。</w:t>
      </w:r>
    </w:p>
    <w:p>
      <w:pPr>
        <w:numPr>
          <w:ilvl w:val="0"/>
          <w:numId w:val="1047"/>
        </w:numPr>
        <w:pStyle w:val="Compact"/>
      </w:pPr>
      <w:r>
        <w:t xml:space="preserve">二次救命処置を含む緊急性の高い患者の初期対応を実演できる。</w:t>
      </w:r>
    </w:p>
    <w:p>
      <w:pPr>
        <w:numPr>
          <w:ilvl w:val="0"/>
          <w:numId w:val="1047"/>
        </w:numPr>
        <w:pStyle w:val="Compact"/>
      </w:pPr>
      <w:r>
        <w:t xml:space="preserve">気管挿管を含む各種の気道確保法を実演できる。</w:t>
      </w:r>
    </w:p>
    <w:p>
      <w:pPr>
        <w:numPr>
          <w:ilvl w:val="0"/>
          <w:numId w:val="1047"/>
        </w:numPr>
        <w:pStyle w:val="Compact"/>
      </w:pPr>
      <w:r>
        <w:t xml:space="preserve">外傷の病態生理と診断の要点を説明できる。</w:t>
      </w:r>
    </w:p>
    <w:p>
      <w:pPr>
        <w:numPr>
          <w:ilvl w:val="0"/>
          <w:numId w:val="1047"/>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85"/>
    <w:bookmarkStart w:id="86" w:name="書類の作成"/>
    <w:p>
      <w:pPr>
        <w:pStyle w:val="Heading3"/>
      </w:pPr>
      <w:r>
        <w:rPr>
          <w:rStyle w:val="SectionNumber"/>
        </w:rPr>
        <w:t xml:space="preserve">5.3.4</w:t>
      </w:r>
      <w:r>
        <w:tab/>
      </w:r>
      <w:r>
        <w:t xml:space="preserve">書類の作成</w:t>
      </w:r>
    </w:p>
    <w:p>
      <w:pPr>
        <w:numPr>
          <w:ilvl w:val="0"/>
          <w:numId w:val="1048"/>
        </w:numPr>
        <w:pStyle w:val="Compact"/>
      </w:pPr>
      <w:r>
        <w:t xml:space="preserve">各種診断書・証明書の下書きを作成できる。</w:t>
      </w:r>
    </w:p>
    <w:p>
      <w:pPr>
        <w:numPr>
          <w:ilvl w:val="0"/>
          <w:numId w:val="1048"/>
        </w:numPr>
        <w:pStyle w:val="Compact"/>
      </w:pPr>
      <w:r>
        <w:t xml:space="preserve">各種検案書の作成を実演できる</w:t>
      </w:r>
    </w:p>
    <w:bookmarkEnd w:id="86"/>
    <w:bookmarkStart w:id="87" w:name="患者ケアに必要な連携"/>
    <w:p>
      <w:pPr>
        <w:pStyle w:val="Heading3"/>
      </w:pPr>
      <w:r>
        <w:rPr>
          <w:rStyle w:val="SectionNumber"/>
        </w:rPr>
        <w:t xml:space="preserve">5.3.5</w:t>
      </w:r>
      <w:r>
        <w:tab/>
      </w:r>
      <w:r>
        <w:t xml:space="preserve">患者ケアに必要な連携</w:t>
      </w:r>
    </w:p>
    <w:p>
      <w:pPr>
        <w:numPr>
          <w:ilvl w:val="0"/>
          <w:numId w:val="1049"/>
        </w:numPr>
        <w:pStyle w:val="Compact"/>
      </w:pPr>
      <w:r>
        <w:t xml:space="preserve">障害を国際生活機能分類の心身機能・身体構造、活動、参加に分けて説明できる。</w:t>
      </w:r>
    </w:p>
    <w:p>
      <w:pPr>
        <w:numPr>
          <w:ilvl w:val="0"/>
          <w:numId w:val="1049"/>
        </w:numPr>
        <w:pStyle w:val="Compact"/>
      </w:pPr>
      <w:r>
        <w:t xml:space="preserve">コンサルテーションや紹介の必要な状況を説明できる。</w:t>
      </w:r>
    </w:p>
    <w:p>
      <w:pPr>
        <w:numPr>
          <w:ilvl w:val="0"/>
          <w:numId w:val="1049"/>
        </w:numPr>
        <w:pStyle w:val="Compact"/>
      </w:pPr>
      <w:r>
        <w:t xml:space="preserve">多職種連携を体験してその重要性を認識する。</w:t>
      </w:r>
    </w:p>
    <w:p>
      <w:pPr>
        <w:numPr>
          <w:ilvl w:val="0"/>
          <w:numId w:val="1049"/>
        </w:numPr>
        <w:pStyle w:val="Compact"/>
      </w:pPr>
      <w:r>
        <w:t xml:space="preserve">臨床現場において、保健・医療・福祉・介護に関する制度に触れる。</w:t>
      </w:r>
    </w:p>
    <w:p>
      <w:pPr>
        <w:numPr>
          <w:ilvl w:val="0"/>
          <w:numId w:val="1049"/>
        </w:numPr>
        <w:pStyle w:val="Compact"/>
      </w:pPr>
      <w:r>
        <w:t xml:space="preserve">チーム医療の一員として良好なコミュニケーションを実践できる。</w:t>
      </w:r>
    </w:p>
    <w:p>
      <w:pPr>
        <w:numPr>
          <w:ilvl w:val="0"/>
          <w:numId w:val="1049"/>
        </w:numPr>
        <w:pStyle w:val="Compact"/>
      </w:pPr>
      <w:r>
        <w:t xml:space="preserve">家族や地域といった視点をもち、保健・医療・福祉・介護との連携を学ぶ。</w:t>
      </w:r>
    </w:p>
    <w:p>
      <w:pPr>
        <w:numPr>
          <w:ilvl w:val="0"/>
          <w:numId w:val="1049"/>
        </w:numPr>
        <w:pStyle w:val="Compact"/>
      </w:pPr>
      <w:r>
        <w:t xml:space="preserve">救急隊員との連携を通じて、病院前救護体制とメディカルコントロールについて学ぶ。</w:t>
      </w:r>
    </w:p>
    <w:p>
      <w:pPr>
        <w:numPr>
          <w:ilvl w:val="0"/>
          <w:numId w:val="1049"/>
        </w:numPr>
        <w:pStyle w:val="Compact"/>
      </w:pPr>
      <w:r>
        <w:t xml:space="preserve">地域の災害医療体制について学ぶ。</w:t>
      </w:r>
    </w:p>
    <w:p>
      <w:pPr>
        <w:numPr>
          <w:ilvl w:val="0"/>
          <w:numId w:val="1049"/>
        </w:numPr>
        <w:pStyle w:val="Compact"/>
      </w:pPr>
      <w:r>
        <w:t xml:space="preserve">基本診療科[^table:基本診療科]にどのようにコンサルテーションすればよいか説明できる。</w:t>
      </w:r>
    </w:p>
    <w:p>
      <w:pPr>
        <w:numPr>
          <w:ilvl w:val="0"/>
          <w:numId w:val="1049"/>
        </w:numPr>
        <w:pStyle w:val="Compact"/>
      </w:pPr>
      <w:r>
        <w:t xml:space="preserve">学外の臨床研修病院等の地域病院や診療所、さらに保健所や社会福祉施設等の協力を得る。</w:t>
      </w:r>
    </w:p>
    <w:p>
      <w:pPr>
        <w:numPr>
          <w:ilvl w:val="0"/>
          <w:numId w:val="1049"/>
        </w:numPr>
        <w:pStyle w:val="Compact"/>
      </w:pPr>
      <w:r>
        <w:t xml:space="preserve">必要に応じて臨床教授制度等を利用する。</w:t>
      </w:r>
    </w:p>
    <w:p>
      <w:pPr>
        <w:numPr>
          <w:ilvl w:val="0"/>
          <w:numId w:val="1049"/>
        </w:numPr>
        <w:pStyle w:val="Compact"/>
      </w:pPr>
      <w:r>
        <w:t xml:space="preserve">早期臨床体験実習を拡充し、低学年から継続的に地域医療の現場に接する機会を設ける。</w:t>
      </w:r>
    </w:p>
    <w:p>
      <w:pPr>
        <w:numPr>
          <w:ilvl w:val="0"/>
          <w:numId w:val="1049"/>
        </w:numPr>
        <w:pStyle w:val="Compact"/>
      </w:pPr>
      <w:r>
        <w:t xml:space="preserve">衛生学・公衆衛生学実習等と連携し、社会医学的（主に量的）な視点から地域を診る学習機会を作る。</w:t>
      </w:r>
    </w:p>
    <w:p>
      <w:pPr>
        <w:numPr>
          <w:ilvl w:val="0"/>
          <w:numId w:val="1049"/>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49"/>
        </w:numPr>
        <w:pStyle w:val="Compact"/>
      </w:pPr>
      <w:r>
        <w:t xml:space="preserve">チームトレーニングによって、チーム医療の実践能力を高める。</w:t>
      </w:r>
    </w:p>
    <w:p>
      <w:pPr>
        <w:numPr>
          <w:ilvl w:val="0"/>
          <w:numId w:val="1049"/>
        </w:numPr>
        <w:pStyle w:val="Compact"/>
      </w:pPr>
      <w:r>
        <w:t xml:space="preserve">リハビリテーション・チームの構成を理解し、医師の役割を説明できる。</w:t>
      </w:r>
    </w:p>
    <w:p>
      <w:pPr>
        <w:numPr>
          <w:ilvl w:val="0"/>
          <w:numId w:val="1049"/>
        </w:numPr>
        <w:pStyle w:val="Compact"/>
      </w:pPr>
      <w:r>
        <w:t xml:space="preserve">在宅医療における多職種連携の重要性を説明できる。</w:t>
      </w:r>
    </w:p>
    <w:p>
      <w:pPr>
        <w:numPr>
          <w:ilvl w:val="0"/>
          <w:numId w:val="1049"/>
        </w:numPr>
        <w:pStyle w:val="Compact"/>
      </w:pPr>
      <w:r>
        <w:t xml:space="preserve">褥瘡の予防、評価、処置・治療及びチーム医療の重要性を説明できる。</w:t>
      </w:r>
    </w:p>
    <w:p>
      <w:pPr>
        <w:numPr>
          <w:ilvl w:val="0"/>
          <w:numId w:val="1049"/>
        </w:numPr>
        <w:pStyle w:val="Compact"/>
      </w:pPr>
      <w:r>
        <w:t xml:space="preserve">緩和ケア（緩和ケアチーム、ホスピス、緩和ケア病棟、在宅緩和ケアを含む）を概説できる。</w:t>
      </w:r>
    </w:p>
    <w:bookmarkEnd w:id="87"/>
    <w:bookmarkStart w:id="88" w:name="診療計画カンファレンス"/>
    <w:p>
      <w:pPr>
        <w:pStyle w:val="Heading3"/>
      </w:pPr>
      <w:r>
        <w:rPr>
          <w:rStyle w:val="SectionNumber"/>
        </w:rPr>
        <w:t xml:space="preserve">5.3.6</w:t>
      </w:r>
      <w:r>
        <w:tab/>
      </w:r>
      <w:r>
        <w:t xml:space="preserve">診療計画カンファレンス</w:t>
      </w:r>
    </w:p>
    <w:p>
      <w:pPr>
        <w:numPr>
          <w:ilvl w:val="0"/>
          <w:numId w:val="1050"/>
        </w:numPr>
        <w:pStyle w:val="Compact"/>
      </w:pPr>
      <w:r>
        <w:t xml:space="preserve">医師カンファレンスにおいて症例を適切に要約し提示できる。</w:t>
      </w:r>
    </w:p>
    <w:p>
      <w:pPr>
        <w:numPr>
          <w:ilvl w:val="0"/>
          <w:numId w:val="1050"/>
        </w:numPr>
        <w:pStyle w:val="Compact"/>
      </w:pPr>
      <w:r>
        <w:t xml:space="preserve">多職種カンファレンスに参加し発言することができる。</w:t>
      </w:r>
    </w:p>
    <w:p>
      <w:pPr>
        <w:numPr>
          <w:ilvl w:val="0"/>
          <w:numId w:val="1050"/>
        </w:numPr>
        <w:pStyle w:val="Compact"/>
      </w:pPr>
      <w:r>
        <w:t xml:space="preserve">診察で得た所見、診断、必要な検査を上級医に説明、報告できる。</w:t>
      </w:r>
    </w:p>
    <w:bookmarkEnd w:id="88"/>
    <w:bookmarkEnd w:id="89"/>
    <w:bookmarkStart w:id="93"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0" w:name="振り返りカンファレンス"/>
    <w:p>
      <w:pPr>
        <w:pStyle w:val="Heading3"/>
      </w:pPr>
      <w:r>
        <w:rPr>
          <w:rStyle w:val="SectionNumber"/>
        </w:rPr>
        <w:t xml:space="preserve">5.4.1</w:t>
      </w:r>
      <w:r>
        <w:tab/>
      </w:r>
      <w:r>
        <w:t xml:space="preserve">振り返りカンファレンス</w:t>
      </w:r>
    </w:p>
    <w:p>
      <w:pPr>
        <w:numPr>
          <w:ilvl w:val="0"/>
          <w:numId w:val="1051"/>
        </w:numPr>
        <w:pStyle w:val="Compact"/>
      </w:pPr>
      <w:r>
        <w:t xml:space="preserve">M&amp;Mカンファレンスに参加し発言することができる</w:t>
      </w:r>
    </w:p>
    <w:p>
      <w:pPr>
        <w:numPr>
          <w:ilvl w:val="0"/>
          <w:numId w:val="1051"/>
        </w:numPr>
        <w:pStyle w:val="Compact"/>
      </w:pPr>
      <w:r>
        <w:t xml:space="preserve">CPCカンファレンスに参加し発言することができる</w:t>
      </w:r>
    </w:p>
    <w:bookmarkEnd w:id="90"/>
    <w:bookmarkStart w:id="91" w:name="自己省察とメタ認知"/>
    <w:p>
      <w:pPr>
        <w:pStyle w:val="Heading3"/>
      </w:pPr>
      <w:r>
        <w:rPr>
          <w:rStyle w:val="SectionNumber"/>
        </w:rPr>
        <w:t xml:space="preserve">5.4.2</w:t>
      </w:r>
      <w:r>
        <w:tab/>
      </w:r>
      <w:r>
        <w:t xml:space="preserve">自己省察とメタ認知</w:t>
      </w:r>
    </w:p>
    <w:p>
      <w:pPr>
        <w:numPr>
          <w:ilvl w:val="0"/>
          <w:numId w:val="1052"/>
        </w:numPr>
        <w:pStyle w:val="Compact"/>
      </w:pPr>
      <w:r>
        <w:t xml:space="preserve">状況に応じ、診断プロセスと治療やマネジメントが並行して行われることが説明できる。</w:t>
      </w:r>
    </w:p>
    <w:p>
      <w:pPr>
        <w:numPr>
          <w:ilvl w:val="0"/>
          <w:numId w:val="1052"/>
        </w:numPr>
        <w:pStyle w:val="Compact"/>
      </w:pPr>
      <w:r>
        <w:t xml:space="preserve">振り返りによって自己省察能力を高める。</w:t>
      </w:r>
    </w:p>
    <w:bookmarkEnd w:id="91"/>
    <w:bookmarkStart w:id="92" w:name="患者安全の配慮と促進"/>
    <w:p>
      <w:pPr>
        <w:pStyle w:val="Heading3"/>
      </w:pPr>
      <w:r>
        <w:rPr>
          <w:rStyle w:val="SectionNumber"/>
        </w:rPr>
        <w:t xml:space="preserve">5.4.3</w:t>
      </w:r>
      <w:r>
        <w:tab/>
      </w:r>
      <w:r>
        <w:t xml:space="preserve">患者安全の配慮と促進</w:t>
      </w:r>
    </w:p>
    <w:p>
      <w:pPr>
        <w:numPr>
          <w:ilvl w:val="0"/>
          <w:numId w:val="1053"/>
        </w:numPr>
        <w:pStyle w:val="Compact"/>
      </w:pPr>
      <w:r>
        <w:t xml:space="preserve">診断過誤の原因とその防止法を説明できる。</w:t>
      </w:r>
    </w:p>
    <w:p>
      <w:pPr>
        <w:numPr>
          <w:ilvl w:val="0"/>
          <w:numId w:val="1053"/>
        </w:numPr>
        <w:pStyle w:val="Compact"/>
      </w:pPr>
      <w:r>
        <w:t xml:space="preserve">プライバシー保護とセキュリティーに充分配慮できる。</w:t>
      </w:r>
    </w:p>
    <w:p>
      <w:pPr>
        <w:numPr>
          <w:ilvl w:val="0"/>
          <w:numId w:val="1053"/>
        </w:numPr>
        <w:pStyle w:val="Compact"/>
      </w:pPr>
      <w:r>
        <w:t xml:space="preserve">患者の安全を重視し、有害事象が生じた場合は適切に対応ができる。</w:t>
      </w:r>
    </w:p>
    <w:p>
      <w:pPr>
        <w:numPr>
          <w:ilvl w:val="0"/>
          <w:numId w:val="1053"/>
        </w:numPr>
        <w:pStyle w:val="Compact"/>
      </w:pPr>
      <w:r>
        <w:t xml:space="preserve">患者のプライバシー、羞恥心、苦痛に配慮し、個人情報等を守秘できる。</w:t>
      </w:r>
    </w:p>
    <w:p>
      <w:pPr>
        <w:numPr>
          <w:ilvl w:val="0"/>
          <w:numId w:val="1053"/>
        </w:numPr>
        <w:pStyle w:val="Compact"/>
      </w:pPr>
      <w:r>
        <w:t xml:space="preserve">感染を予防するため、診察前後の標準予防策(standard precautions)ができる。</w:t>
      </w:r>
    </w:p>
    <w:p>
      <w:pPr>
        <w:numPr>
          <w:ilvl w:val="0"/>
          <w:numId w:val="1053"/>
        </w:numPr>
        <w:pStyle w:val="Compact"/>
      </w:pPr>
      <w:r>
        <w:t xml:space="preserve">手指衛生等の標準予防策(standard precautions)を実施できる。</w:t>
      </w:r>
    </w:p>
    <w:bookmarkEnd w:id="92"/>
    <w:bookmarkEnd w:id="93"/>
    <w:bookmarkEnd w:id="94"/>
    <w:bookmarkStart w:id="108"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99"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95"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54"/>
        </w:numPr>
        <w:pStyle w:val="Compact"/>
      </w:pPr>
      <w:r>
        <w:t xml:space="preserve">患者に接するときの身だしなみに配慮できる。</w:t>
      </w:r>
    </w:p>
    <w:p>
      <w:pPr>
        <w:numPr>
          <w:ilvl w:val="0"/>
          <w:numId w:val="1054"/>
        </w:numPr>
        <w:pStyle w:val="Compact"/>
      </w:pPr>
      <w:r>
        <w:t xml:space="preserve">患者に接するときの視線、表情、ジェスチャーに配慮できる</w:t>
      </w:r>
    </w:p>
    <w:bookmarkEnd w:id="95"/>
    <w:bookmarkStart w:id="96" w:name="患者のプライバシーへの配慮"/>
    <w:p>
      <w:pPr>
        <w:pStyle w:val="Heading3"/>
      </w:pPr>
      <w:r>
        <w:rPr>
          <w:rStyle w:val="SectionNumber"/>
        </w:rPr>
        <w:t xml:space="preserve">6.1.2</w:t>
      </w:r>
      <w:r>
        <w:tab/>
      </w:r>
      <w:r>
        <w:t xml:space="preserve">患者のプライバシーへの配慮</w:t>
      </w:r>
    </w:p>
    <w:p>
      <w:pPr>
        <w:numPr>
          <w:ilvl w:val="0"/>
          <w:numId w:val="1055"/>
        </w:numPr>
        <w:pStyle w:val="Compact"/>
      </w:pPr>
      <w:r>
        <w:t xml:space="preserve">患者のプライバシー、羞恥心、苦痛に配慮し、個人情報等を守秘できる。</w:t>
      </w:r>
    </w:p>
    <w:p>
      <w:pPr>
        <w:numPr>
          <w:ilvl w:val="0"/>
          <w:numId w:val="1055"/>
        </w:numPr>
        <w:pStyle w:val="Compact"/>
      </w:pPr>
      <w:r>
        <w:t xml:space="preserve">患者情報の守秘義務と患者等への情報提供の重要性を理解し、適切な取扱いができる。</w:t>
      </w:r>
    </w:p>
    <w:bookmarkEnd w:id="96"/>
    <w:bookmarkStart w:id="97"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56"/>
        </w:numPr>
        <w:pStyle w:val="Compact"/>
      </w:pPr>
      <w:r>
        <w:t xml:space="preserve">医療面接における基本的コミュニケーションスキルを用いることができる。</w:t>
      </w:r>
    </w:p>
    <w:p>
      <w:pPr>
        <w:numPr>
          <w:ilvl w:val="0"/>
          <w:numId w:val="1056"/>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56"/>
        </w:numPr>
        <w:pStyle w:val="Compact"/>
      </w:pPr>
      <w:r>
        <w:t xml:space="preserve">コミュニケーションを通じて良好な人間関係を築くことができる。</w:t>
      </w:r>
    </w:p>
    <w:p>
      <w:pPr>
        <w:numPr>
          <w:ilvl w:val="0"/>
          <w:numId w:val="1056"/>
        </w:numPr>
        <w:pStyle w:val="Compact"/>
      </w:pPr>
      <w:r>
        <w:t xml:space="preserve">話し手と聞き手の役割を理解（説明）でき、適切なコミュニケーションスキルが使える。</w:t>
      </w:r>
    </w:p>
    <w:p>
      <w:pPr>
        <w:numPr>
          <w:ilvl w:val="0"/>
          <w:numId w:val="1056"/>
        </w:numPr>
        <w:pStyle w:val="Compact"/>
      </w:pPr>
      <w:r>
        <w:t xml:space="preserve">対人関係にかかわる心理的要因を理解し活用できる。</w:t>
      </w:r>
    </w:p>
    <w:p>
      <w:pPr>
        <w:numPr>
          <w:ilvl w:val="0"/>
          <w:numId w:val="1056"/>
        </w:numPr>
        <w:pStyle w:val="Compact"/>
      </w:pPr>
      <w:r>
        <w:t xml:space="preserve">患者・家族に敬意を持った言葉遣いで接することができる</w:t>
      </w:r>
    </w:p>
    <w:bookmarkEnd w:id="97"/>
    <w:bookmarkStart w:id="98"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57"/>
        </w:numPr>
        <w:pStyle w:val="Compact"/>
      </w:pPr>
      <w:r>
        <w:t xml:space="preserve">患者の立場を尊重し、信頼を得ることができる。</w:t>
      </w:r>
    </w:p>
    <w:p>
      <w:pPr>
        <w:numPr>
          <w:ilvl w:val="0"/>
          <w:numId w:val="1057"/>
        </w:numPr>
        <w:pStyle w:val="Compact"/>
      </w:pPr>
      <w:r>
        <w:t xml:space="preserve">患者と家族の精神的・身体的苦痛に十分配慮できる。</w:t>
      </w:r>
    </w:p>
    <w:p>
      <w:pPr>
        <w:numPr>
          <w:ilvl w:val="0"/>
          <w:numId w:val="1057"/>
        </w:numPr>
        <w:pStyle w:val="Compact"/>
      </w:pPr>
      <w:r>
        <w:t xml:space="preserve">患者と家族が感じる放射線特有の精神的・社会的苦痛に対して十分に配慮できる。</w:t>
      </w:r>
    </w:p>
    <w:p>
      <w:pPr>
        <w:numPr>
          <w:ilvl w:val="0"/>
          <w:numId w:val="1057"/>
        </w:numPr>
        <w:pStyle w:val="Compact"/>
      </w:pPr>
      <w:r>
        <w:t xml:space="preserve">患者・家族の話を傾聴し、共感することができる。</w:t>
      </w:r>
    </w:p>
    <w:bookmarkEnd w:id="98"/>
    <w:bookmarkEnd w:id="99"/>
    <w:bookmarkStart w:id="104"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0"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58"/>
        </w:numPr>
        <w:pStyle w:val="Compact"/>
      </w:pPr>
      <w:r>
        <w:t xml:space="preserve">患者の多様性に配慮し分かりやすい言葉で説明できる。(例：高齢者、小児、障害者、LGBTQ?（確認中）、文化・言語・慣習の違い）</w:t>
      </w:r>
    </w:p>
    <w:p>
      <w:pPr>
        <w:numPr>
          <w:ilvl w:val="0"/>
          <w:numId w:val="1058"/>
        </w:numPr>
        <w:pStyle w:val="Compact"/>
      </w:pPr>
      <w:r>
        <w:t xml:space="preserve">患者の漠然とした不安を受け止め、不安を軽減するためにわかりやすい言葉で説明でき、対話ができる。</w:t>
      </w:r>
    </w:p>
    <w:bookmarkEnd w:id="100"/>
    <w:bookmarkStart w:id="101" w:name="患者への行動変容の促し"/>
    <w:p>
      <w:pPr>
        <w:pStyle w:val="Heading3"/>
      </w:pPr>
      <w:r>
        <w:rPr>
          <w:rStyle w:val="SectionNumber"/>
        </w:rPr>
        <w:t xml:space="preserve">6.2.2</w:t>
      </w:r>
      <w:r>
        <w:tab/>
      </w:r>
      <w:r>
        <w:t xml:space="preserve">患者への行動変容の促し</w:t>
      </w:r>
    </w:p>
    <w:p>
      <w:pPr>
        <w:numPr>
          <w:ilvl w:val="0"/>
          <w:numId w:val="1059"/>
        </w:numPr>
        <w:pStyle w:val="Compact"/>
      </w:pPr>
      <w:r>
        <w:t xml:space="preserve">健康行動や行動変容を行う動機付けを理解し活用できる。</w:t>
      </w:r>
    </w:p>
    <w:p>
      <w:pPr>
        <w:numPr>
          <w:ilvl w:val="0"/>
          <w:numId w:val="1059"/>
        </w:numPr>
        <w:pStyle w:val="Compact"/>
      </w:pPr>
      <w:r>
        <w:t xml:space="preserve">生活習慣病における患者支援（自律性支援）や保健指導を活用できる。</w:t>
      </w:r>
    </w:p>
    <w:bookmarkEnd w:id="101"/>
    <w:bookmarkStart w:id="102"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0"/>
        </w:numPr>
        <w:pStyle w:val="Compact"/>
      </w:pPr>
      <w:r>
        <w:t xml:space="preserve">診断仮説を検証するために、診断仮説に基づいた情報収集を実施できる。</w:t>
      </w:r>
    </w:p>
    <w:bookmarkEnd w:id="102"/>
    <w:bookmarkStart w:id="103"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1"/>
        </w:numPr>
        <w:pStyle w:val="Compact"/>
      </w:pPr>
      <w:r>
        <w:t xml:space="preserve">医療を提供するに当たり、患者が理解し同意するよう適切に説明を行うことができる。</w:t>
      </w:r>
    </w:p>
    <w:p>
      <w:pPr>
        <w:numPr>
          <w:ilvl w:val="0"/>
          <w:numId w:val="1061"/>
        </w:numPr>
        <w:pStyle w:val="Compact"/>
      </w:pPr>
      <w:r>
        <w:t xml:space="preserve">治療やマネジメントに関して意思決定するために、患者側と情報共有や摺り合わせをすることができる。</w:t>
      </w:r>
    </w:p>
    <w:p>
      <w:pPr>
        <w:numPr>
          <w:ilvl w:val="0"/>
          <w:numId w:val="1061"/>
        </w:numPr>
        <w:pStyle w:val="Compact"/>
      </w:pPr>
      <w:r>
        <w:t xml:space="preserve">人生の最終段階における医療（エンド・オブ・ライフ・ケア）での患者とのコミュニケーション、頻度の高い苦痛とその対処法・ケアを計画できる。</w:t>
      </w:r>
    </w:p>
    <w:bookmarkEnd w:id="103"/>
    <w:bookmarkEnd w:id="104"/>
    <w:bookmarkStart w:id="107"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05"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2"/>
        </w:numPr>
        <w:pStyle w:val="Compact"/>
      </w:pPr>
      <w:r>
        <w:t xml:space="preserve">患者の心理的及び社会的背景や自立した生活を送るための課題を把握し、抱える問題点を抽出・整理できる。</w:t>
      </w:r>
    </w:p>
    <w:p>
      <w:pPr>
        <w:numPr>
          <w:ilvl w:val="0"/>
          <w:numId w:val="1062"/>
        </w:numPr>
        <w:pStyle w:val="Compact"/>
      </w:pPr>
      <w:r>
        <w:t xml:space="preserve">保護者から必要な情報を得ることができる。</w:t>
      </w:r>
    </w:p>
    <w:p>
      <w:pPr>
        <w:numPr>
          <w:ilvl w:val="0"/>
          <w:numId w:val="1062"/>
        </w:numPr>
        <w:pStyle w:val="Compact"/>
      </w:pPr>
      <w:r>
        <w:t xml:space="preserve">情報収集として医療面接、身体診察、検査の３つの方法を活用できる。</w:t>
      </w:r>
    </w:p>
    <w:bookmarkEnd w:id="105"/>
    <w:bookmarkStart w:id="106"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63"/>
        </w:numPr>
        <w:pStyle w:val="Compact"/>
      </w:pPr>
      <w:r>
        <w:t xml:space="preserve">家族や地域といった視点をもち、保健・医療・福祉・介護との連携に参加する。</w:t>
      </w:r>
    </w:p>
    <w:p>
      <w:pPr>
        <w:numPr>
          <w:ilvl w:val="0"/>
          <w:numId w:val="1063"/>
        </w:numPr>
        <w:pStyle w:val="Compact"/>
      </w:pPr>
      <w:r>
        <w:t xml:space="preserve">患者の要望（診察・転医・紹介）への対処の仕方を理解し実践できる。</w:t>
      </w:r>
    </w:p>
    <w:p>
      <w:pPr>
        <w:numPr>
          <w:ilvl w:val="0"/>
          <w:numId w:val="1063"/>
        </w:numPr>
        <w:pStyle w:val="Compact"/>
      </w:pPr>
      <w:r>
        <w:t xml:space="preserve">患者・家族の怒りや悲しみなどの感情を理解し、対応することができる。</w:t>
      </w:r>
    </w:p>
    <w:p>
      <w:pPr>
        <w:numPr>
          <w:ilvl w:val="0"/>
          <w:numId w:val="1063"/>
        </w:numPr>
        <w:pStyle w:val="Compact"/>
      </w:pPr>
      <w:r>
        <w:t xml:space="preserve">不確実な状況や医学的に説明困難な症状に配慮した対応ができる。</w:t>
      </w:r>
    </w:p>
    <w:p>
      <w:pPr>
        <w:numPr>
          <w:ilvl w:val="0"/>
          <w:numId w:val="1063"/>
        </w:numPr>
        <w:pStyle w:val="Compact"/>
      </w:pPr>
      <w:r>
        <w:t xml:space="preserve">遠隔診療におけるコミュニケーションと対面コミュニケーションの違いについて概説できる。</w:t>
      </w:r>
    </w:p>
    <w:bookmarkEnd w:id="106"/>
    <w:bookmarkEnd w:id="107"/>
    <w:bookmarkEnd w:id="108"/>
    <w:bookmarkStart w:id="118" w:name="多職種連携能力"/>
    <w:p>
      <w:pPr>
        <w:pStyle w:val="Heading1"/>
      </w:pPr>
      <w:r>
        <w:rPr>
          <w:rStyle w:val="SectionNumber"/>
        </w:rPr>
        <w:t xml:space="preserve">7</w:t>
      </w:r>
      <w:r>
        <w:tab/>
      </w: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12" w:name="連携の基盤となるアプローチ"/>
    <w:p>
      <w:pPr>
        <w:pStyle w:val="Heading2"/>
      </w:pPr>
      <w:r>
        <w:rPr>
          <w:rStyle w:val="SectionNumber"/>
        </w:rPr>
        <w:t xml:space="preserve">7.1</w:t>
      </w:r>
      <w:r>
        <w:tab/>
      </w: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09" w:name="患者利用者家族コミュニティ中心"/>
    <w:p>
      <w:pPr>
        <w:pStyle w:val="Heading3"/>
      </w:pPr>
      <w:r>
        <w:rPr>
          <w:rStyle w:val="SectionNumber"/>
        </w:rPr>
        <w:t xml:space="preserve">7.1.1</w:t>
      </w:r>
      <w:r>
        <w:tab/>
      </w:r>
      <w:r>
        <w:t xml:space="preserve">患者・利用者・家族・コミュニティ中心</w:t>
      </w:r>
    </w:p>
    <w:p>
      <w:pPr>
        <w:numPr>
          <w:ilvl w:val="0"/>
          <w:numId w:val="1064"/>
        </w:numPr>
        <w:pStyle w:val="Compact"/>
      </w:pPr>
      <w:r>
        <w:t xml:space="preserve">患者・利用者・家族の価値観や関心事を、多職種(多学部)に伝えられる。</w:t>
      </w:r>
    </w:p>
    <w:p>
      <w:pPr>
        <w:numPr>
          <w:ilvl w:val="0"/>
          <w:numId w:val="1064"/>
        </w:numPr>
        <w:pStyle w:val="Compact"/>
      </w:pPr>
      <w:r>
        <w:t xml:space="preserve">患者・利用者・家族を中心とした治療やケアの目標を多職種(多学部)と話し合うことができる。</w:t>
      </w:r>
    </w:p>
    <w:p>
      <w:pPr>
        <w:numPr>
          <w:ilvl w:val="0"/>
          <w:numId w:val="1064"/>
        </w:numPr>
        <w:pStyle w:val="Compact"/>
      </w:pPr>
      <w:r>
        <w:t xml:space="preserve">患者・利用者・家族に伝えた内容について、治療やケアに関わる多職種(多学部)と共有できる。</w:t>
      </w:r>
    </w:p>
    <w:bookmarkEnd w:id="109"/>
    <w:bookmarkStart w:id="110" w:name="職種間コミュニケーション"/>
    <w:p>
      <w:pPr>
        <w:pStyle w:val="Heading3"/>
      </w:pPr>
      <w:r>
        <w:rPr>
          <w:rStyle w:val="SectionNumber"/>
        </w:rPr>
        <w:t xml:space="preserve">7.1.2</w:t>
      </w:r>
      <w:r>
        <w:tab/>
      </w:r>
      <w:r>
        <w:t xml:space="preserve">職種間コミュニケーション</w:t>
      </w:r>
    </w:p>
    <w:p>
      <w:pPr>
        <w:numPr>
          <w:ilvl w:val="0"/>
          <w:numId w:val="1065"/>
        </w:numPr>
        <w:pStyle w:val="Compact"/>
      </w:pPr>
      <w:r>
        <w:t xml:space="preserve">自職種（自学部）が把握している情報を、多職種（多学部）に伝えられる。</w:t>
      </w:r>
    </w:p>
    <w:p>
      <w:pPr>
        <w:numPr>
          <w:ilvl w:val="0"/>
          <w:numId w:val="1065"/>
        </w:numPr>
        <w:pStyle w:val="Compact"/>
      </w:pPr>
      <w:r>
        <w:t xml:space="preserve">多職種（多学部）の役割や意見を尊重した返答または問いかけができる。（非言語コミュニケーション含む）</w:t>
      </w:r>
    </w:p>
    <w:p>
      <w:pPr>
        <w:numPr>
          <w:ilvl w:val="0"/>
          <w:numId w:val="1065"/>
        </w:numPr>
        <w:pStyle w:val="Compact"/>
      </w:pPr>
      <w:r>
        <w:t xml:space="preserve">自職種（自学部）の見解を、他職種（他学部）にも理解できる言葉で説明できる。</w:t>
      </w:r>
    </w:p>
    <w:bookmarkEnd w:id="110"/>
    <w:bookmarkStart w:id="111" w:name="医師間の紹介と相談"/>
    <w:p>
      <w:pPr>
        <w:pStyle w:val="Heading3"/>
      </w:pPr>
      <w:r>
        <w:rPr>
          <w:rStyle w:val="SectionNumber"/>
        </w:rPr>
        <w:t xml:space="preserve">7.1.3</w:t>
      </w:r>
      <w:r>
        <w:tab/>
      </w:r>
      <w:r>
        <w:t xml:space="preserve">医師間の紹介と相談</w:t>
      </w:r>
    </w:p>
    <w:p>
      <w:pPr>
        <w:numPr>
          <w:ilvl w:val="0"/>
          <w:numId w:val="1066"/>
        </w:numPr>
        <w:pStyle w:val="Compact"/>
      </w:pPr>
      <w:r>
        <w:t xml:space="preserve">適切な診断・検査・治療を目指すだけでなく、回避可能な合併症を防ぐために、適切な施設/専門科/医師への紹介あるいは相談ができる。</w:t>
      </w:r>
    </w:p>
    <w:p>
      <w:pPr>
        <w:numPr>
          <w:ilvl w:val="0"/>
          <w:numId w:val="1066"/>
        </w:numPr>
        <w:pStyle w:val="Compact"/>
      </w:pPr>
      <w:r>
        <w:t xml:space="preserve">紹介と相談のプロセスにおいて、患者・家族に予想しうる状況を共有できる。</w:t>
      </w:r>
    </w:p>
    <w:p>
      <w:pPr>
        <w:numPr>
          <w:ilvl w:val="0"/>
          <w:numId w:val="1066"/>
        </w:numPr>
        <w:pStyle w:val="Compact"/>
      </w:pPr>
      <w:r>
        <w:t xml:space="preserve">医師間での患者のケアと責任が継続できるよう、医師間での考えや期待を共有し、医師間の責任を明確にできる。</w:t>
      </w:r>
    </w:p>
    <w:bookmarkEnd w:id="111"/>
    <w:bookmarkEnd w:id="112"/>
    <w:bookmarkStart w:id="117" w:name="連携に必要とされるアプローチ"/>
    <w:p>
      <w:pPr>
        <w:pStyle w:val="Heading2"/>
      </w:pPr>
      <w:r>
        <w:rPr>
          <w:rStyle w:val="SectionNumber"/>
        </w:rPr>
        <w:t xml:space="preserve">7.2</w:t>
      </w:r>
      <w:r>
        <w:tab/>
      </w: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13" w:name="職種役割の貢献"/>
    <w:p>
      <w:pPr>
        <w:pStyle w:val="Heading3"/>
      </w:pPr>
      <w:r>
        <w:rPr>
          <w:rStyle w:val="SectionNumber"/>
        </w:rPr>
        <w:t xml:space="preserve">7.2.1</w:t>
      </w:r>
      <w:r>
        <w:tab/>
      </w:r>
      <w:r>
        <w:t xml:space="preserve">職種役割の貢献</w:t>
      </w:r>
    </w:p>
    <w:p>
      <w:pPr>
        <w:numPr>
          <w:ilvl w:val="0"/>
          <w:numId w:val="1067"/>
        </w:numPr>
        <w:pStyle w:val="Compact"/>
      </w:pPr>
      <w:r>
        <w:t xml:space="preserve">自職種（自学部）がもつ一般的な知識や価値観を、他職種（他学部）に伝えられる。</w:t>
      </w:r>
    </w:p>
    <w:p>
      <w:pPr>
        <w:numPr>
          <w:ilvl w:val="0"/>
          <w:numId w:val="1067"/>
        </w:numPr>
        <w:pStyle w:val="Compact"/>
      </w:pPr>
      <w:r>
        <w:t xml:space="preserve">患者・利用者に対して、多職種（多学部）の中で自職種（自学部）の役割を果たせる。</w:t>
      </w:r>
    </w:p>
    <w:p>
      <w:pPr>
        <w:numPr>
          <w:ilvl w:val="0"/>
          <w:numId w:val="1067"/>
        </w:numPr>
        <w:pStyle w:val="Compact"/>
      </w:pPr>
      <w:r>
        <w:t xml:space="preserve">多職種（多学部）から求められる自職種（自学部）の役割を担える。</w:t>
      </w:r>
    </w:p>
    <w:bookmarkEnd w:id="113"/>
    <w:bookmarkStart w:id="114" w:name="関係性への働きかけ"/>
    <w:p>
      <w:pPr>
        <w:pStyle w:val="Heading3"/>
      </w:pPr>
      <w:r>
        <w:rPr>
          <w:rStyle w:val="SectionNumber"/>
        </w:rPr>
        <w:t xml:space="preserve">7.2.2</w:t>
      </w:r>
      <w:r>
        <w:tab/>
      </w:r>
      <w:r>
        <w:t xml:space="preserve">関係性への働きかけ</w:t>
      </w:r>
    </w:p>
    <w:p>
      <w:pPr>
        <w:numPr>
          <w:ilvl w:val="0"/>
          <w:numId w:val="1068"/>
        </w:numPr>
        <w:pStyle w:val="Compact"/>
      </w:pPr>
      <w:r>
        <w:t xml:space="preserve">多職種（多学部）と対等な関係を構築できる。</w:t>
      </w:r>
    </w:p>
    <w:p>
      <w:pPr>
        <w:numPr>
          <w:ilvl w:val="0"/>
          <w:numId w:val="1068"/>
        </w:numPr>
        <w:pStyle w:val="Compact"/>
      </w:pPr>
      <w:r>
        <w:t xml:space="preserve">多職種（多学部）と一緒に成長する志を醸成できる。</w:t>
      </w:r>
    </w:p>
    <w:p>
      <w:pPr>
        <w:numPr>
          <w:ilvl w:val="0"/>
          <w:numId w:val="1068"/>
        </w:numPr>
        <w:pStyle w:val="Compact"/>
      </w:pPr>
      <w:r>
        <w:t xml:space="preserve">多職種（多学部）との対人葛藤が起きないようにできる。</w:t>
      </w:r>
    </w:p>
    <w:bookmarkEnd w:id="114"/>
    <w:bookmarkStart w:id="115" w:name="自職種の省察"/>
    <w:p>
      <w:pPr>
        <w:pStyle w:val="Heading3"/>
      </w:pPr>
      <w:r>
        <w:rPr>
          <w:rStyle w:val="SectionNumber"/>
        </w:rPr>
        <w:t xml:space="preserve">7.2.3</w:t>
      </w:r>
      <w:r>
        <w:tab/>
      </w:r>
      <w:r>
        <w:t xml:space="preserve">自職種の省察</w:t>
      </w:r>
    </w:p>
    <w:p>
      <w:pPr>
        <w:numPr>
          <w:ilvl w:val="0"/>
          <w:numId w:val="1069"/>
        </w:numPr>
        <w:pStyle w:val="Compact"/>
      </w:pPr>
      <w:r>
        <w:t xml:space="preserve">自職種が持ちやすい価値観を説明できる。</w:t>
      </w:r>
    </w:p>
    <w:p>
      <w:pPr>
        <w:numPr>
          <w:ilvl w:val="0"/>
          <w:numId w:val="1069"/>
        </w:numPr>
        <w:pStyle w:val="Compact"/>
      </w:pPr>
      <w:r>
        <w:t xml:space="preserve">自職種の役割を説明できる。</w:t>
      </w:r>
    </w:p>
    <w:p>
      <w:pPr>
        <w:numPr>
          <w:ilvl w:val="0"/>
          <w:numId w:val="1069"/>
        </w:numPr>
        <w:pStyle w:val="Compact"/>
      </w:pPr>
      <w:r>
        <w:t xml:space="preserve">他職種（他学部）に影響しうる自職種（自学部）の行動を分析できる。</w:t>
      </w:r>
    </w:p>
    <w:bookmarkEnd w:id="115"/>
    <w:bookmarkStart w:id="116" w:name="他職種の理解"/>
    <w:p>
      <w:pPr>
        <w:pStyle w:val="Heading3"/>
      </w:pPr>
      <w:r>
        <w:rPr>
          <w:rStyle w:val="SectionNumber"/>
        </w:rPr>
        <w:t xml:space="preserve">7.2.4</w:t>
      </w:r>
      <w:r>
        <w:tab/>
      </w:r>
      <w:r>
        <w:t xml:space="preserve">他職種の理解</w:t>
      </w:r>
    </w:p>
    <w:p>
      <w:pPr>
        <w:numPr>
          <w:ilvl w:val="0"/>
          <w:numId w:val="1070"/>
        </w:numPr>
        <w:pStyle w:val="Compact"/>
      </w:pPr>
      <w:r>
        <w:t xml:space="preserve">他職種の役割を説明できる。</w:t>
      </w:r>
    </w:p>
    <w:p>
      <w:pPr>
        <w:numPr>
          <w:ilvl w:val="0"/>
          <w:numId w:val="1070"/>
        </w:numPr>
        <w:pStyle w:val="Compact"/>
      </w:pPr>
      <w:r>
        <w:t xml:space="preserve">他職種（他学部）の価値観を説明できる。</w:t>
      </w:r>
    </w:p>
    <w:p>
      <w:pPr>
        <w:numPr>
          <w:ilvl w:val="0"/>
          <w:numId w:val="1070"/>
        </w:numPr>
        <w:pStyle w:val="Compact"/>
      </w:pPr>
      <w:r>
        <w:t xml:space="preserve">他職種（他学部）が働く職場環境・学習環境について説明できる。</w:t>
      </w:r>
    </w:p>
    <w:bookmarkEnd w:id="116"/>
    <w:bookmarkEnd w:id="117"/>
    <w:bookmarkEnd w:id="118"/>
    <w:bookmarkStart w:id="143" w:name="社会における医療の役割の理解"/>
    <w:p>
      <w:pPr>
        <w:pStyle w:val="Heading1"/>
      </w:pPr>
      <w:r>
        <w:rPr>
          <w:rStyle w:val="SectionNumber"/>
        </w:rPr>
        <w:t xml:space="preserve">8</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4" w:name="社会保障"/>
    <w:p>
      <w:pPr>
        <w:pStyle w:val="Heading2"/>
      </w:pPr>
      <w:r>
        <w:rPr>
          <w:rStyle w:val="SectionNumber"/>
        </w:rPr>
        <w:t xml:space="preserve">8.1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9" w:name="公衆衛生"/>
    <w:p>
      <w:pPr>
        <w:pStyle w:val="Heading3"/>
      </w:pPr>
      <w:r>
        <w:rPr>
          <w:rStyle w:val="SectionNumber"/>
        </w:rPr>
        <w:t xml:space="preserve">8.1.1</w:t>
      </w:r>
      <w:r>
        <w:tab/>
      </w:r>
      <w:r>
        <w:t xml:space="preserve">公衆衛生</w:t>
      </w:r>
    </w:p>
    <w:p>
      <w:pPr>
        <w:numPr>
          <w:ilvl w:val="0"/>
          <w:numId w:val="1071"/>
        </w:numPr>
        <w:pStyle w:val="Compact"/>
      </w:pPr>
      <w:r>
        <w:t xml:space="preserve">健康及び公衆衛生（地域共生社会含む）の概念を説明できる。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地域診断、PDCAサイクルなど科学的根拠に基づく公衆衛生活動に参加する。</w:t>
      </w:r>
    </w:p>
    <w:bookmarkEnd w:id="119"/>
    <w:bookmarkStart w:id="120" w:name="社会保険公的扶助社会福祉"/>
    <w:p>
      <w:pPr>
        <w:pStyle w:val="Heading3"/>
      </w:pPr>
      <w:r>
        <w:rPr>
          <w:rStyle w:val="SectionNumber"/>
        </w:rPr>
        <w:t xml:space="preserve">8.1.2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20"/>
    <w:bookmarkStart w:id="121" w:name="地域保健"/>
    <w:p>
      <w:pPr>
        <w:pStyle w:val="Heading3"/>
      </w:pPr>
      <w:r>
        <w:rPr>
          <w:rStyle w:val="SectionNumber"/>
        </w:rPr>
        <w:t xml:space="preserve">8.1.3</w:t>
      </w:r>
      <w:r>
        <w:tab/>
      </w:r>
      <w:r>
        <w:t xml:space="preserve">地域保健</w:t>
      </w:r>
    </w:p>
    <w:p>
      <w:pPr>
        <w:numPr>
          <w:ilvl w:val="0"/>
          <w:numId w:val="1073"/>
        </w:numPr>
        <w:pStyle w:val="Compact"/>
      </w:pPr>
      <w:r>
        <w:t xml:space="preserve">保健所・市町村保健センター・地方衛生研究所の役割、地域保健法等、地域保健体制を説明できる。</w:t>
      </w:r>
    </w:p>
    <w:p>
      <w:pPr>
        <w:numPr>
          <w:ilvl w:val="0"/>
          <w:numId w:val="1073"/>
        </w:numPr>
        <w:pStyle w:val="Compact"/>
      </w:pPr>
      <w:r>
        <w:t xml:space="preserve">健康増進法、栄養、身体活動、休養等、健康増進施策を説明できる。</w:t>
      </w:r>
    </w:p>
    <w:p>
      <w:pPr>
        <w:numPr>
          <w:ilvl w:val="0"/>
          <w:numId w:val="1073"/>
        </w:numPr>
        <w:pStyle w:val="Compact"/>
      </w:pPr>
      <w:r>
        <w:t xml:space="preserve">母子保健法、母体保護法、児童福祉法、児童虐待防止法等、母子保健施策を説明できる。</w:t>
      </w:r>
    </w:p>
    <w:p>
      <w:pPr>
        <w:numPr>
          <w:ilvl w:val="0"/>
          <w:numId w:val="1073"/>
        </w:numPr>
        <w:pStyle w:val="Compact"/>
      </w:pPr>
      <w:r>
        <w:t xml:space="preserve">学校医、学校感染症、学校保健安全法等、学校保健を説明できる</w:t>
      </w:r>
    </w:p>
    <w:p>
      <w:pPr>
        <w:numPr>
          <w:ilvl w:val="0"/>
          <w:numId w:val="1073"/>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073"/>
        </w:numPr>
        <w:pStyle w:val="Compact"/>
      </w:pPr>
      <w:r>
        <w:t xml:space="preserve">がん対策基本法、がん登録等の推進に関する法律等、がん対策を説明できる。</w:t>
      </w:r>
    </w:p>
    <w:p>
      <w:pPr>
        <w:numPr>
          <w:ilvl w:val="0"/>
          <w:numId w:val="1073"/>
        </w:numPr>
        <w:pStyle w:val="Compact"/>
      </w:pPr>
      <w:r>
        <w:t xml:space="preserve">自殺対策基本法、精神保健福祉法等、精神衛生・心の健康に関する施策を説明できる。</w:t>
      </w:r>
    </w:p>
    <w:p>
      <w:pPr>
        <w:numPr>
          <w:ilvl w:val="0"/>
          <w:numId w:val="1073"/>
        </w:numPr>
        <w:pStyle w:val="Compact"/>
      </w:pPr>
      <w:r>
        <w:t xml:space="preserve">8020、フッ化物の利用、全身の健康との関連等、歯科保健施策を説明できる。</w:t>
      </w:r>
    </w:p>
    <w:bookmarkEnd w:id="121"/>
    <w:bookmarkStart w:id="122" w:name="産業保健環境保健"/>
    <w:p>
      <w:pPr>
        <w:pStyle w:val="Heading3"/>
      </w:pPr>
      <w:r>
        <w:rPr>
          <w:rStyle w:val="SectionNumber"/>
        </w:rPr>
        <w:t xml:space="preserve">8.1.4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産業医の選任義務、労働安全衛生法、労働基準法等、産業保健の基本的な法令を説明できる。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水道、建築物における衛生的環境の確保に関する法律（建築物衛生法）、住宅環境等、生活環境衛生施策を説明できる。</w:t>
      </w:r>
    </w:p>
    <w:p>
      <w:pPr>
        <w:numPr>
          <w:ilvl w:val="0"/>
          <w:numId w:val="1074"/>
        </w:numPr>
        <w:pStyle w:val="Compact"/>
      </w:pPr>
      <w:r>
        <w:t xml:space="preserve">環境基本法、公害、廃棄物の処理及び清掃に関する法律（廃棄物処理法）等、環境保全施策を説明できる。</w:t>
      </w:r>
    </w:p>
    <w:bookmarkEnd w:id="122"/>
    <w:bookmarkStart w:id="123" w:name="健康危機管理"/>
    <w:p>
      <w:pPr>
        <w:pStyle w:val="Heading3"/>
      </w:pPr>
      <w:r>
        <w:rPr>
          <w:rStyle w:val="SectionNumber"/>
        </w:rPr>
        <w:t xml:space="preserve">8.1.5</w:t>
      </w:r>
      <w:r>
        <w:tab/>
      </w:r>
      <w:r>
        <w:t xml:space="preserve">健康危機管理</w:t>
      </w:r>
    </w:p>
    <w:p>
      <w:pPr>
        <w:numPr>
          <w:ilvl w:val="0"/>
          <w:numId w:val="1075"/>
        </w:numPr>
        <w:pStyle w:val="Compact"/>
      </w:pPr>
      <w:r>
        <w:t xml:space="preserve">健康危機の概念と種類、それらへの対応を説明できる</w:t>
      </w:r>
    </w:p>
    <w:p>
      <w:pPr>
        <w:numPr>
          <w:ilvl w:val="0"/>
          <w:numId w:val="1075"/>
        </w:numPr>
        <w:pStyle w:val="Compact"/>
      </w:pPr>
      <w:r>
        <w:t xml:space="preserve">健康危機時のリスクコミュニケーションを説明できる。</w:t>
      </w:r>
    </w:p>
    <w:p>
      <w:pPr>
        <w:numPr>
          <w:ilvl w:val="0"/>
          <w:numId w:val="1075"/>
        </w:numPr>
        <w:pStyle w:val="Compact"/>
      </w:pPr>
      <w:r>
        <w:t xml:space="preserve">食品衛生法、食品営業、食中毒の状況等、食品衛生施策を説明できる。</w:t>
      </w:r>
    </w:p>
    <w:p>
      <w:pPr>
        <w:numPr>
          <w:ilvl w:val="0"/>
          <w:numId w:val="1075"/>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災害対策基本法、災害救助法等、自然災害の対応を説明できる。</w:t>
      </w:r>
    </w:p>
    <w:p>
      <w:pPr>
        <w:numPr>
          <w:ilvl w:val="0"/>
          <w:numId w:val="1075"/>
        </w:numPr>
        <w:pStyle w:val="Compact"/>
      </w:pPr>
      <w:r>
        <w:t xml:space="preserve">災害拠点病院、種々の活動チーム等、災害保健医療 を説明できる。</w:t>
      </w:r>
    </w:p>
    <w:p>
      <w:pPr>
        <w:numPr>
          <w:ilvl w:val="0"/>
          <w:numId w:val="1075"/>
        </w:numPr>
        <w:pStyle w:val="Compact"/>
      </w:pPr>
      <w:r>
        <w:t xml:space="preserve">放射線事故、テロリズム、国民保護法の適用事象等、種々の健康危機の種類別の対応を説明できる。</w:t>
      </w:r>
    </w:p>
    <w:bookmarkEnd w:id="123"/>
    <w:bookmarkEnd w:id="124"/>
    <w:bookmarkStart w:id="128" w:name="疫学医学統計"/>
    <w:p>
      <w:pPr>
        <w:pStyle w:val="Heading2"/>
      </w:pPr>
      <w:r>
        <w:rPr>
          <w:rStyle w:val="SectionNumber"/>
        </w:rPr>
        <w:t xml:space="preserve">8.2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5" w:name="保健統計"/>
    <w:p>
      <w:pPr>
        <w:pStyle w:val="Heading3"/>
      </w:pPr>
      <w:r>
        <w:rPr>
          <w:rStyle w:val="SectionNumber"/>
        </w:rPr>
        <w:t xml:space="preserve">8.2.1</w:t>
      </w:r>
      <w:r>
        <w:tab/>
      </w:r>
      <w:r>
        <w:t xml:space="preserve">保健統計</w:t>
      </w:r>
    </w:p>
    <w:p>
      <w:pPr>
        <w:numPr>
          <w:ilvl w:val="0"/>
          <w:numId w:val="1076"/>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076"/>
        </w:numPr>
        <w:pStyle w:val="Compact"/>
      </w:pPr>
      <w:r>
        <w:t xml:space="preserve">平均寿命、健康寿命を説明できる。</w:t>
      </w:r>
    </w:p>
    <w:p>
      <w:pPr>
        <w:numPr>
          <w:ilvl w:val="0"/>
          <w:numId w:val="1076"/>
        </w:numPr>
        <w:pStyle w:val="Compact"/>
      </w:pPr>
      <w:r>
        <w:t xml:space="preserve">e-Stat（政府統計の窓口）を利用できる。</w:t>
      </w:r>
    </w:p>
    <w:bookmarkEnd w:id="125"/>
    <w:bookmarkStart w:id="126" w:name="疫学"/>
    <w:p>
      <w:pPr>
        <w:pStyle w:val="Heading3"/>
      </w:pPr>
      <w:r>
        <w:rPr>
          <w:rStyle w:val="SectionNumber"/>
        </w:rPr>
        <w:t xml:space="preserve">8.2.2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急性感染症と慢性疾患の疫学的アプローチの違いを説明できる。</w:t>
      </w:r>
    </w:p>
    <w:p>
      <w:pPr>
        <w:numPr>
          <w:ilvl w:val="0"/>
          <w:numId w:val="1077"/>
        </w:numPr>
        <w:pStyle w:val="Compact"/>
      </w:pPr>
      <w:r>
        <w:t xml:space="preserve">不確実性を含む、限られた情報を評価し、人間の生命や健康を守る意思決定につなげていくには何が必要か考えることができる。</w:t>
      </w:r>
    </w:p>
    <w:bookmarkEnd w:id="126"/>
    <w:bookmarkStart w:id="127" w:name="データ解析と統計手法"/>
    <w:p>
      <w:pPr>
        <w:pStyle w:val="Heading3"/>
      </w:pPr>
      <w:r>
        <w:rPr>
          <w:rStyle w:val="SectionNumber"/>
        </w:rPr>
        <w:t xml:space="preserve">8.2.3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7"/>
    <w:bookmarkEnd w:id="128"/>
    <w:bookmarkStart w:id="130" w:name="法医学"/>
    <w:p>
      <w:pPr>
        <w:pStyle w:val="Heading2"/>
      </w:pPr>
      <w:r>
        <w:rPr>
          <w:rStyle w:val="SectionNumber"/>
        </w:rPr>
        <w:t xml:space="preserve">8.3</w:t>
      </w:r>
      <w:r>
        <w:tab/>
      </w:r>
      <w:r>
        <w:t xml:space="preserve">法医学</w:t>
      </w:r>
    </w:p>
    <w:p>
      <w:pPr>
        <w:pStyle w:val="FirstParagraph"/>
      </w:pPr>
      <w:r>
        <w:t xml:space="preserve">死の判定や死亡診断と死体検案を理解する。</w:t>
      </w:r>
    </w:p>
    <w:bookmarkStart w:id="129" w:name="死と法"/>
    <w:p>
      <w:pPr>
        <w:pStyle w:val="Heading3"/>
      </w:pPr>
      <w:r>
        <w:rPr>
          <w:rStyle w:val="SectionNumber"/>
        </w:rPr>
        <w:t xml:space="preserve">8.3.1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9"/>
    <w:bookmarkEnd w:id="130"/>
    <w:bookmarkStart w:id="137" w:name="社会の構造や変化から捉える医療"/>
    <w:p>
      <w:pPr>
        <w:pStyle w:val="Heading2"/>
      </w:pPr>
      <w:r>
        <w:rPr>
          <w:rStyle w:val="SectionNumber"/>
        </w:rPr>
        <w:t xml:space="preserve">8.4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31" w:name="社会格差と医療"/>
    <w:p>
      <w:pPr>
        <w:pStyle w:val="Heading3"/>
      </w:pPr>
      <w:r>
        <w:rPr>
          <w:rStyle w:val="SectionNumber"/>
        </w:rPr>
        <w:t xml:space="preserve">8.4.1</w:t>
      </w:r>
      <w:r>
        <w:tab/>
      </w:r>
      <w:r>
        <w:t xml:space="preserve">社会格差と医療</w:t>
      </w:r>
    </w:p>
    <w:p>
      <w:pPr>
        <w:numPr>
          <w:ilvl w:val="0"/>
          <w:numId w:val="1080"/>
        </w:numPr>
        <w:pStyle w:val="Compact"/>
      </w:pPr>
      <w:r>
        <w:t xml:space="preserve">社会的弱者の立場にある患者の代弁者となることができる</w:t>
      </w:r>
    </w:p>
    <w:p>
      <w:pPr>
        <w:numPr>
          <w:ilvl w:val="0"/>
          <w:numId w:val="1080"/>
        </w:numPr>
        <w:pStyle w:val="Compact"/>
      </w:pPr>
      <w:r>
        <w:t xml:space="preserve">社会格差を解消するために社会に対して行動できる</w:t>
      </w:r>
    </w:p>
    <w:bookmarkEnd w:id="131"/>
    <w:bookmarkStart w:id="132" w:name="健康と医療"/>
    <w:p>
      <w:pPr>
        <w:pStyle w:val="Heading3"/>
      </w:pPr>
      <w:r>
        <w:rPr>
          <w:rStyle w:val="SectionNumber"/>
        </w:rPr>
        <w:t xml:space="preserve">8.4.2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バリヤフリーなどの障害と社会環境に関連する概念を理解した行動をとることができる</w:t>
      </w:r>
    </w:p>
    <w:bookmarkEnd w:id="132"/>
    <w:bookmarkStart w:id="133" w:name="ジェンダーと医療"/>
    <w:p>
      <w:pPr>
        <w:pStyle w:val="Heading3"/>
      </w:pPr>
      <w:r>
        <w:rPr>
          <w:rStyle w:val="SectionNumber"/>
        </w:rPr>
        <w:t xml:space="preserve">8.4.3</w:t>
      </w:r>
      <w:r>
        <w:tab/>
      </w:r>
      <w:r>
        <w:t xml:space="preserve">ジェンダーと医療</w:t>
      </w:r>
    </w:p>
    <w:p>
      <w:pPr>
        <w:numPr>
          <w:ilvl w:val="0"/>
          <w:numId w:val="1082"/>
        </w:numPr>
        <w:pStyle w:val="Compact"/>
      </w:pPr>
      <w:r>
        <w:t xml:space="preserve">女性やLGBTに対する差別などのジェンダー不平等をなくすために積極的な行動をとることができる</w:t>
      </w:r>
    </w:p>
    <w:bookmarkEnd w:id="133"/>
    <w:bookmarkStart w:id="134" w:name="気候変動と医療"/>
    <w:p>
      <w:pPr>
        <w:pStyle w:val="Heading3"/>
      </w:pPr>
      <w:r>
        <w:rPr>
          <w:rStyle w:val="SectionNumber"/>
        </w:rPr>
        <w:t xml:space="preserve">8.4.4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4"/>
    <w:bookmarkStart w:id="135" w:name="哲学倫理と医療"/>
    <w:p>
      <w:pPr>
        <w:pStyle w:val="Heading3"/>
      </w:pPr>
      <w:r>
        <w:rPr>
          <w:rStyle w:val="SectionNumber"/>
        </w:rPr>
        <w:t xml:space="preserve">8.4.5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診療現場における倫理的問題について適切に考えて対応できる。</w:t>
      </w:r>
    </w:p>
    <w:bookmarkEnd w:id="135"/>
    <w:bookmarkStart w:id="136" w:name="歴史と医学医療"/>
    <w:p>
      <w:pPr>
        <w:pStyle w:val="Heading3"/>
      </w:pPr>
      <w:r>
        <w:rPr>
          <w:rStyle w:val="SectionNumber"/>
        </w:rPr>
        <w:t xml:space="preserve">8.4.6</w:t>
      </w:r>
      <w:r>
        <w:tab/>
      </w:r>
      <w:r>
        <w:t xml:space="preserve">歴史と医学・医療</w:t>
      </w:r>
    </w:p>
    <w:p>
      <w:pPr>
        <w:numPr>
          <w:ilvl w:val="0"/>
          <w:numId w:val="1085"/>
        </w:numPr>
        <w:pStyle w:val="Compact"/>
      </w:pPr>
      <w:r>
        <w:t xml:space="preserve">医学・医療の歴史的変遷を概説できる。</w:t>
      </w:r>
    </w:p>
    <w:p>
      <w:pPr>
        <w:numPr>
          <w:ilvl w:val="0"/>
          <w:numId w:val="1085"/>
        </w:numPr>
        <w:pStyle w:val="Compact"/>
      </w:pPr>
      <w:r>
        <w:t xml:space="preserve">現代の医学的問題を過去の歴史を用いて相対化できる。</w:t>
      </w:r>
    </w:p>
    <w:bookmarkEnd w:id="136"/>
    <w:bookmarkEnd w:id="137"/>
    <w:bookmarkStart w:id="140" w:name="国内外の視点から捉える医療"/>
    <w:p>
      <w:pPr>
        <w:pStyle w:val="Heading2"/>
      </w:pPr>
      <w:r>
        <w:rPr>
          <w:rStyle w:val="SectionNumber"/>
        </w:rPr>
        <w:t xml:space="preserve">8.5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8" w:name="国内の医療職の役割や医療体制"/>
    <w:p>
      <w:pPr>
        <w:pStyle w:val="Heading3"/>
      </w:pPr>
      <w:r>
        <w:rPr>
          <w:rStyle w:val="SectionNumber"/>
        </w:rPr>
        <w:t xml:space="preserve">8.5.1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地域医療計画を説明できる。</w:t>
      </w:r>
    </w:p>
    <w:bookmarkEnd w:id="138"/>
    <w:bookmarkStart w:id="139" w:name="グルーバルヘルスの役割や医療体制"/>
    <w:p>
      <w:pPr>
        <w:pStyle w:val="Heading3"/>
      </w:pPr>
      <w:r>
        <w:rPr>
          <w:rStyle w:val="SectionNumber"/>
        </w:rPr>
        <w:t xml:space="preserve">8.5.2</w:t>
      </w:r>
      <w:r>
        <w:tab/>
      </w:r>
      <w:r>
        <w:t xml:space="preserve">グルーバルヘルスの役割や医療体制</w:t>
      </w:r>
    </w:p>
    <w:p>
      <w:pPr>
        <w:numPr>
          <w:ilvl w:val="0"/>
          <w:numId w:val="1087"/>
        </w:numPr>
        <w:pStyle w:val="Compact"/>
      </w:pPr>
      <w:r>
        <w:t xml:space="preserve">国際的に援助が必要とされる医療・健康課題の歴史・社会的背景を知る。</w:t>
      </w:r>
    </w:p>
    <w:p>
      <w:pPr>
        <w:numPr>
          <w:ilvl w:val="0"/>
          <w:numId w:val="1087"/>
        </w:numPr>
        <w:pStyle w:val="Compact"/>
      </w:pPr>
      <w:r>
        <w:t xml:space="preserve">グローバルヘルス領域での母子に関わる医療・健康問題を挙げることができる。</w:t>
      </w:r>
    </w:p>
    <w:p>
      <w:pPr>
        <w:numPr>
          <w:ilvl w:val="0"/>
          <w:numId w:val="1087"/>
        </w:numPr>
        <w:pStyle w:val="Compact"/>
      </w:pPr>
      <w:r>
        <w:t xml:space="preserve">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保健関連SDGや国際援助組織を概説できる。</w:t>
      </w:r>
    </w:p>
    <w:bookmarkEnd w:id="139"/>
    <w:bookmarkEnd w:id="140"/>
    <w:bookmarkStart w:id="142" w:name="社会科学の視点から捉える医療"/>
    <w:p>
      <w:pPr>
        <w:pStyle w:val="Heading2"/>
      </w:pPr>
      <w:r>
        <w:rPr>
          <w:rStyle w:val="SectionNumber"/>
        </w:rPr>
        <w:t xml:space="preserve">8.6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41" w:name="社会科学と医療との関係"/>
    <w:p>
      <w:pPr>
        <w:pStyle w:val="Heading3"/>
      </w:pPr>
      <w:r>
        <w:rPr>
          <w:rStyle w:val="SectionNumber"/>
        </w:rPr>
        <w:t xml:space="preserve">8.6.1</w:t>
      </w:r>
      <w:r>
        <w:tab/>
      </w:r>
      <w:r>
        <w:t xml:space="preserve">社会科学と医療との関係</w:t>
      </w:r>
    </w:p>
    <w:p>
      <w:pPr>
        <w:numPr>
          <w:ilvl w:val="0"/>
          <w:numId w:val="1088"/>
        </w:numPr>
        <w:pStyle w:val="Compact"/>
      </w:pPr>
      <w:r>
        <w:t xml:space="preserve">社会科学（主に医療人類学や医療社会学）の基本的な視点・方法・理論を用いることができる。</w:t>
      </w:r>
    </w:p>
    <w:p>
      <w:pPr>
        <w:numPr>
          <w:ilvl w:val="0"/>
          <w:numId w:val="1088"/>
        </w:numPr>
        <w:pStyle w:val="Compact"/>
      </w:pPr>
      <w:r>
        <w:t xml:space="preserve">医療に関する諸事象をシステム論の観点から社会の諸制度との関わりのなかで捉え、構造的に説明できる。</w:t>
      </w:r>
    </w:p>
    <w:p>
      <w:pPr>
        <w:numPr>
          <w:ilvl w:val="0"/>
          <w:numId w:val="1088"/>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41"/>
    <w:bookmarkEnd w:id="142"/>
    <w:bookmarkEnd w:id="1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2022-04-13T11:07:04Z</dcterms:created>
  <dcterms:modified xsi:type="dcterms:W3CDTF">2022-04-13T11:07:04Z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