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医療の継続性（時間性・情報性・関係性など）がもたらす影響について概説できる。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2"/>
    <w:bookmarkEnd w:id="53"/>
    <w:bookmarkEnd w:id="54"/>
    <w:bookmarkStart w:id="65"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9"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8"/>
    <w:bookmarkEnd w:id="59"/>
    <w:bookmarkStart w:id="62" w:name="生涯学習"/>
    <w:p>
      <w:pPr>
        <w:pStyle w:val="Heading2"/>
      </w:pPr>
      <w:r>
        <w:t xml:space="preserve">生涯学習</w:t>
      </w:r>
    </w:p>
    <w:p>
      <w:pPr>
        <w:pStyle w:val="FirstParagraph"/>
      </w:pPr>
      <w:r>
        <w:t xml:space="preserve">生涯学び続ける価値観を形成する</w:t>
      </w:r>
    </w:p>
    <w:bookmarkStart w:id="60"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60"/>
    <w:bookmarkStart w:id="61"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61"/>
    <w:bookmarkEnd w:id="62"/>
    <w:bookmarkStart w:id="64" w:name="医療者教育"/>
    <w:p>
      <w:pPr>
        <w:pStyle w:val="Heading2"/>
      </w:pPr>
      <w:r>
        <w:t xml:space="preserve">医療者教育</w:t>
      </w:r>
    </w:p>
    <w:p>
      <w:pPr>
        <w:pStyle w:val="FirstParagraph"/>
      </w:pPr>
      <w:r>
        <w:t xml:space="preserve">医師・医学生に限らず同僚や後輩を含む医療者への教育に貢献する</w:t>
      </w:r>
    </w:p>
    <w:bookmarkStart w:id="63"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3"/>
    <w:bookmarkEnd w:id="64"/>
    <w:bookmarkEnd w:id="65"/>
    <w:bookmarkStart w:id="75"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8"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6"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6"/>
    <w:bookmarkStart w:id="67"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7"/>
    <w:bookmarkEnd w:id="68"/>
    <w:bookmarkStart w:id="71"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9"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9"/>
    <w:bookmarkStart w:id="70"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70"/>
    <w:bookmarkEnd w:id="71"/>
    <w:bookmarkStart w:id="74"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2"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2"/>
    <w:bookmarkStart w:id="73"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3"/>
    <w:bookmarkEnd w:id="74"/>
    <w:bookmarkEnd w:id="75"/>
    <w:bookmarkStart w:id="96"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8"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6" w:name="医療面接"/>
    <w:p>
      <w:pPr>
        <w:pStyle w:val="Heading3"/>
      </w:pPr>
      <w:r>
        <w:t xml:space="preserve">医療面接</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患者に関わる人たちから必要な情報を得ることが参加できる。</w:t>
      </w:r>
    </w:p>
    <w:bookmarkEnd w:id="76"/>
    <w:bookmarkStart w:id="77"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7"/>
    <w:bookmarkEnd w:id="78"/>
    <w:bookmarkStart w:id="84"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9"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9"/>
    <w:bookmarkStart w:id="80"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病歴・身体診察を重視した診断推論（診断がつかない場合を含む）ができる。</w:t>
      </w:r>
    </w:p>
    <w:bookmarkEnd w:id="80"/>
    <w:bookmarkStart w:id="81"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81"/>
    <w:bookmarkStart w:id="82"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2"/>
    <w:bookmarkStart w:id="83"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3"/>
    <w:bookmarkEnd w:id="84"/>
    <w:bookmarkStart w:id="91"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5"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5"/>
    <w:bookmarkStart w:id="86"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6"/>
    <w:bookmarkStart w:id="87"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7"/>
    <w:bookmarkStart w:id="88"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8"/>
    <w:bookmarkStart w:id="89"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9"/>
    <w:bookmarkStart w:id="90"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90"/>
    <w:bookmarkEnd w:id="91"/>
    <w:bookmarkStart w:id="95"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2"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2"/>
    <w:bookmarkStart w:id="93"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3"/>
    <w:bookmarkStart w:id="94"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4"/>
    <w:bookmarkEnd w:id="95"/>
    <w:bookmarkEnd w:id="96"/>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1"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7"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7"/>
    <w:bookmarkStart w:id="98"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8"/>
    <w:bookmarkStart w:id="99"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9"/>
    <w:bookmarkStart w:id="100"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100"/>
    <w:bookmarkEnd w:id="101"/>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2"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2"/>
    <w:bookmarkStart w:id="103" w:name="インフォームドコンセントの取得"/>
    <w:p>
      <w:pPr>
        <w:pStyle w:val="Heading3"/>
      </w:pPr>
      <w:r>
        <w:t xml:space="preserve">インフォームド・コンセントの取得</w:t>
      </w:r>
    </w:p>
    <w:p>
      <w:pPr>
        <w:numPr>
          <w:ilvl w:val="0"/>
          <w:numId w:val="1059"/>
        </w:numPr>
        <w:pStyle w:val="Compact"/>
      </w:pPr>
      <w:r>
        <w:t xml:space="preserve">医療を提供するに当たり、患者が理解し同意するよう適切に説明を行うことができる。</w:t>
      </w:r>
    </w:p>
    <w:p>
      <w:pPr>
        <w:numPr>
          <w:ilvl w:val="0"/>
          <w:numId w:val="1059"/>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0"/>
        </w:numPr>
        <w:pStyle w:val="Compact"/>
      </w:pPr>
      <w:r>
        <w:t xml:space="preserve">患者の心理的及び社会的背景や自立した生活を送るための課題を把握し、抱える問題点を抽出・整理できる。</w:t>
      </w:r>
    </w:p>
    <w:p>
      <w:pPr>
        <w:numPr>
          <w:ilvl w:val="0"/>
          <w:numId w:val="1060"/>
        </w:numPr>
        <w:pStyle w:val="Compact"/>
      </w:pPr>
      <w:r>
        <w:t xml:space="preserve">保護者から必要な情報を得ることができる。患者自身から情報が得られない場合、代理人や保護者などから必要な情報を得ることができる。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1"/>
        </w:numPr>
        <w:pStyle w:val="Compact"/>
      </w:pPr>
      <w:r>
        <w:t xml:space="preserve">家族や地域といった視点をもち、保健・医療・福祉・介護との連携に参加する。</w:t>
      </w:r>
    </w:p>
    <w:p>
      <w:pPr>
        <w:numPr>
          <w:ilvl w:val="0"/>
          <w:numId w:val="1061"/>
        </w:numPr>
        <w:pStyle w:val="Compact"/>
      </w:pPr>
      <w:r>
        <w:t xml:space="preserve">患者の要望（診察・転医・紹介）への対処の仕方を理解し実践できる。</w:t>
      </w:r>
    </w:p>
    <w:p>
      <w:pPr>
        <w:numPr>
          <w:ilvl w:val="0"/>
          <w:numId w:val="1061"/>
        </w:numPr>
        <w:pStyle w:val="Compact"/>
      </w:pPr>
      <w:r>
        <w:t xml:space="preserve">患者・家族の怒りや悲しみなどの感情を理解し、対応することができる。</w:t>
      </w:r>
    </w:p>
    <w:p>
      <w:pPr>
        <w:numPr>
          <w:ilvl w:val="0"/>
          <w:numId w:val="1061"/>
        </w:numPr>
        <w:pStyle w:val="Compact"/>
      </w:pPr>
      <w:r>
        <w:t xml:space="preserve">不確実な状況や医学的に説明困難な症状に配慮した対応がを説明できる。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2"/>
        </w:numPr>
        <w:pStyle w:val="Compact"/>
      </w:pPr>
      <w:r>
        <w:t xml:space="preserve">健康及び公衆衛生（地域共生社会含む）の概念を説明できる。</w:t>
      </w:r>
    </w:p>
    <w:p>
      <w:pPr>
        <w:numPr>
          <w:ilvl w:val="0"/>
          <w:numId w:val="1062"/>
        </w:numPr>
        <w:pStyle w:val="Compact"/>
      </w:pPr>
      <w:r>
        <w:t xml:space="preserve">予防の段階と戦略を説明できる。</w:t>
      </w:r>
    </w:p>
    <w:p>
      <w:pPr>
        <w:numPr>
          <w:ilvl w:val="0"/>
          <w:numId w:val="1062"/>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3"/>
        </w:numPr>
        <w:pStyle w:val="Compact"/>
      </w:pPr>
      <w:r>
        <w:t xml:space="preserve">生存権などの健康に関する基本的人権と社会保障（社会保険、社会福祉、公的扶助）を説明できる。</w:t>
      </w:r>
    </w:p>
    <w:p>
      <w:pPr>
        <w:numPr>
          <w:ilvl w:val="0"/>
          <w:numId w:val="1063"/>
        </w:numPr>
        <w:pStyle w:val="Compact"/>
      </w:pPr>
      <w:r>
        <w:t xml:space="preserve">社会保険の財源と支払い方式を説明できる。</w:t>
      </w:r>
    </w:p>
    <w:p>
      <w:pPr>
        <w:numPr>
          <w:ilvl w:val="0"/>
          <w:numId w:val="1063"/>
        </w:numPr>
        <w:pStyle w:val="Compact"/>
      </w:pPr>
      <w:r>
        <w:t xml:space="preserve">国民皆保険としての医療保険、介護保険、年金保険を含む社会保険を説明できる。</w:t>
      </w:r>
    </w:p>
    <w:p>
      <w:pPr>
        <w:numPr>
          <w:ilvl w:val="0"/>
          <w:numId w:val="1063"/>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4"/>
        </w:numPr>
        <w:pStyle w:val="Compact"/>
      </w:pPr>
      <w:r>
        <w:t xml:space="preserve">保健所・市町村保健センター・地方衛生研究所の役割、地域保健法等、地域保健体制を説明できる。</w:t>
      </w:r>
    </w:p>
    <w:p>
      <w:pPr>
        <w:numPr>
          <w:ilvl w:val="0"/>
          <w:numId w:val="1064"/>
        </w:numPr>
        <w:pStyle w:val="Compact"/>
      </w:pPr>
      <w:r>
        <w:t xml:space="preserve">健康増進法、栄養、身体活動、休養等、健康増進施策を説明できる。</w:t>
      </w:r>
    </w:p>
    <w:p>
      <w:pPr>
        <w:numPr>
          <w:ilvl w:val="0"/>
          <w:numId w:val="1064"/>
        </w:numPr>
        <w:pStyle w:val="Compact"/>
      </w:pPr>
      <w:r>
        <w:t xml:space="preserve">母子保健法、母体保護法、児童福祉法、児童虐待防止法等、母子保健施策を説明できる。</w:t>
      </w:r>
    </w:p>
    <w:p>
      <w:pPr>
        <w:numPr>
          <w:ilvl w:val="0"/>
          <w:numId w:val="1064"/>
        </w:numPr>
        <w:pStyle w:val="Compact"/>
      </w:pPr>
      <w:r>
        <w:t xml:space="preserve">学校医、学校感染症、学校保健安全法等、学校保健を説明できる</w:t>
      </w:r>
    </w:p>
    <w:p>
      <w:pPr>
        <w:numPr>
          <w:ilvl w:val="0"/>
          <w:numId w:val="1064"/>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4"/>
        </w:numPr>
        <w:pStyle w:val="Compact"/>
      </w:pPr>
      <w:r>
        <w:t xml:space="preserve">がん対策基本法、がん登録等の推進に関する法律等、がん対策を説明できる。</w:t>
      </w:r>
    </w:p>
    <w:p>
      <w:pPr>
        <w:numPr>
          <w:ilvl w:val="0"/>
          <w:numId w:val="1064"/>
        </w:numPr>
        <w:pStyle w:val="Compact"/>
      </w:pPr>
      <w:r>
        <w:t xml:space="preserve">自殺対策基本法、精神保健福祉法等、精神衛生・心の健康に関する施策を説明できる。</w:t>
      </w:r>
    </w:p>
    <w:p>
      <w:pPr>
        <w:numPr>
          <w:ilvl w:val="0"/>
          <w:numId w:val="1064"/>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5"/>
        </w:numPr>
        <w:pStyle w:val="Compact"/>
      </w:pPr>
      <w:r>
        <w:t xml:space="preserve">産業保健の意義、労働衛生の3管理など、産業保健の基本的な考え方を説明できる。</w:t>
      </w:r>
    </w:p>
    <w:p>
      <w:pPr>
        <w:numPr>
          <w:ilvl w:val="0"/>
          <w:numId w:val="1065"/>
        </w:numPr>
        <w:pStyle w:val="Compact"/>
      </w:pPr>
      <w:r>
        <w:t xml:space="preserve">産業医の選任義務、労働安全衛生法、労働基準法等、産業保健の基本的な法令を説明できる。</w:t>
      </w:r>
    </w:p>
    <w:p>
      <w:pPr>
        <w:numPr>
          <w:ilvl w:val="0"/>
          <w:numId w:val="1065"/>
        </w:numPr>
        <w:pStyle w:val="Compact"/>
      </w:pPr>
      <w:r>
        <w:t xml:space="preserve">労働災害及び職業性疾病とのその対策を説明できる。</w:t>
      </w:r>
    </w:p>
    <w:p>
      <w:pPr>
        <w:numPr>
          <w:ilvl w:val="0"/>
          <w:numId w:val="1065"/>
        </w:numPr>
        <w:pStyle w:val="Compact"/>
      </w:pPr>
      <w:r>
        <w:t xml:space="preserve">有害物質による産業中毒とその対策を説明できる。</w:t>
      </w:r>
    </w:p>
    <w:p>
      <w:pPr>
        <w:numPr>
          <w:ilvl w:val="0"/>
          <w:numId w:val="1065"/>
        </w:numPr>
        <w:pStyle w:val="Compact"/>
      </w:pPr>
      <w:r>
        <w:t xml:space="preserve">水道、建築物における衛生的環境の確保に関する法律（建築物衛生法）、住宅環境等、生活環境衛生施策を説明できる。</w:t>
      </w:r>
    </w:p>
    <w:p>
      <w:pPr>
        <w:numPr>
          <w:ilvl w:val="0"/>
          <w:numId w:val="1065"/>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6"/>
        </w:numPr>
        <w:pStyle w:val="Compact"/>
      </w:pPr>
      <w:r>
        <w:t xml:space="preserve">健康危機の概念と種類、それらへの対応を説明できる</w:t>
      </w:r>
    </w:p>
    <w:p>
      <w:pPr>
        <w:numPr>
          <w:ilvl w:val="0"/>
          <w:numId w:val="1066"/>
        </w:numPr>
        <w:pStyle w:val="Compact"/>
      </w:pPr>
      <w:r>
        <w:t xml:space="preserve">健康危機時のリスクコミュニケーションを説明できる。</w:t>
      </w:r>
    </w:p>
    <w:p>
      <w:pPr>
        <w:numPr>
          <w:ilvl w:val="0"/>
          <w:numId w:val="1066"/>
        </w:numPr>
        <w:pStyle w:val="Compact"/>
      </w:pPr>
      <w:r>
        <w:t xml:space="preserve">食品衛生法、食品営業、食中毒の状況等、食品衛生施策を説明できる。</w:t>
      </w:r>
    </w:p>
    <w:p>
      <w:pPr>
        <w:numPr>
          <w:ilvl w:val="0"/>
          <w:numId w:val="1066"/>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6"/>
        </w:numPr>
        <w:pStyle w:val="Compact"/>
      </w:pPr>
      <w:r>
        <w:t xml:space="preserve">災害対策基本法、災害救助法等、自然災害の対応を説明できる。</w:t>
      </w:r>
    </w:p>
    <w:p>
      <w:pPr>
        <w:numPr>
          <w:ilvl w:val="0"/>
          <w:numId w:val="1066"/>
        </w:numPr>
        <w:pStyle w:val="Compact"/>
      </w:pPr>
      <w:r>
        <w:t xml:space="preserve">災害拠点病院、種々の活動チーム等、災害保健医療 を説明できる。</w:t>
      </w:r>
    </w:p>
    <w:p>
      <w:pPr>
        <w:numPr>
          <w:ilvl w:val="0"/>
          <w:numId w:val="1066"/>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7"/>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7"/>
        </w:numPr>
        <w:pStyle w:val="Compact"/>
      </w:pPr>
      <w:r>
        <w:t xml:space="preserve">平均寿命、健康寿命を説明できる。</w:t>
      </w:r>
    </w:p>
    <w:p>
      <w:pPr>
        <w:numPr>
          <w:ilvl w:val="0"/>
          <w:numId w:val="1067"/>
        </w:numPr>
        <w:pStyle w:val="Compact"/>
      </w:pPr>
      <w:r>
        <w:t xml:space="preserve">e-Stat（政府統計の窓口）を利用できる。</w:t>
      </w:r>
    </w:p>
    <w:bookmarkEnd w:id="115"/>
    <w:bookmarkStart w:id="116" w:name="疫学"/>
    <w:p>
      <w:pPr>
        <w:pStyle w:val="Heading3"/>
      </w:pPr>
      <w:r>
        <w:t xml:space="preserve">疫学</w:t>
      </w:r>
    </w:p>
    <w:p>
      <w:pPr>
        <w:numPr>
          <w:ilvl w:val="0"/>
          <w:numId w:val="1068"/>
        </w:numPr>
        <w:pStyle w:val="Compact"/>
      </w:pPr>
      <w:r>
        <w:t xml:space="preserve">疫学の役割を公衆衛生と臨床の視点で説明できる。</w:t>
      </w:r>
    </w:p>
    <w:p>
      <w:pPr>
        <w:numPr>
          <w:ilvl w:val="0"/>
          <w:numId w:val="1068"/>
        </w:numPr>
        <w:pStyle w:val="Compact"/>
      </w:pPr>
      <w:r>
        <w:t xml:space="preserve">割合・比・率の違いを理解し、代表的な疫学指標（有病割合、リスク比、罹患率等）を説明できる。</w:t>
      </w:r>
    </w:p>
    <w:p>
      <w:pPr>
        <w:numPr>
          <w:ilvl w:val="0"/>
          <w:numId w:val="1068"/>
        </w:numPr>
        <w:pStyle w:val="Compact"/>
      </w:pPr>
      <w:r>
        <w:t xml:space="preserve">主なバイアス・交絡を（例をあげて）説明できる。</w:t>
      </w:r>
    </w:p>
    <w:p>
      <w:pPr>
        <w:numPr>
          <w:ilvl w:val="0"/>
          <w:numId w:val="1068"/>
        </w:numPr>
        <w:pStyle w:val="Compact"/>
      </w:pPr>
      <w:r>
        <w:t xml:space="preserve">年齢調整における直接法と間接法の違いを説明できる。</w:t>
      </w:r>
    </w:p>
    <w:p>
      <w:pPr>
        <w:numPr>
          <w:ilvl w:val="0"/>
          <w:numId w:val="1068"/>
        </w:numPr>
        <w:pStyle w:val="Compact"/>
      </w:pPr>
      <w:r>
        <w:t xml:space="preserve">主な疫学の研究デザイン（観察研究［記述研究、横断研究、症例対照研究、コホート研究］、介入研究（ランダム化比較試験等）を説明できる。</w:t>
      </w:r>
    </w:p>
    <w:p>
      <w:pPr>
        <w:numPr>
          <w:ilvl w:val="0"/>
          <w:numId w:val="1068"/>
        </w:numPr>
        <w:pStyle w:val="Compact"/>
      </w:pPr>
      <w:r>
        <w:t xml:space="preserve">急性感染症と慢性疾患の疫学的アプローチの違いを説明できる。</w:t>
      </w:r>
    </w:p>
    <w:p>
      <w:pPr>
        <w:numPr>
          <w:ilvl w:val="0"/>
          <w:numId w:val="1068"/>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69"/>
        </w:numPr>
        <w:pStyle w:val="Compact"/>
      </w:pPr>
      <w:r>
        <w:t xml:space="preserve">尺度（間隔、比、順序、名義）を説明できる。</w:t>
      </w:r>
    </w:p>
    <w:p>
      <w:pPr>
        <w:numPr>
          <w:ilvl w:val="0"/>
          <w:numId w:val="1069"/>
        </w:numPr>
        <w:pStyle w:val="Compact"/>
      </w:pPr>
      <w:r>
        <w:t xml:space="preserve">データの分布（欠損値を含む）を記述できる。</w:t>
      </w:r>
    </w:p>
    <w:p>
      <w:pPr>
        <w:numPr>
          <w:ilvl w:val="0"/>
          <w:numId w:val="1069"/>
        </w:numPr>
        <w:pStyle w:val="Compact"/>
      </w:pPr>
      <w:r>
        <w:t xml:space="preserve">正規分布の母平均の信頼区間を説明できる。</w:t>
      </w:r>
    </w:p>
    <w:p>
      <w:pPr>
        <w:numPr>
          <w:ilvl w:val="0"/>
          <w:numId w:val="1069"/>
        </w:numPr>
        <w:pStyle w:val="Compact"/>
      </w:pPr>
      <w:r>
        <w:t xml:space="preserve">相関分析、平均値と割合の検定等を実施できる。</w:t>
      </w:r>
    </w:p>
    <w:p>
      <w:pPr>
        <w:numPr>
          <w:ilvl w:val="0"/>
          <w:numId w:val="1069"/>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0"/>
        </w:numPr>
        <w:pStyle w:val="Compact"/>
      </w:pPr>
      <w:r>
        <w:t xml:space="preserve">植物状態、脳死、心臓死及び脳死判定を説明できる。</w:t>
      </w:r>
    </w:p>
    <w:p>
      <w:pPr>
        <w:numPr>
          <w:ilvl w:val="0"/>
          <w:numId w:val="1070"/>
        </w:numPr>
        <w:pStyle w:val="Compact"/>
      </w:pPr>
      <w:r>
        <w:t xml:space="preserve">異状死・異状死体の取扱いと死体検案を説明できる。</w:t>
      </w:r>
    </w:p>
    <w:p>
      <w:pPr>
        <w:numPr>
          <w:ilvl w:val="0"/>
          <w:numId w:val="1070"/>
        </w:numPr>
        <w:pStyle w:val="Compact"/>
      </w:pPr>
      <w:r>
        <w:t xml:space="preserve">死亡診断書と死体検案書を作成できる。</w:t>
      </w:r>
    </w:p>
    <w:p>
      <w:pPr>
        <w:numPr>
          <w:ilvl w:val="0"/>
          <w:numId w:val="1070"/>
        </w:numPr>
        <w:pStyle w:val="Compact"/>
      </w:pPr>
      <w:r>
        <w:t xml:space="preserve">個人識別の方法を説明できる。</w:t>
      </w:r>
    </w:p>
    <w:p>
      <w:pPr>
        <w:numPr>
          <w:ilvl w:val="0"/>
          <w:numId w:val="1070"/>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1"/>
        </w:numPr>
        <w:pStyle w:val="Compact"/>
      </w:pPr>
      <w:r>
        <w:t xml:space="preserve">社会的弱者の立場にある患者の代弁者となることができる</w:t>
      </w:r>
    </w:p>
    <w:p>
      <w:pPr>
        <w:numPr>
          <w:ilvl w:val="0"/>
          <w:numId w:val="1071"/>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2"/>
        </w:numPr>
        <w:pStyle w:val="Compact"/>
      </w:pPr>
      <w:r>
        <w:t xml:space="preserve">健康寿命を延ばすために生活者への積極的な働きかけを行うことができる</w:t>
      </w:r>
    </w:p>
    <w:p>
      <w:pPr>
        <w:numPr>
          <w:ilvl w:val="0"/>
          <w:numId w:val="1072"/>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3"/>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4"/>
        </w:numPr>
        <w:pStyle w:val="Compact"/>
      </w:pPr>
      <w:r>
        <w:t xml:space="preserve">気候変動と医療との関係性を理解できる</w:t>
      </w:r>
    </w:p>
    <w:p>
      <w:pPr>
        <w:numPr>
          <w:ilvl w:val="0"/>
          <w:numId w:val="1074"/>
        </w:numPr>
        <w:pStyle w:val="Compact"/>
      </w:pPr>
      <w:r>
        <w:t xml:space="preserve">患者が抱える健康に関する課題と気候変動との関係を想像できる</w:t>
      </w:r>
    </w:p>
    <w:p>
      <w:pPr>
        <w:numPr>
          <w:ilvl w:val="0"/>
          <w:numId w:val="1074"/>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5"/>
        </w:numPr>
        <w:pStyle w:val="Compact"/>
      </w:pPr>
      <w:r>
        <w:t xml:space="preserve">現代思想・哲学の語彙を概説することができる</w:t>
      </w:r>
    </w:p>
    <w:p>
      <w:pPr>
        <w:numPr>
          <w:ilvl w:val="0"/>
          <w:numId w:val="1075"/>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6"/>
        </w:numPr>
        <w:pStyle w:val="Compact"/>
      </w:pPr>
      <w:r>
        <w:t xml:space="preserve">医学・医療の歴史的変遷を概説できる。</w:t>
      </w:r>
    </w:p>
    <w:p>
      <w:pPr>
        <w:numPr>
          <w:ilvl w:val="0"/>
          <w:numId w:val="1076"/>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7"/>
        </w:numPr>
        <w:pStyle w:val="Compact"/>
      </w:pPr>
      <w:r>
        <w:t xml:space="preserve">医師法が定める医師の職権と義務を説明できる。</w:t>
      </w:r>
    </w:p>
    <w:p>
      <w:pPr>
        <w:numPr>
          <w:ilvl w:val="0"/>
          <w:numId w:val="1077"/>
        </w:numPr>
        <w:pStyle w:val="Compact"/>
      </w:pPr>
      <w:r>
        <w:t xml:space="preserve">医療職を規定する法律・制度を概説できる。</w:t>
      </w:r>
    </w:p>
    <w:p>
      <w:pPr>
        <w:numPr>
          <w:ilvl w:val="0"/>
          <w:numId w:val="1077"/>
        </w:numPr>
        <w:pStyle w:val="Compact"/>
      </w:pPr>
      <w:r>
        <w:t xml:space="preserve">医療法が定める医療施設を概説できる。</w:t>
      </w:r>
    </w:p>
    <w:p>
      <w:pPr>
        <w:numPr>
          <w:ilvl w:val="0"/>
          <w:numId w:val="1077"/>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78"/>
        </w:numPr>
        <w:pStyle w:val="Compact"/>
      </w:pPr>
      <w:r>
        <w:t xml:space="preserve">国際的に援助が必要とされる医療・健康課題の歴史・社会的背景を知る。</w:t>
      </w:r>
    </w:p>
    <w:p>
      <w:pPr>
        <w:numPr>
          <w:ilvl w:val="0"/>
          <w:numId w:val="1078"/>
        </w:numPr>
        <w:pStyle w:val="Compact"/>
      </w:pPr>
      <w:r>
        <w:t xml:space="preserve">グローバルヘルス領域での母子に関わる医療・健康問題を挙げることができる。</w:t>
      </w:r>
    </w:p>
    <w:p>
      <w:pPr>
        <w:numPr>
          <w:ilvl w:val="0"/>
          <w:numId w:val="1078"/>
        </w:numPr>
        <w:pStyle w:val="Compact"/>
      </w:pPr>
      <w:r>
        <w:t xml:space="preserve">国際的に問題となっている感染症・非感染性疾患とその対策を概説できる。</w:t>
      </w:r>
    </w:p>
    <w:p>
      <w:pPr>
        <w:numPr>
          <w:ilvl w:val="0"/>
          <w:numId w:val="1078"/>
        </w:numPr>
        <w:pStyle w:val="Compact"/>
      </w:pPr>
      <w:r>
        <w:t xml:space="preserve">UHC(Universal health</w:t>
      </w:r>
      <w:r>
        <w:t xml:space="preserve"> </w:t>
      </w:r>
      <w:r>
        <w:t xml:space="preserve">coverage)とは何かを概説し、各国の医療制度が抱える問題を例示できる。</w:t>
      </w:r>
    </w:p>
    <w:p>
      <w:pPr>
        <w:numPr>
          <w:ilvl w:val="0"/>
          <w:numId w:val="1078"/>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79"/>
        </w:numPr>
        <w:pStyle w:val="Compact"/>
      </w:pPr>
      <w:r>
        <w:t xml:space="preserve">日常生活や外来診療・在宅療養・入院・施設入所等における健康・病気・死の捉え方を探索できる。</w:t>
      </w:r>
    </w:p>
    <w:p>
      <w:pPr>
        <w:numPr>
          <w:ilvl w:val="0"/>
          <w:numId w:val="1079"/>
        </w:numPr>
        <w:pStyle w:val="Compact"/>
      </w:pPr>
      <w:r>
        <w:t xml:space="preserve">時代の流れ、社会の状況や諸制度との関わりのなかで医療に関する諸事象を捉え、構造的に説明できる。</w:t>
      </w:r>
    </w:p>
    <w:p>
      <w:pPr>
        <w:numPr>
          <w:ilvl w:val="0"/>
          <w:numId w:val="1079"/>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2022-02-16T07:40:43Z</dcterms:created>
  <dcterms:modified xsi:type="dcterms:W3CDTF">2022-02-16T07:40:43Z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