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9"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患者や社会に対して誠実である行動とはどのようなものかを考え、そのように行動することができる。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他者に思いやりをもって接することができない場合の原因・背景を考えることができる。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医療資源を公平に分配するとはどういうことか考え、自らの意見を述べることができる。</w:t>
      </w:r>
    </w:p>
    <w:bookmarkEnd w:id="27"/>
    <w:bookmarkEnd w:id="28"/>
    <w:bookmarkEnd w:id="29"/>
    <w:bookmarkStart w:id="52"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6"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0" w:name="臓器横断的な診療"/>
    <w:p>
      <w:pPr>
        <w:pStyle w:val="Heading3"/>
      </w:pPr>
      <w:r>
        <w:rPr>
          <w:rStyle w:val="SectionNumber"/>
        </w:rPr>
        <w:t xml:space="preserve">2.1.1</w:t>
      </w:r>
      <w:r>
        <w:tab/>
      </w:r>
      <w:r>
        <w:t xml:space="preserve">臓器横断的な診療</w:t>
      </w:r>
    </w:p>
    <w:p>
      <w:pPr>
        <w:numPr>
          <w:ilvl w:val="0"/>
          <w:numId w:val="1007"/>
        </w:numPr>
        <w:pStyle w:val="Compact"/>
      </w:pPr>
      <w:r>
        <w:t xml:space="preserve">臓器横断的に医学的課題を捉えることができる。</w:t>
      </w:r>
    </w:p>
    <w:p>
      <w:pPr>
        <w:numPr>
          <w:ilvl w:val="0"/>
          <w:numId w:val="1007"/>
        </w:numPr>
        <w:pStyle w:val="Compact"/>
      </w:pPr>
      <w:r>
        <w:t xml:space="preserve">適切な医療機関や診療科につなぐ重要性を理解している。</w:t>
      </w:r>
    </w:p>
    <w:p>
      <w:pPr>
        <w:numPr>
          <w:ilvl w:val="0"/>
          <w:numId w:val="1007"/>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7"/>
        </w:numPr>
        <w:pStyle w:val="Compact"/>
      </w:pPr>
      <w:r>
        <w:t xml:space="preserve">主訴に応じて必要な医療面接・身体診察・検査を実施することができる。</w:t>
      </w:r>
    </w:p>
    <w:p>
      <w:pPr>
        <w:numPr>
          <w:ilvl w:val="0"/>
          <w:numId w:val="1007"/>
        </w:numPr>
        <w:pStyle w:val="Compact"/>
      </w:pPr>
      <w:r>
        <w:t xml:space="preserve">診断がつかない健康問題やその介入方法を理解している。</w:t>
      </w:r>
    </w:p>
    <w:p>
      <w:pPr>
        <w:numPr>
          <w:ilvl w:val="0"/>
          <w:numId w:val="1007"/>
        </w:numPr>
        <w:pStyle w:val="Compact"/>
      </w:pPr>
      <w:r>
        <w:t xml:space="preserve">多疾患が併存した状態および複数臓器にまたがる疾患について、その介入方法を理解している。</w:t>
      </w:r>
    </w:p>
    <w:p>
      <w:pPr>
        <w:numPr>
          <w:ilvl w:val="0"/>
          <w:numId w:val="1007"/>
        </w:numPr>
        <w:pStyle w:val="Compact"/>
      </w:pPr>
      <w:r>
        <w:t xml:space="preserve">ポリファーマシーとその介入方法を理解している。</w:t>
      </w:r>
    </w:p>
    <w:bookmarkEnd w:id="30"/>
    <w:bookmarkStart w:id="31"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08"/>
        </w:numPr>
        <w:pStyle w:val="Compact"/>
      </w:pPr>
      <w:r>
        <w:t xml:space="preserve">身体・心理・社会の問題を統合したアプローチを理解している。</w:t>
      </w:r>
    </w:p>
    <w:p>
      <w:pPr>
        <w:numPr>
          <w:ilvl w:val="0"/>
          <w:numId w:val="1008"/>
        </w:numPr>
        <w:pStyle w:val="Compact"/>
      </w:pPr>
      <w:r>
        <w:t xml:space="preserve">個人・家族の双方への影響を踏まえたアプローチを理解している。</w:t>
      </w:r>
    </w:p>
    <w:p>
      <w:pPr>
        <w:numPr>
          <w:ilvl w:val="0"/>
          <w:numId w:val="1008"/>
        </w:numPr>
        <w:pStyle w:val="Compact"/>
      </w:pPr>
      <w:r>
        <w:t xml:space="preserve">削除</w:t>
      </w:r>
    </w:p>
    <w:p>
      <w:pPr>
        <w:numPr>
          <w:ilvl w:val="0"/>
          <w:numId w:val="1008"/>
        </w:numPr>
        <w:pStyle w:val="Compact"/>
      </w:pPr>
      <w:r>
        <w:t xml:space="preserve">削除:トラウマインフォームドケアの対応について概説できる。：コンテクストを確認（春田先生）</w:t>
      </w:r>
    </w:p>
    <w:bookmarkEnd w:id="31"/>
    <w:bookmarkStart w:id="32" w:name="患者中心の医療"/>
    <w:p>
      <w:pPr>
        <w:pStyle w:val="Heading3"/>
      </w:pPr>
      <w:r>
        <w:rPr>
          <w:rStyle w:val="SectionNumber"/>
        </w:rPr>
        <w:t xml:space="preserve">2.1.3</w:t>
      </w:r>
      <w:r>
        <w:tab/>
      </w:r>
      <w:r>
        <w:t xml:space="preserve">患者中心の医療</w:t>
      </w:r>
    </w:p>
    <w:p>
      <w:pPr>
        <w:numPr>
          <w:ilvl w:val="0"/>
          <w:numId w:val="1009"/>
        </w:numPr>
        <w:pStyle w:val="Compact"/>
      </w:pPr>
      <w:r>
        <w:t xml:space="preserve">個々の患者の医療への期待、解釈モデル、健康観を聞き出すことができる。</w:t>
      </w:r>
    </w:p>
    <w:p>
      <w:pPr>
        <w:numPr>
          <w:ilvl w:val="0"/>
          <w:numId w:val="1009"/>
        </w:numPr>
        <w:pStyle w:val="Compact"/>
      </w:pPr>
      <w:r>
        <w:t xml:space="preserve">患者の社会的背景（経済的・制度的側面等）が病いに及ぼす影響を理解している。</w:t>
      </w:r>
    </w:p>
    <w:p>
      <w:pPr>
        <w:numPr>
          <w:ilvl w:val="0"/>
          <w:numId w:val="1009"/>
        </w:numPr>
        <w:pStyle w:val="Compact"/>
      </w:pPr>
      <w:r>
        <w:t xml:space="preserve">削除</w:t>
      </w:r>
    </w:p>
    <w:p>
      <w:pPr>
        <w:numPr>
          <w:ilvl w:val="0"/>
          <w:numId w:val="1009"/>
        </w:numPr>
        <w:pStyle w:val="Compact"/>
      </w:pPr>
      <w:r>
        <w:t xml:space="preserve">医療の継続性（時間・情報・関係等）がもたらす影響を理解している。</w:t>
      </w:r>
    </w:p>
    <w:bookmarkEnd w:id="32"/>
    <w:bookmarkStart w:id="33" w:name="根拠に基づいた医療"/>
    <w:p>
      <w:pPr>
        <w:pStyle w:val="Heading3"/>
      </w:pPr>
      <w:r>
        <w:rPr>
          <w:rStyle w:val="SectionNumber"/>
        </w:rPr>
        <w:t xml:space="preserve">2.1.4</w:t>
      </w:r>
      <w:r>
        <w:tab/>
      </w:r>
      <w:r>
        <w:t xml:space="preserve">根拠に基づいた医療</w:t>
      </w:r>
    </w:p>
    <w:p>
      <w:pPr>
        <w:numPr>
          <w:ilvl w:val="0"/>
          <w:numId w:val="1010"/>
        </w:numPr>
        <w:pStyle w:val="Compact"/>
      </w:pPr>
      <w:r>
        <w:t xml:space="preserve">根拠に基づいた医療（EBM）の5つのステップを列挙できる。</w:t>
      </w:r>
    </w:p>
    <w:p>
      <w:pPr>
        <w:numPr>
          <w:ilvl w:val="0"/>
          <w:numId w:val="1010"/>
        </w:numPr>
        <w:pStyle w:val="Compact"/>
      </w:pPr>
      <w:r>
        <w:t xml:space="preserve">PICO（PECO）を用いた問題の定式化ができる。</w:t>
      </w:r>
    </w:p>
    <w:p>
      <w:pPr>
        <w:numPr>
          <w:ilvl w:val="0"/>
          <w:numId w:val="1010"/>
        </w:numPr>
        <w:pStyle w:val="Compact"/>
      </w:pPr>
      <w:r>
        <w:t xml:space="preserve">データベースや二次文献からのエビデンス、診療ガイドラインを検索することができる。</w:t>
      </w:r>
    </w:p>
    <w:p>
      <w:pPr>
        <w:numPr>
          <w:ilvl w:val="0"/>
          <w:numId w:val="1010"/>
        </w:numPr>
        <w:pStyle w:val="Compact"/>
      </w:pPr>
      <w:r>
        <w:t xml:space="preserve">得られたエビデンスの批判的吟味ができる。</w:t>
      </w:r>
    </w:p>
    <w:p>
      <w:pPr>
        <w:numPr>
          <w:ilvl w:val="0"/>
          <w:numId w:val="1010"/>
        </w:numPr>
        <w:pStyle w:val="Compact"/>
      </w:pPr>
      <w:r>
        <w:t xml:space="preserve">診療ガイドラインの種類、推奨の強さ、使用上の注意を理解している。</w:t>
      </w:r>
    </w:p>
    <w:p>
      <w:pPr>
        <w:numPr>
          <w:ilvl w:val="0"/>
          <w:numId w:val="1010"/>
        </w:numPr>
        <w:pStyle w:val="Compact"/>
      </w:pPr>
      <w:r>
        <w:t xml:space="preserve">削除</w:t>
      </w:r>
    </w:p>
    <w:p>
      <w:pPr>
        <w:numPr>
          <w:ilvl w:val="0"/>
          <w:numId w:val="1010"/>
        </w:numPr>
        <w:pStyle w:val="Compact"/>
      </w:pPr>
      <w:r>
        <w:t xml:space="preserve">エビデンスを患者に適用する計画を立てられる。</w:t>
      </w:r>
    </w:p>
    <w:bookmarkEnd w:id="33"/>
    <w:bookmarkStart w:id="34" w:name="行動科学"/>
    <w:p>
      <w:pPr>
        <w:pStyle w:val="Heading3"/>
      </w:pPr>
      <w:r>
        <w:rPr>
          <w:rStyle w:val="SectionNumber"/>
        </w:rPr>
        <w:t xml:space="preserve">2.1.5</w:t>
      </w:r>
      <w:r>
        <w:tab/>
      </w:r>
      <w:r>
        <w:t xml:space="preserve">行動科学</w:t>
      </w:r>
    </w:p>
    <w:p>
      <w:pPr>
        <w:numPr>
          <w:ilvl w:val="0"/>
          <w:numId w:val="1011"/>
        </w:numPr>
        <w:pStyle w:val="Compact"/>
      </w:pPr>
      <w:r>
        <w:t xml:space="preserve">行動科学に関する知識・理論・面接法を予防医療、診断、治療、ケアに適用することができる。</w:t>
      </w:r>
    </w:p>
    <w:p>
      <w:pPr>
        <w:numPr>
          <w:ilvl w:val="0"/>
          <w:numId w:val="1011"/>
        </w:numPr>
        <w:pStyle w:val="Compact"/>
      </w:pPr>
      <w:r>
        <w:t xml:space="preserve">適切な環境調整や認知行動療法を提案できる。</w:t>
      </w:r>
    </w:p>
    <w:p>
      <w:pPr>
        <w:numPr>
          <w:ilvl w:val="0"/>
          <w:numId w:val="1011"/>
        </w:numPr>
        <w:pStyle w:val="Compact"/>
      </w:pPr>
      <w:r>
        <w:t xml:space="preserve">健康に関する行動経済学の知識を活用できる。</w:t>
      </w:r>
    </w:p>
    <w:bookmarkEnd w:id="34"/>
    <w:bookmarkStart w:id="35" w:name="緩和ケア"/>
    <w:p>
      <w:pPr>
        <w:pStyle w:val="Heading3"/>
      </w:pPr>
      <w:r>
        <w:rPr>
          <w:rStyle w:val="SectionNumber"/>
        </w:rPr>
        <w:t xml:space="preserve">2.1.6</w:t>
      </w:r>
      <w:r>
        <w:tab/>
      </w:r>
      <w:r>
        <w:t xml:space="preserve">緩和ケア</w:t>
      </w:r>
    </w:p>
    <w:p>
      <w:pPr>
        <w:numPr>
          <w:ilvl w:val="0"/>
          <w:numId w:val="1012"/>
        </w:numPr>
        <w:pStyle w:val="Compact"/>
      </w:pPr>
      <w:r>
        <w:t xml:space="preserve">緩和ケアの概念を理解した上で、全人的苦痛（身体的苦痛、心理社会的苦痛、スピリチュアルペイン）を評価できる。</w:t>
      </w:r>
    </w:p>
    <w:p>
      <w:pPr>
        <w:numPr>
          <w:ilvl w:val="0"/>
          <w:numId w:val="1012"/>
        </w:numPr>
        <w:pStyle w:val="Compact"/>
      </w:pPr>
      <w:r>
        <w:t xml:space="preserve">がん・非がんの疼痛緩和の薬物療法や非薬物療法について理解している。</w:t>
      </w:r>
    </w:p>
    <w:p>
      <w:pPr>
        <w:numPr>
          <w:ilvl w:val="0"/>
          <w:numId w:val="1012"/>
        </w:numPr>
        <w:pStyle w:val="Compact"/>
      </w:pPr>
      <w:r>
        <w:t xml:space="preserve">慢性疾患や慢性疼痛の病態、経過、治療を理解した上で、その対処法・ケアを計画できる。</w:t>
      </w:r>
    </w:p>
    <w:p>
      <w:pPr>
        <w:numPr>
          <w:ilvl w:val="0"/>
          <w:numId w:val="1012"/>
        </w:numPr>
        <w:pStyle w:val="Compact"/>
      </w:pPr>
      <w:r>
        <w:t xml:space="preserve">患者の苦痛や不安感に配慮しながら、就学・就労、育児・介護等との両立支援を含め患者と家族に対して誠実で適切な支援を計画できる。</w:t>
      </w:r>
    </w:p>
    <w:bookmarkEnd w:id="35"/>
    <w:bookmarkEnd w:id="36"/>
    <w:bookmarkStart w:id="41"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7"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3"/>
        </w:numPr>
        <w:pStyle w:val="Compact"/>
      </w:pPr>
      <w:r>
        <w:t xml:space="preserve">地域の健康格差を理解し、医療へのアクセス障害等の医療システム上の課題を適切に判断できる。</w:t>
      </w:r>
    </w:p>
    <w:p>
      <w:pPr>
        <w:numPr>
          <w:ilvl w:val="0"/>
          <w:numId w:val="1013"/>
        </w:numPr>
        <w:pStyle w:val="Compact"/>
      </w:pPr>
      <w:r>
        <w:t xml:space="preserve">患者の所属する地域や文化的な背景が健康に関連することを理解している。</w:t>
      </w:r>
    </w:p>
    <w:bookmarkEnd w:id="37"/>
    <w:bookmarkStart w:id="38" w:name="地域におけるプライマリケア"/>
    <w:p>
      <w:pPr>
        <w:pStyle w:val="Heading3"/>
      </w:pPr>
      <w:r>
        <w:rPr>
          <w:rStyle w:val="SectionNumber"/>
        </w:rPr>
        <w:t xml:space="preserve">2.2.2</w:t>
      </w:r>
      <w:r>
        <w:tab/>
      </w:r>
      <w:r>
        <w:t xml:space="preserve">地域におけるプライマリ・ケア</w:t>
      </w:r>
    </w:p>
    <w:p>
      <w:pPr>
        <w:numPr>
          <w:ilvl w:val="0"/>
          <w:numId w:val="1014"/>
        </w:numPr>
        <w:pStyle w:val="Compact"/>
      </w:pPr>
      <w:r>
        <w:t xml:space="preserve">地域（都会・郊外・へき地・離島を含む）の実情に応じた医療と医師の偏在（地域、診療科及び臨床・非臨床）の現状を理解している。</w:t>
      </w:r>
    </w:p>
    <w:p>
      <w:pPr>
        <w:numPr>
          <w:ilvl w:val="0"/>
          <w:numId w:val="1014"/>
        </w:numPr>
        <w:pStyle w:val="Compact"/>
      </w:pPr>
      <w:r>
        <w:t xml:space="preserve">地域の医療体制や診療機関の規模・役割に応じて、医療者として柔軟に対応できる。</w:t>
      </w:r>
    </w:p>
    <w:p>
      <w:pPr>
        <w:numPr>
          <w:ilvl w:val="0"/>
          <w:numId w:val="1014"/>
        </w:numPr>
        <w:pStyle w:val="Compact"/>
      </w:pPr>
      <w:r>
        <w:t xml:space="preserve">患者の居住する地域における各疾患の罹患率、有病率などの指標を用い、臨床推論で活用できる。</w:t>
      </w:r>
    </w:p>
    <w:p>
      <w:pPr>
        <w:numPr>
          <w:ilvl w:val="0"/>
          <w:numId w:val="1014"/>
        </w:numPr>
        <w:pStyle w:val="Compact"/>
      </w:pPr>
      <w:r>
        <w:t xml:space="preserve">地域の量的指標（人口構成等）や質的情報（地理的・歴史的・経済的・文化的背景）を収集し、地域の健康課題を説明できる。</w:t>
      </w:r>
    </w:p>
    <w:p>
      <w:pPr>
        <w:numPr>
          <w:ilvl w:val="0"/>
          <w:numId w:val="1014"/>
        </w:numPr>
        <w:pStyle w:val="Compact"/>
      </w:pPr>
      <w:r>
        <w:t xml:space="preserve">地域の住民や専門職と協働した地域の健康増進活動の意義を理解している。</w:t>
      </w:r>
    </w:p>
    <w:p>
      <w:pPr>
        <w:numPr>
          <w:ilvl w:val="0"/>
          <w:numId w:val="1014"/>
        </w:numPr>
        <w:pStyle w:val="Compact"/>
      </w:pPr>
      <w:r>
        <w:t xml:space="preserve">削除</w:t>
      </w:r>
    </w:p>
    <w:bookmarkEnd w:id="38"/>
    <w:bookmarkStart w:id="39"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5"/>
        </w:numPr>
        <w:pStyle w:val="Compact"/>
      </w:pPr>
      <w:r>
        <w:t xml:space="preserve">【宮地】技能の「乳幼児と小児の輸液療法」をここで扱う？「小児期の栄養面での特性や食育の基本、輸液療法の知識を臨床現場で活用できる。」</w:t>
      </w:r>
      <w:r>
        <w:t xml:space="preserve"> </w:t>
      </w:r>
      <w:r>
        <w:t xml:space="preserve">削除</w:t>
      </w:r>
    </w:p>
    <w:p>
      <w:pPr>
        <w:numPr>
          <w:ilvl w:val="0"/>
          <w:numId w:val="1015"/>
        </w:numPr>
        <w:pStyle w:val="Compact"/>
      </w:pPr>
      <w:r>
        <w:t xml:space="preserve">地域の人的・物的資源に応じた医療・サービスを提案できる。</w:t>
      </w:r>
    </w:p>
    <w:p>
      <w:pPr>
        <w:numPr>
          <w:ilvl w:val="0"/>
          <w:numId w:val="1015"/>
        </w:numPr>
        <w:pStyle w:val="Compact"/>
      </w:pPr>
      <w:r>
        <w:t xml:space="preserve">離島・へき地や医師不足地域等の医療資源が限られた状況での医療提供体制及び介護・保健・福祉の体制を理解している。</w:t>
      </w:r>
    </w:p>
    <w:bookmarkEnd w:id="39"/>
    <w:bookmarkStart w:id="40" w:name="在宅におけるプライマリケア"/>
    <w:p>
      <w:pPr>
        <w:pStyle w:val="Heading3"/>
      </w:pPr>
      <w:r>
        <w:rPr>
          <w:rStyle w:val="SectionNumber"/>
        </w:rPr>
        <w:t xml:space="preserve">2.2.4</w:t>
      </w:r>
      <w:r>
        <w:tab/>
      </w:r>
      <w:r>
        <w:t xml:space="preserve">在宅におけるプライマリ・ケア</w:t>
      </w:r>
    </w:p>
    <w:p>
      <w:pPr>
        <w:numPr>
          <w:ilvl w:val="0"/>
          <w:numId w:val="1016"/>
        </w:numPr>
        <w:pStyle w:val="Compact"/>
      </w:pPr>
      <w:r>
        <w:t xml:space="preserve">在宅医療の現状と適応を踏まえて、その必要性や課題を理解している。</w:t>
      </w:r>
    </w:p>
    <w:p>
      <w:pPr>
        <w:numPr>
          <w:ilvl w:val="0"/>
          <w:numId w:val="1016"/>
        </w:numPr>
        <w:pStyle w:val="Compact"/>
      </w:pPr>
      <w:r>
        <w:t xml:space="preserve">在宅における人生の最終段階における医療、看取りの在り方と課題を理解している。</w:t>
      </w:r>
    </w:p>
    <w:bookmarkEnd w:id="40"/>
    <w:bookmarkEnd w:id="41"/>
    <w:bookmarkStart w:id="48"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2" w:name="人生のプロセス"/>
    <w:p>
      <w:pPr>
        <w:pStyle w:val="Heading3"/>
      </w:pPr>
      <w:r>
        <w:rPr>
          <w:rStyle w:val="SectionNumber"/>
        </w:rPr>
        <w:t xml:space="preserve">2.3.1</w:t>
      </w:r>
      <w:r>
        <w:tab/>
      </w:r>
      <w:r>
        <w:t xml:space="preserve">人生のプロセス</w:t>
      </w:r>
    </w:p>
    <w:p>
      <w:pPr>
        <w:numPr>
          <w:ilvl w:val="0"/>
          <w:numId w:val="1017"/>
        </w:numPr>
        <w:pStyle w:val="Compact"/>
      </w:pPr>
      <w:r>
        <w:t xml:space="preserve">ライフサイクル（胎児期・新生児期・乳幼児期・学童期・思春期・青年期・成人期・壮年期・老年期・終末期）の視点で、患者の課題を検討できる。</w:t>
      </w:r>
    </w:p>
    <w:p>
      <w:pPr>
        <w:numPr>
          <w:ilvl w:val="0"/>
          <w:numId w:val="1017"/>
        </w:numPr>
        <w:pStyle w:val="Compact"/>
      </w:pPr>
      <w:r>
        <w:t xml:space="preserve">ライフステージやライフイベントの視点で、健康管理と環境・生活習慣改善を検討できる。</w:t>
      </w:r>
    </w:p>
    <w:p>
      <w:pPr>
        <w:numPr>
          <w:ilvl w:val="0"/>
          <w:numId w:val="1017"/>
        </w:numPr>
        <w:pStyle w:val="Compact"/>
      </w:pPr>
      <w:r>
        <w:t xml:space="preserve">家族ライフサイクル・家族成員間関係・家族システムの視点で、患者・家族間の問題（虐待・ネグレクト等）を指摘できる。</w:t>
      </w:r>
    </w:p>
    <w:bookmarkEnd w:id="42"/>
    <w:bookmarkStart w:id="43" w:name="小児期全般"/>
    <w:p>
      <w:pPr>
        <w:pStyle w:val="Heading3"/>
      </w:pPr>
      <w:r>
        <w:rPr>
          <w:rStyle w:val="SectionNumber"/>
        </w:rPr>
        <w:t xml:space="preserve">2.3.2</w:t>
      </w:r>
      <w:r>
        <w:tab/>
      </w:r>
      <w:r>
        <w:t xml:space="preserve">小児期全般</w:t>
      </w:r>
    </w:p>
    <w:p>
      <w:pPr>
        <w:numPr>
          <w:ilvl w:val="0"/>
          <w:numId w:val="1018"/>
        </w:numPr>
        <w:pStyle w:val="Compact"/>
      </w:pPr>
      <w:r>
        <w:t xml:space="preserve">小児期の生理機能の発達について理解している。</w:t>
      </w:r>
    </w:p>
    <w:p>
      <w:pPr>
        <w:numPr>
          <w:ilvl w:val="0"/>
          <w:numId w:val="1018"/>
        </w:numPr>
        <w:pStyle w:val="Compact"/>
      </w:pPr>
      <w:r>
        <w:t xml:space="preserve">小児期の正常な精神運動発達について理解している。</w:t>
      </w:r>
    </w:p>
    <w:p>
      <w:pPr>
        <w:numPr>
          <w:ilvl w:val="0"/>
          <w:numId w:val="1018"/>
        </w:numPr>
        <w:pStyle w:val="Compact"/>
      </w:pPr>
      <w:r>
        <w:t xml:space="preserve">小児期の愛着形成や保育法・栄養法について理解している。</w:t>
      </w:r>
    </w:p>
    <w:p>
      <w:pPr>
        <w:numPr>
          <w:ilvl w:val="0"/>
          <w:numId w:val="1018"/>
        </w:numPr>
        <w:pStyle w:val="Compact"/>
      </w:pPr>
      <w:r>
        <w:t xml:space="preserve">小児期の栄養面での特性や食育の基本の知識を臨床現場で活用できる。</w:t>
      </w:r>
    </w:p>
    <w:p>
      <w:pPr>
        <w:numPr>
          <w:ilvl w:val="0"/>
          <w:numId w:val="1018"/>
        </w:numPr>
        <w:pStyle w:val="Compact"/>
      </w:pPr>
      <w:r>
        <w:t xml:space="preserve">小児期の免疫発達と感染症の関係について理解している。</w:t>
      </w:r>
    </w:p>
    <w:p>
      <w:pPr>
        <w:numPr>
          <w:ilvl w:val="0"/>
          <w:numId w:val="1018"/>
        </w:numPr>
        <w:pStyle w:val="Compact"/>
      </w:pPr>
      <w:r>
        <w:t xml:space="preserve">削除</w:t>
      </w:r>
    </w:p>
    <w:p>
      <w:pPr>
        <w:numPr>
          <w:ilvl w:val="0"/>
          <w:numId w:val="1018"/>
        </w:numPr>
        <w:pStyle w:val="Compact"/>
      </w:pPr>
      <w:r>
        <w:t xml:space="preserve">小児期から成人期への医療の移行について、現状と課題を理解している。</w:t>
      </w:r>
    </w:p>
    <w:bookmarkEnd w:id="43"/>
    <w:bookmarkStart w:id="44" w:name="胎児期新生児期乳幼児期"/>
    <w:p>
      <w:pPr>
        <w:pStyle w:val="Heading3"/>
      </w:pPr>
      <w:r>
        <w:rPr>
          <w:rStyle w:val="SectionNumber"/>
        </w:rPr>
        <w:t xml:space="preserve">2.3.3</w:t>
      </w:r>
      <w:r>
        <w:tab/>
      </w:r>
      <w:r>
        <w:t xml:space="preserve">胎児期・新生児期・乳幼児期</w:t>
      </w:r>
    </w:p>
    <w:p>
      <w:pPr>
        <w:numPr>
          <w:ilvl w:val="0"/>
          <w:numId w:val="1019"/>
        </w:numPr>
        <w:pStyle w:val="Compact"/>
      </w:pPr>
      <w:r>
        <w:t xml:space="preserve">胎児の循環・呼吸の生理的特徴と出生時の変化について理解している。</w:t>
      </w:r>
    </w:p>
    <w:p>
      <w:pPr>
        <w:numPr>
          <w:ilvl w:val="0"/>
          <w:numId w:val="1019"/>
        </w:numPr>
        <w:pStyle w:val="Compact"/>
      </w:pPr>
      <w:r>
        <w:t xml:space="preserve">新生児・乳幼児の生理的特徴について理解している。</w:t>
      </w:r>
    </w:p>
    <w:p>
      <w:pPr>
        <w:numPr>
          <w:ilvl w:val="0"/>
          <w:numId w:val="1019"/>
        </w:numPr>
        <w:pStyle w:val="Compact"/>
      </w:pPr>
      <w:r>
        <w:t xml:space="preserve">正常児・早産低出生体重児・病児の管理の基本の知識を臨床現場で活用できる。</w:t>
      </w:r>
    </w:p>
    <w:bookmarkEnd w:id="44"/>
    <w:bookmarkStart w:id="45" w:name="学童期思春期青年期成人期"/>
    <w:p>
      <w:pPr>
        <w:pStyle w:val="Heading3"/>
      </w:pPr>
      <w:r>
        <w:rPr>
          <w:rStyle w:val="SectionNumber"/>
        </w:rPr>
        <w:t xml:space="preserve">2.3.4</w:t>
      </w:r>
      <w:r>
        <w:tab/>
      </w:r>
      <w:r>
        <w:t xml:space="preserve">学童期・思春期・青年期・成人期</w:t>
      </w:r>
    </w:p>
    <w:p>
      <w:pPr>
        <w:numPr>
          <w:ilvl w:val="0"/>
          <w:numId w:val="1020"/>
        </w:numPr>
        <w:pStyle w:val="Compact"/>
      </w:pPr>
      <w:r>
        <w:t xml:space="preserve">思春期発現の機序と性徴について理解している。</w:t>
      </w:r>
    </w:p>
    <w:p>
      <w:pPr>
        <w:numPr>
          <w:ilvl w:val="0"/>
          <w:numId w:val="1020"/>
        </w:numPr>
        <w:pStyle w:val="Compact"/>
      </w:pPr>
      <w:r>
        <w:t xml:space="preserve">学童期・思春期と関連する課題（学業、友達等に関わる課題）について理解している。</w:t>
      </w:r>
    </w:p>
    <w:p>
      <w:pPr>
        <w:numPr>
          <w:ilvl w:val="0"/>
          <w:numId w:val="1020"/>
        </w:numPr>
        <w:pStyle w:val="Compact"/>
      </w:pPr>
      <w:r>
        <w:t xml:space="preserve">思春期・青年期と関連する課題（生殖、いのち等に関わる課題）について理解している。</w:t>
      </w:r>
    </w:p>
    <w:p>
      <w:pPr>
        <w:numPr>
          <w:ilvl w:val="0"/>
          <w:numId w:val="1020"/>
        </w:numPr>
        <w:pStyle w:val="Compact"/>
      </w:pPr>
      <w:r>
        <w:t xml:space="preserve">成人期と関連する課題（メンタルヘルス、仕事、不妊等に関わる課題）について理解している。</w:t>
      </w:r>
    </w:p>
    <w:bookmarkEnd w:id="45"/>
    <w:bookmarkStart w:id="46" w:name="壮年期老年期"/>
    <w:p>
      <w:pPr>
        <w:pStyle w:val="Heading3"/>
      </w:pPr>
      <w:r>
        <w:rPr>
          <w:rStyle w:val="SectionNumber"/>
        </w:rPr>
        <w:t xml:space="preserve">2.3.5</w:t>
      </w:r>
      <w:r>
        <w:tab/>
      </w:r>
      <w:r>
        <w:t xml:space="preserve">壮年期・老年期</w:t>
      </w:r>
    </w:p>
    <w:p>
      <w:pPr>
        <w:numPr>
          <w:ilvl w:val="0"/>
          <w:numId w:val="1021"/>
        </w:numPr>
        <w:pStyle w:val="Compact"/>
      </w:pPr>
      <w:r>
        <w:t xml:space="preserve">加齢に伴う臓器や身体機能の変化、それに伴う生理的変化について理解している。</w:t>
      </w:r>
    </w:p>
    <w:p>
      <w:pPr>
        <w:numPr>
          <w:ilvl w:val="0"/>
          <w:numId w:val="1021"/>
        </w:numPr>
        <w:pStyle w:val="Compact"/>
      </w:pPr>
      <w:r>
        <w:t xml:space="preserve">高齢者総合機能評価（CGA）を実施できる。</w:t>
      </w:r>
    </w:p>
    <w:p>
      <w:pPr>
        <w:numPr>
          <w:ilvl w:val="0"/>
          <w:numId w:val="1021"/>
        </w:numPr>
        <w:pStyle w:val="Compact"/>
      </w:pPr>
      <w:r>
        <w:t xml:space="preserve">老年症候群（歩行障害・転倒、認知機能障害、排泄障害、栄養障害、摂食・嚥下障害等）について理解している。</w:t>
      </w:r>
    </w:p>
    <w:p>
      <w:pPr>
        <w:numPr>
          <w:ilvl w:val="0"/>
          <w:numId w:val="1021"/>
        </w:numPr>
        <w:pStyle w:val="Compact"/>
      </w:pPr>
      <w:r>
        <w:t xml:space="preserve">フレイル、サルコペニア、ロコモティブ・シンドロームの概念、その対処法、予防について理解している。</w:t>
      </w:r>
    </w:p>
    <w:p>
      <w:pPr>
        <w:numPr>
          <w:ilvl w:val="0"/>
          <w:numId w:val="1021"/>
        </w:numPr>
        <w:pStyle w:val="Compact"/>
      </w:pPr>
      <w:r>
        <w:t xml:space="preserve">国際生活機能分類（ICF）について理解している。</w:t>
      </w:r>
    </w:p>
    <w:p>
      <w:pPr>
        <w:numPr>
          <w:ilvl w:val="0"/>
          <w:numId w:val="1021"/>
        </w:numPr>
        <w:pStyle w:val="Compact"/>
      </w:pPr>
      <w:r>
        <w:t xml:space="preserve">高齢者の栄養マネジメントについて理解している。</w:t>
      </w:r>
    </w:p>
    <w:p>
      <w:pPr>
        <w:numPr>
          <w:ilvl w:val="0"/>
          <w:numId w:val="1021"/>
        </w:numPr>
        <w:pStyle w:val="Compact"/>
      </w:pPr>
      <w:r>
        <w:t xml:space="preserve">日常生活動作（ADL）※に応じた介護と環境整備について理解している。</w:t>
      </w:r>
    </w:p>
    <w:bookmarkEnd w:id="46"/>
    <w:bookmarkStart w:id="47" w:name="終末期"/>
    <w:p>
      <w:pPr>
        <w:pStyle w:val="Heading3"/>
      </w:pPr>
      <w:r>
        <w:rPr>
          <w:rStyle w:val="SectionNumber"/>
        </w:rPr>
        <w:t xml:space="preserve">2.3.6</w:t>
      </w:r>
      <w:r>
        <w:tab/>
      </w:r>
      <w:r>
        <w:t xml:space="preserve">終末期</w:t>
      </w:r>
    </w:p>
    <w:p>
      <w:pPr>
        <w:numPr>
          <w:ilvl w:val="0"/>
          <w:numId w:val="1022"/>
        </w:numPr>
        <w:pStyle w:val="Compact"/>
      </w:pPr>
      <w:r>
        <w:t xml:space="preserve">死の概念と定義や生物学的な個体の死について理解している。</w:t>
      </w:r>
    </w:p>
    <w:p>
      <w:pPr>
        <w:numPr>
          <w:ilvl w:val="0"/>
          <w:numId w:val="1022"/>
        </w:numPr>
        <w:pStyle w:val="Compact"/>
      </w:pPr>
      <w:r>
        <w:t xml:space="preserve">死に至る身体と心の過程の知識を活用して、患者や家族がもつ死生観を配慮できる。</w:t>
      </w:r>
    </w:p>
    <w:p>
      <w:pPr>
        <w:numPr>
          <w:ilvl w:val="0"/>
          <w:numId w:val="1022"/>
        </w:numPr>
        <w:pStyle w:val="Compact"/>
      </w:pPr>
      <w:r>
        <w:t xml:space="preserve">人生の最終段階における医療（エンド・オブ・ライフ・ケア）について理解している。</w:t>
      </w:r>
    </w:p>
    <w:p>
      <w:pPr>
        <w:numPr>
          <w:ilvl w:val="0"/>
          <w:numId w:val="1022"/>
        </w:numPr>
        <w:pStyle w:val="Compact"/>
      </w:pPr>
      <w:r>
        <w:t xml:space="preserve">小児の終末期の特殊性について理解している。</w:t>
      </w:r>
    </w:p>
    <w:p>
      <w:pPr>
        <w:numPr>
          <w:ilvl w:val="0"/>
          <w:numId w:val="1022"/>
        </w:numPr>
        <w:pStyle w:val="Compact"/>
      </w:pPr>
      <w:r>
        <w:t xml:space="preserve">意思決定（ACP）、事前指示書遵守（AD）、延命治療、DNAR、尊厳死と安楽死、治療の中止と差し控え等について理解している。</w:t>
      </w:r>
    </w:p>
    <w:p>
      <w:pPr>
        <w:numPr>
          <w:ilvl w:val="0"/>
          <w:numId w:val="1022"/>
        </w:numPr>
        <w:pStyle w:val="Compact"/>
      </w:pPr>
      <w:r>
        <w:t xml:space="preserve">悲嘆のケア（グリーフケア）について理解している。</w:t>
      </w:r>
    </w:p>
    <w:bookmarkEnd w:id="47"/>
    <w:bookmarkEnd w:id="48"/>
    <w:bookmarkStart w:id="51"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49"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3"/>
        </w:numPr>
        <w:pStyle w:val="Compact"/>
      </w:pPr>
      <w:r>
        <w:t xml:space="preserve">患者の健康観や病いに対する価値観を理解したうえで、健康に関する知識※を活用し、健康問題に対する包括的アプローチを実践できる。</w:t>
      </w:r>
    </w:p>
    <w:p>
      <w:pPr>
        <w:numPr>
          <w:ilvl w:val="0"/>
          <w:numId w:val="1023"/>
        </w:numPr>
        <w:pStyle w:val="Compact"/>
      </w:pPr>
      <w:r>
        <w:t xml:space="preserve">患者が受療に至るまでにどのような過程があるかを生活者の視点から説明できる。</w:t>
      </w:r>
    </w:p>
    <w:p>
      <w:pPr>
        <w:numPr>
          <w:ilvl w:val="0"/>
          <w:numId w:val="1023"/>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3"/>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3"/>
        </w:numPr>
        <w:pStyle w:val="Compact"/>
      </w:pPr>
      <w:r>
        <w:t xml:space="preserve">休養や心の健康について知識や統計情報をもとに評価し、本人や家族の生活や価値観も踏まえたうえで支援を計画できる。</w:t>
      </w:r>
    </w:p>
    <w:p>
      <w:pPr>
        <w:numPr>
          <w:ilvl w:val="0"/>
          <w:numId w:val="1023"/>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3"/>
        </w:numPr>
        <w:pStyle w:val="Compact"/>
      </w:pPr>
      <w:r>
        <w:t xml:space="preserve">健康の社会的決定要因とアドボカシーについて理解している。</w:t>
      </w:r>
    </w:p>
    <w:bookmarkEnd w:id="49"/>
    <w:bookmarkStart w:id="50" w:name="社会科学"/>
    <w:p>
      <w:pPr>
        <w:pStyle w:val="Heading3"/>
      </w:pPr>
      <w:r>
        <w:rPr>
          <w:rStyle w:val="SectionNumber"/>
        </w:rPr>
        <w:t xml:space="preserve">2.4.2</w:t>
      </w:r>
      <w:r>
        <w:tab/>
      </w:r>
      <w:r>
        <w:t xml:space="preserve">社会科学</w:t>
      </w:r>
    </w:p>
    <w:p>
      <w:pPr>
        <w:numPr>
          <w:ilvl w:val="0"/>
          <w:numId w:val="1024"/>
        </w:numPr>
        <w:pStyle w:val="Compact"/>
      </w:pPr>
      <w:r>
        <w:t xml:space="preserve">人の言動の意味をその人の人生史・生活史や社会関係の文脈の中において検討することができる。</w:t>
      </w:r>
    </w:p>
    <w:p>
      <w:pPr>
        <w:numPr>
          <w:ilvl w:val="0"/>
          <w:numId w:val="1024"/>
        </w:numPr>
        <w:pStyle w:val="Compact"/>
      </w:pPr>
      <w:r>
        <w:t xml:space="preserve">文化人類学・社会学(主に医療人類学・医療社会学)の視点で、患者やその家族と生活環境・地域社会・医療機関等との関係について説明できる。</w:t>
      </w:r>
    </w:p>
    <w:p>
      <w:pPr>
        <w:numPr>
          <w:ilvl w:val="0"/>
          <w:numId w:val="1024"/>
        </w:numPr>
        <w:pStyle w:val="Compact"/>
      </w:pPr>
      <w:r>
        <w:t xml:space="preserve">文化人類学・社会学(主に医療人類学・医療社会学)の理論や概念を用いて、患者の判断や行動に関わる諸事象を説明できる。</w:t>
      </w:r>
    </w:p>
    <w:bookmarkEnd w:id="50"/>
    <w:bookmarkEnd w:id="51"/>
    <w:bookmarkEnd w:id="52"/>
    <w:bookmarkStart w:id="58"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4"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3" w:name="医療者教育の実践"/>
    <w:p>
      <w:pPr>
        <w:pStyle w:val="Heading3"/>
      </w:pPr>
      <w:r>
        <w:rPr>
          <w:rStyle w:val="SectionNumber"/>
        </w:rPr>
        <w:t xml:space="preserve">3.1.1</w:t>
      </w:r>
      <w:r>
        <w:tab/>
      </w:r>
      <w:r>
        <w:t xml:space="preserve">医療者教育の実践</w:t>
      </w:r>
    </w:p>
    <w:p>
      <w:pPr>
        <w:numPr>
          <w:ilvl w:val="0"/>
          <w:numId w:val="1025"/>
        </w:numPr>
        <w:pStyle w:val="Compact"/>
      </w:pPr>
      <w:r>
        <w:t xml:space="preserve">後輩や同僚等と協働して学修できる</w:t>
      </w:r>
    </w:p>
    <w:p>
      <w:pPr>
        <w:numPr>
          <w:ilvl w:val="0"/>
          <w:numId w:val="1025"/>
        </w:numPr>
        <w:pStyle w:val="Compact"/>
      </w:pPr>
      <w:r>
        <w:t xml:space="preserve">後輩や同僚等に対して、適切にフィードバックできる</w:t>
      </w:r>
    </w:p>
    <w:p>
      <w:pPr>
        <w:numPr>
          <w:ilvl w:val="0"/>
          <w:numId w:val="1025"/>
        </w:numPr>
        <w:pStyle w:val="Compact"/>
      </w:pPr>
      <w:r>
        <w:t xml:space="preserve">成人学習理論を活用し、後輩や同僚等に対して教育を実践できる。</w:t>
      </w:r>
    </w:p>
    <w:bookmarkEnd w:id="53"/>
    <w:bookmarkEnd w:id="54"/>
    <w:bookmarkStart w:id="57"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5" w:name="生涯学習の実践"/>
    <w:p>
      <w:pPr>
        <w:pStyle w:val="Heading3"/>
      </w:pPr>
      <w:r>
        <w:rPr>
          <w:rStyle w:val="SectionNumber"/>
        </w:rPr>
        <w:t xml:space="preserve">3.2.1</w:t>
      </w:r>
      <w:r>
        <w:tab/>
      </w:r>
      <w:r>
        <w:t xml:space="preserve">生涯学習の実践</w:t>
      </w:r>
    </w:p>
    <w:p>
      <w:pPr>
        <w:numPr>
          <w:ilvl w:val="0"/>
          <w:numId w:val="1026"/>
        </w:numPr>
        <w:pStyle w:val="Compact"/>
      </w:pPr>
      <w:r>
        <w:t xml:space="preserve">医学知識が常に変わりゆくことを認識し、現時点での最善の医学情報にアクセスできる。</w:t>
      </w:r>
    </w:p>
    <w:p>
      <w:pPr>
        <w:numPr>
          <w:ilvl w:val="0"/>
          <w:numId w:val="1026"/>
        </w:numPr>
        <w:pStyle w:val="Compact"/>
      </w:pPr>
      <w:r>
        <w:t xml:space="preserve">学修・経験したことを省察し、自己の課題を明確にすることができる。</w:t>
      </w:r>
    </w:p>
    <w:bookmarkEnd w:id="55"/>
    <w:bookmarkStart w:id="56" w:name="キャリア開発"/>
    <w:p>
      <w:pPr>
        <w:pStyle w:val="Heading3"/>
      </w:pPr>
      <w:r>
        <w:rPr>
          <w:rStyle w:val="SectionNumber"/>
        </w:rPr>
        <w:t xml:space="preserve">3.2.2</w:t>
      </w:r>
      <w:r>
        <w:tab/>
      </w:r>
      <w:r>
        <w:t xml:space="preserve">キャリア開発</w:t>
      </w:r>
    </w:p>
    <w:p>
      <w:pPr>
        <w:numPr>
          <w:ilvl w:val="0"/>
          <w:numId w:val="1027"/>
        </w:numPr>
        <w:pStyle w:val="Compact"/>
      </w:pPr>
      <w:r>
        <w:t xml:space="preserve">自身の職業観を涵養しながら、主体的にキャリアを構築していくことができる</w:t>
      </w:r>
    </w:p>
    <w:bookmarkEnd w:id="56"/>
    <w:bookmarkEnd w:id="57"/>
    <w:bookmarkEnd w:id="58"/>
    <w:bookmarkStart w:id="68"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1"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59"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28"/>
        </w:numPr>
        <w:pStyle w:val="Compact"/>
      </w:pPr>
      <w:r>
        <w:t xml:space="preserve">情報・科学技術を医療に活用することの重要性と社会的意義を理解している。</w:t>
      </w:r>
    </w:p>
    <w:p>
      <w:pPr>
        <w:numPr>
          <w:ilvl w:val="0"/>
          <w:numId w:val="1028"/>
        </w:numPr>
        <w:pStyle w:val="Compact"/>
      </w:pPr>
      <w:r>
        <w:t xml:space="preserve">医療における情報・科学技術に関連する規制（法律、ガイドライン等）を理解している。</w:t>
      </w:r>
    </w:p>
    <w:p>
      <w:pPr>
        <w:numPr>
          <w:ilvl w:val="0"/>
          <w:numId w:val="1028"/>
        </w:numPr>
        <w:pStyle w:val="Compact"/>
      </w:pPr>
      <w:r>
        <w:t xml:space="preserve">デジタルデバイド※による医療格差等、情報・科学技術の医療への活用で起こりうる倫理的問題を議論できる。</w:t>
      </w:r>
    </w:p>
    <w:bookmarkEnd w:id="59"/>
    <w:bookmarkStart w:id="60"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29"/>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29"/>
        </w:numPr>
        <w:pStyle w:val="Compact"/>
      </w:pPr>
      <w:r>
        <w:t xml:space="preserve">ソーシャルメディア（インターネット、SNS等）の利用における医療者として相応しい情報発信のあり方を理解し、実践できる。</w:t>
      </w:r>
    </w:p>
    <w:bookmarkEnd w:id="60"/>
    <w:bookmarkEnd w:id="61"/>
    <w:bookmarkStart w:id="64"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2" w:name="情報科学技術を活用した医療"/>
    <w:p>
      <w:pPr>
        <w:pStyle w:val="Heading3"/>
      </w:pPr>
      <w:r>
        <w:rPr>
          <w:rStyle w:val="SectionNumber"/>
        </w:rPr>
        <w:t xml:space="preserve">4.2.1</w:t>
      </w:r>
      <w:r>
        <w:tab/>
      </w:r>
      <w:r>
        <w:t xml:space="preserve">情報・科学技術を活用した医療</w:t>
      </w:r>
    </w:p>
    <w:p>
      <w:pPr>
        <w:numPr>
          <w:ilvl w:val="0"/>
          <w:numId w:val="1030"/>
        </w:numPr>
        <w:pStyle w:val="Compact"/>
      </w:pPr>
      <w:r>
        <w:t xml:space="preserve">情報端末（コンピューター、スマートフォン等）を用いてインターネットやアプリ等を医療の実践に活用できる。</w:t>
      </w:r>
    </w:p>
    <w:p>
      <w:pPr>
        <w:numPr>
          <w:ilvl w:val="0"/>
          <w:numId w:val="1030"/>
        </w:numPr>
        <w:pStyle w:val="Compact"/>
      </w:pPr>
      <w:r>
        <w:t xml:space="preserve">情報・科学技術を用いて収集した情報およびデータを基に問題解決を図る。</w:t>
      </w:r>
    </w:p>
    <w:bookmarkEnd w:id="62"/>
    <w:bookmarkStart w:id="63" w:name="情報科学技術の先端知識"/>
    <w:p>
      <w:pPr>
        <w:pStyle w:val="Heading3"/>
      </w:pPr>
      <w:r>
        <w:rPr>
          <w:rStyle w:val="SectionNumber"/>
        </w:rPr>
        <w:t xml:space="preserve">4.2.2</w:t>
      </w:r>
      <w:r>
        <w:tab/>
      </w:r>
      <w:r>
        <w:t xml:space="preserve">情報・科学技術の先端知識</w:t>
      </w:r>
    </w:p>
    <w:p>
      <w:pPr>
        <w:numPr>
          <w:ilvl w:val="0"/>
          <w:numId w:val="1031"/>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31"/>
        </w:numPr>
        <w:pStyle w:val="Compact"/>
      </w:pPr>
      <w:r>
        <w:t xml:space="preserve">情報・科学技術の専門家とともに、技術を医療へ応用する際に、医療者に求められる役割を理解している。</w:t>
      </w:r>
    </w:p>
    <w:bookmarkEnd w:id="63"/>
    <w:bookmarkEnd w:id="64"/>
    <w:bookmarkStart w:id="67"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65"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2"/>
        </w:numPr>
        <w:pStyle w:val="Compact"/>
      </w:pPr>
      <w:r>
        <w:t xml:space="preserve">遠隔コミュニケーションのあり方を理解し、その目的に応じて適切なツール（電子メール、テレビ会議システム、SNS等）を選択し利用できる</w:t>
      </w:r>
    </w:p>
    <w:bookmarkEnd w:id="65"/>
    <w:bookmarkStart w:id="66"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3"/>
        </w:numPr>
        <w:pStyle w:val="Compact"/>
      </w:pPr>
      <w:r>
        <w:t xml:space="preserve">自己学習や協同学習の場に適切なICT（eラーニング、モバイル技術等）を活用できる。</w:t>
      </w:r>
    </w:p>
    <w:p>
      <w:pPr>
        <w:numPr>
          <w:ilvl w:val="0"/>
          <w:numId w:val="1033"/>
        </w:numPr>
        <w:pStyle w:val="Compact"/>
      </w:pPr>
      <w:r>
        <w:t xml:space="preserve">新たに登場する情報・科学技術を自身の学びおよび医療に活用する柔軟性を有する。</w:t>
      </w:r>
    </w:p>
    <w:bookmarkEnd w:id="66"/>
    <w:bookmarkEnd w:id="67"/>
    <w:bookmarkEnd w:id="68"/>
    <w:bookmarkStart w:id="87"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1"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69" w:name="医療面接"/>
    <w:p>
      <w:pPr>
        <w:pStyle w:val="Heading3"/>
      </w:pPr>
      <w:r>
        <w:rPr>
          <w:rStyle w:val="SectionNumber"/>
        </w:rPr>
        <w:t xml:space="preserve">5.1.1</w:t>
      </w:r>
      <w:r>
        <w:tab/>
      </w:r>
      <w:r>
        <w:t xml:space="preserve">医療面接</w:t>
      </w:r>
    </w:p>
    <w:p>
      <w:pPr>
        <w:numPr>
          <w:ilvl w:val="0"/>
          <w:numId w:val="1034"/>
        </w:numPr>
        <w:pStyle w:val="Compact"/>
      </w:pPr>
      <w:r>
        <w:t xml:space="preserve">医療面接における基本的コミュニケーション技法を用いることができる。</w:t>
      </w:r>
    </w:p>
    <w:p>
      <w:pPr>
        <w:numPr>
          <w:ilvl w:val="0"/>
          <w:numId w:val="103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4"/>
        </w:numPr>
        <w:pStyle w:val="Compact"/>
      </w:pPr>
      <w:r>
        <w:t xml:space="preserve">患者に関わる人たちから必要な情報を得ることが参加できる。</w:t>
      </w:r>
    </w:p>
    <w:bookmarkEnd w:id="69"/>
    <w:bookmarkStart w:id="70" w:name="身体所見"/>
    <w:p>
      <w:pPr>
        <w:pStyle w:val="Heading3"/>
      </w:pPr>
      <w:r>
        <w:rPr>
          <w:rStyle w:val="SectionNumber"/>
        </w:rPr>
        <w:t xml:space="preserve">5.1.2</w:t>
      </w:r>
      <w:r>
        <w:tab/>
      </w:r>
      <w:r>
        <w:t xml:space="preserve">身体所見</w:t>
      </w:r>
    </w:p>
    <w:p>
      <w:pPr>
        <w:numPr>
          <w:ilvl w:val="0"/>
          <w:numId w:val="1035"/>
        </w:numPr>
        <w:pStyle w:val="Compact"/>
      </w:pPr>
      <w:r>
        <w:t xml:space="preserve">患者の状態に応じた診察ができる。</w:t>
      </w:r>
    </w:p>
    <w:p>
      <w:pPr>
        <w:numPr>
          <w:ilvl w:val="0"/>
          <w:numId w:val="1035"/>
        </w:numPr>
        <w:pStyle w:val="Compact"/>
      </w:pPr>
      <w:r>
        <w:t xml:space="preserve">全身の外観（体型、栄養、姿勢、歩行、顔貌、皮膚、発声）を評価できる。</w:t>
      </w:r>
    </w:p>
    <w:p>
      <w:pPr>
        <w:numPr>
          <w:ilvl w:val="0"/>
          <w:numId w:val="1035"/>
        </w:numPr>
        <w:pStyle w:val="Compact"/>
      </w:pPr>
      <w:r>
        <w:t xml:space="preserve">バイタルサイン（体温、脈拍、血圧、呼吸数、酸素飽和度）の測定ができる。</w:t>
      </w:r>
    </w:p>
    <w:p>
      <w:pPr>
        <w:numPr>
          <w:ilvl w:val="0"/>
          <w:numId w:val="1035"/>
        </w:numPr>
        <w:pStyle w:val="Compact"/>
      </w:pPr>
      <w:r>
        <w:t xml:space="preserve">適切な体位（立位、座位、半座位、臥位、砕石位）で診察できる。</w:t>
      </w:r>
    </w:p>
    <w:p>
      <w:pPr>
        <w:numPr>
          <w:ilvl w:val="0"/>
          <w:numId w:val="1035"/>
        </w:numPr>
        <w:pStyle w:val="Compact"/>
      </w:pPr>
      <w:r>
        <w:t xml:space="preserve">部位毎の身体診察表. </w:t>
      </w:r>
      <w:r>
        <w:rPr>
          <w:bCs/>
          <w:b/>
        </w:rPr>
        <w:t xml:space="preserve">¿tbl:身体診察?</w:t>
      </w:r>
      <w:r>
        <w:t xml:space="preserve">ができる。</w:t>
      </w:r>
    </w:p>
    <w:p>
      <w:pPr>
        <w:numPr>
          <w:ilvl w:val="0"/>
          <w:numId w:val="1035"/>
        </w:numPr>
        <w:pStyle w:val="Compact"/>
      </w:pPr>
      <w:r>
        <w:t xml:space="preserve">主要診療科表. </w:t>
      </w:r>
      <w:r>
        <w:rPr>
          <w:bCs/>
          <w:b/>
        </w:rPr>
        <w:t xml:space="preserve">¿tbl:主要診療科?</w:t>
      </w:r>
      <w:r>
        <w:t xml:space="preserve">において必要な診察ができる。</w:t>
      </w:r>
    </w:p>
    <w:p>
      <w:pPr>
        <w:numPr>
          <w:ilvl w:val="0"/>
          <w:numId w:val="1035"/>
        </w:numPr>
        <w:pStyle w:val="Compact"/>
      </w:pPr>
      <w:r>
        <w:t xml:space="preserve">主要な臨床・画像検査表. </w:t>
      </w:r>
      <w:r>
        <w:rPr>
          <w:bCs/>
          <w:b/>
        </w:rPr>
        <w:t xml:space="preserve">¿tbl:主要な臨床?</w:t>
      </w:r>
      <w:r>
        <w:t xml:space="preserve">・画像検査の目的と適応を理解し、解釈できる。</w:t>
      </w:r>
    </w:p>
    <w:bookmarkEnd w:id="70"/>
    <w:bookmarkEnd w:id="71"/>
    <w:bookmarkStart w:id="77"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2" w:name="カルテ記載"/>
    <w:p>
      <w:pPr>
        <w:pStyle w:val="Heading3"/>
      </w:pPr>
      <w:r>
        <w:rPr>
          <w:rStyle w:val="SectionNumber"/>
        </w:rPr>
        <w:t xml:space="preserve">5.2.1</w:t>
      </w:r>
      <w:r>
        <w:tab/>
      </w:r>
      <w:r>
        <w:t xml:space="preserve">カルテ記載</w:t>
      </w:r>
    </w:p>
    <w:p>
      <w:pPr>
        <w:numPr>
          <w:ilvl w:val="0"/>
          <w:numId w:val="1036"/>
        </w:numPr>
        <w:pStyle w:val="Compact"/>
      </w:pPr>
      <w:r>
        <w:t xml:space="preserve">適切に患者の情報を収集し、問題志向型医療記録</w:t>
      </w:r>
      <w:r>
        <w:t xml:space="preserve">を作成できる。</w:t>
      </w:r>
    </w:p>
    <w:p>
      <w:pPr>
        <w:numPr>
          <w:ilvl w:val="0"/>
          <w:numId w:val="1036"/>
        </w:numPr>
        <w:pStyle w:val="Compact"/>
      </w:pPr>
      <w:r>
        <w:t xml:space="preserve">診療経過をSOAP（主観的所見・客観的所見・評価・計画）で記載できる。</w:t>
      </w:r>
    </w:p>
    <w:p>
      <w:pPr>
        <w:numPr>
          <w:ilvl w:val="0"/>
          <w:numId w:val="1036"/>
        </w:numPr>
        <w:pStyle w:val="Compact"/>
      </w:pPr>
      <w:r>
        <w:t xml:space="preserve">過去の診療経過をまとめて診療録に記載できる</w:t>
      </w:r>
    </w:p>
    <w:bookmarkEnd w:id="72"/>
    <w:bookmarkStart w:id="73" w:name="臨床推論"/>
    <w:p>
      <w:pPr>
        <w:pStyle w:val="Heading3"/>
      </w:pPr>
      <w:r>
        <w:rPr>
          <w:rStyle w:val="SectionNumber"/>
        </w:rPr>
        <w:t xml:space="preserve">5.2.2</w:t>
      </w:r>
      <w:r>
        <w:tab/>
      </w:r>
      <w:r>
        <w:t xml:space="preserve">臨床推論</w:t>
      </w:r>
    </w:p>
    <w:p>
      <w:pPr>
        <w:numPr>
          <w:ilvl w:val="0"/>
          <w:numId w:val="1037"/>
        </w:numPr>
        <w:pStyle w:val="Compact"/>
      </w:pPr>
      <w:r>
        <w:t xml:space="preserve">主要症候表. </w:t>
      </w:r>
      <w:r>
        <w:rPr>
          <w:bCs/>
          <w:b/>
        </w:rPr>
        <w:t xml:space="preserve">¿tbl:主要症候?</w:t>
      </w:r>
      <w:r>
        <w:t xml:space="preserve">について原因と病態生理を理解している。</w:t>
      </w:r>
    </w:p>
    <w:p>
      <w:pPr>
        <w:numPr>
          <w:ilvl w:val="0"/>
          <w:numId w:val="1037"/>
        </w:numPr>
        <w:pStyle w:val="Compact"/>
      </w:pPr>
      <w:r>
        <w:t xml:space="preserve">主要症候[^table:主要症候]について鑑別診断を検討し、診断の要点を説明できる。</w:t>
      </w:r>
    </w:p>
    <w:p>
      <w:pPr>
        <w:numPr>
          <w:ilvl w:val="0"/>
          <w:numId w:val="1037"/>
        </w:numPr>
        <w:pStyle w:val="Compact"/>
      </w:pPr>
      <w:r>
        <w:t xml:space="preserve">主要診療科表. </w:t>
      </w:r>
      <w:r>
        <w:rPr>
          <w:bCs/>
          <w:b/>
        </w:rPr>
        <w:t xml:space="preserve">¿tbl:主要診療科?</w:t>
      </w:r>
      <w:r>
        <w:t xml:space="preserve">で主訴からの診断推論を組み立てられる。</w:t>
      </w:r>
    </w:p>
    <w:p>
      <w:pPr>
        <w:numPr>
          <w:ilvl w:val="0"/>
          <w:numId w:val="1037"/>
        </w:numPr>
        <w:pStyle w:val="Compact"/>
      </w:pPr>
      <w:r>
        <w:t xml:space="preserve">主要診療科表. </w:t>
      </w:r>
      <w:r>
        <w:rPr>
          <w:bCs/>
          <w:b/>
        </w:rPr>
        <w:t xml:space="preserve">¿tbl:主要診療科?</w:t>
      </w:r>
      <w:r>
        <w:t xml:space="preserve">における疾患の病態や疫学を理解している。</w:t>
      </w:r>
    </w:p>
    <w:bookmarkEnd w:id="73"/>
    <w:bookmarkStart w:id="74" w:name="検査計画分析評価"/>
    <w:p>
      <w:pPr>
        <w:pStyle w:val="Heading3"/>
      </w:pPr>
      <w:r>
        <w:rPr>
          <w:rStyle w:val="SectionNumber"/>
        </w:rPr>
        <w:t xml:space="preserve">5.2.3</w:t>
      </w:r>
      <w:r>
        <w:tab/>
      </w:r>
      <w:r>
        <w:t xml:space="preserve">検査(計画・分析評価)</w:t>
      </w:r>
    </w:p>
    <w:p>
      <w:pPr>
        <w:numPr>
          <w:ilvl w:val="0"/>
          <w:numId w:val="1038"/>
        </w:numPr>
        <w:pStyle w:val="Compact"/>
      </w:pPr>
      <w:r>
        <w:t xml:space="preserve">主要な臨床・画像検査の目的と意義を理解し、診断仮説の検証に最低限必要な検査項目を選択して、結果を解釈できる</w:t>
      </w:r>
    </w:p>
    <w:p>
      <w:pPr>
        <w:numPr>
          <w:ilvl w:val="0"/>
          <w:numId w:val="1038"/>
        </w:numPr>
        <w:pStyle w:val="Compact"/>
      </w:pPr>
      <w:r>
        <w:t xml:space="preserve">主要な臨床・画像検査の正しい検体採取方法と検体保存方法を理解している。</w:t>
      </w:r>
    </w:p>
    <w:p>
      <w:pPr>
        <w:numPr>
          <w:ilvl w:val="0"/>
          <w:numId w:val="1038"/>
        </w:numPr>
        <w:pStyle w:val="Compact"/>
      </w:pPr>
      <w:r>
        <w:t xml:space="preserve">主要な臨床・画像検査の安全な実施方法（患者確認と検体確認、検査の合併症、感染症予防、精度管理）を理解している。</w:t>
      </w:r>
    </w:p>
    <w:p>
      <w:pPr>
        <w:numPr>
          <w:ilvl w:val="0"/>
          <w:numId w:val="1038"/>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38"/>
        </w:numPr>
        <w:pStyle w:val="Compact"/>
      </w:pPr>
      <w:r>
        <w:t xml:space="preserve">主要な臨床・画像検査の生理的変動、測定誤差、精度管理、ヒューマンエラーについて理解している。</w:t>
      </w:r>
    </w:p>
    <w:p>
      <w:pPr>
        <w:numPr>
          <w:ilvl w:val="0"/>
          <w:numId w:val="1038"/>
        </w:numPr>
        <w:pStyle w:val="Compact"/>
      </w:pPr>
      <w:r>
        <w:t xml:space="preserve">患者に応じた検査値特性を理解し、結果を解釈できる。</w:t>
      </w:r>
    </w:p>
    <w:bookmarkEnd w:id="74"/>
    <w:bookmarkStart w:id="75" w:name="治療計画経過の評価"/>
    <w:p>
      <w:pPr>
        <w:pStyle w:val="Heading3"/>
      </w:pPr>
      <w:r>
        <w:rPr>
          <w:rStyle w:val="SectionNumber"/>
        </w:rPr>
        <w:t xml:space="preserve">5.2.4</w:t>
      </w:r>
      <w:r>
        <w:tab/>
      </w:r>
      <w:r>
        <w:t xml:space="preserve">治療(計画・経過の評価)</w:t>
      </w:r>
    </w:p>
    <w:p>
      <w:pPr>
        <w:numPr>
          <w:ilvl w:val="0"/>
          <w:numId w:val="1039"/>
        </w:numPr>
        <w:pStyle w:val="Compact"/>
      </w:pPr>
      <w:r>
        <w:t xml:space="preserve">主要症候表. </w:t>
      </w:r>
      <w:r>
        <w:rPr>
          <w:bCs/>
          <w:b/>
        </w:rPr>
        <w:t xml:space="preserve">¿tbl:主要症候?</w:t>
      </w:r>
      <w:r>
        <w:t xml:space="preserve">について初期対応を計画し、専門的診療が必要かどうかを考えることができる。</w:t>
      </w:r>
    </w:p>
    <w:p>
      <w:pPr>
        <w:numPr>
          <w:ilvl w:val="0"/>
          <w:numId w:val="1039"/>
        </w:numPr>
        <w:pStyle w:val="Compact"/>
      </w:pPr>
      <w:r>
        <w:t xml:space="preserve">服薬の基本・アドヒアランスについて理解している。</w:t>
      </w:r>
    </w:p>
    <w:p>
      <w:pPr>
        <w:numPr>
          <w:ilvl w:val="0"/>
          <w:numId w:val="1039"/>
        </w:numPr>
        <w:pStyle w:val="Compact"/>
      </w:pPr>
      <w:r>
        <w:t xml:space="preserve">処方箋の下書きを作成することができる</w:t>
      </w:r>
    </w:p>
    <w:p>
      <w:pPr>
        <w:numPr>
          <w:ilvl w:val="0"/>
          <w:numId w:val="1039"/>
        </w:numPr>
        <w:pStyle w:val="Compact"/>
      </w:pPr>
      <w:r>
        <w:t xml:space="preserve">薬の薬理作用、適応、有害事象、投与時の注意事項について理解している。</w:t>
      </w:r>
    </w:p>
    <w:p>
      <w:pPr>
        <w:numPr>
          <w:ilvl w:val="0"/>
          <w:numId w:val="1039"/>
        </w:numPr>
        <w:pStyle w:val="Compact"/>
      </w:pPr>
      <w:r>
        <w:t xml:space="preserve">年齢や臓器障害に応じた薬物動態の特徴を考慮した薬剤投与の注意点について理解している。</w:t>
      </w:r>
    </w:p>
    <w:p>
      <w:pPr>
        <w:numPr>
          <w:ilvl w:val="0"/>
          <w:numId w:val="1039"/>
        </w:numPr>
        <w:pStyle w:val="Compact"/>
      </w:pPr>
      <w:r>
        <w:t xml:space="preserve">薬物動態的相互作用について理解している。</w:t>
      </w:r>
    </w:p>
    <w:p>
      <w:pPr>
        <w:numPr>
          <w:ilvl w:val="0"/>
          <w:numId w:val="1039"/>
        </w:numPr>
        <w:pStyle w:val="Compact"/>
      </w:pPr>
      <w:r>
        <w:t xml:space="preserve">使用禁忌、特定条件下での薬物使用（アンチ・ドーピング等）について理解している。</w:t>
      </w:r>
    </w:p>
    <w:p>
      <w:pPr>
        <w:numPr>
          <w:ilvl w:val="0"/>
          <w:numId w:val="1039"/>
        </w:numPr>
        <w:pStyle w:val="Compact"/>
      </w:pPr>
      <w:r>
        <w:t xml:space="preserve">主な薬物アレルギーの症候、診察、診断、予防策と対処法について理解している。</w:t>
      </w:r>
    </w:p>
    <w:p>
      <w:pPr>
        <w:numPr>
          <w:ilvl w:val="0"/>
          <w:numId w:val="1039"/>
        </w:numPr>
        <w:pStyle w:val="Compact"/>
      </w:pPr>
      <w:r>
        <w:t xml:space="preserve">薬物の蓄積、耐性、タキフィラキシー※、依存について理解している。</w:t>
      </w:r>
    </w:p>
    <w:p>
      <w:pPr>
        <w:numPr>
          <w:ilvl w:val="0"/>
          <w:numId w:val="1039"/>
        </w:numPr>
        <w:pStyle w:val="Compact"/>
      </w:pPr>
      <w:r>
        <w:t xml:space="preserve">抗腫瘍薬の適応、有害事象、投与時の注意事項について理解している。</w:t>
      </w:r>
    </w:p>
    <w:p>
      <w:pPr>
        <w:numPr>
          <w:ilvl w:val="0"/>
          <w:numId w:val="1039"/>
        </w:numPr>
        <w:pStyle w:val="Compact"/>
      </w:pPr>
      <w:r>
        <w:t xml:space="preserve">抗微生物薬の薬理作用、適応、有害事象、投与時の注意事項について理解している。</w:t>
      </w:r>
    </w:p>
    <w:p>
      <w:pPr>
        <w:numPr>
          <w:ilvl w:val="0"/>
          <w:numId w:val="1039"/>
        </w:numPr>
        <w:pStyle w:val="Compact"/>
      </w:pPr>
      <w:r>
        <w:t xml:space="preserve">麻薬性鎮痛薬・鎮静薬の適応、有害事象、投与時の注意事項について理解している。</w:t>
      </w:r>
    </w:p>
    <w:p>
      <w:pPr>
        <w:numPr>
          <w:ilvl w:val="0"/>
          <w:numId w:val="1039"/>
        </w:numPr>
        <w:pStyle w:val="Compact"/>
      </w:pPr>
      <w:r>
        <w:t xml:space="preserve">分子標的薬・バイオ医薬の薬理作用と有害事象について理解している。</w:t>
      </w:r>
    </w:p>
    <w:p>
      <w:pPr>
        <w:numPr>
          <w:ilvl w:val="0"/>
          <w:numId w:val="1039"/>
        </w:numPr>
        <w:pStyle w:val="Compact"/>
      </w:pPr>
      <w:r>
        <w:t xml:space="preserve">漢方医学の特徴や、主な和漢薬（漢方薬）の適応、薬理作用について理解している。</w:t>
      </w:r>
    </w:p>
    <w:p>
      <w:pPr>
        <w:numPr>
          <w:ilvl w:val="0"/>
          <w:numId w:val="1039"/>
        </w:numPr>
        <w:pStyle w:val="Compact"/>
      </w:pPr>
      <w:r>
        <w:t xml:space="preserve">主な放射線治療法の適応を理解している。</w:t>
      </w:r>
    </w:p>
    <w:p>
      <w:pPr>
        <w:numPr>
          <w:ilvl w:val="0"/>
          <w:numId w:val="1039"/>
        </w:numPr>
        <w:pStyle w:val="Compact"/>
      </w:pPr>
      <w:r>
        <w:t xml:space="preserve">インターベンショナルラジオロジー（IVR）※について理解している。</w:t>
      </w:r>
    </w:p>
    <w:p>
      <w:pPr>
        <w:numPr>
          <w:ilvl w:val="0"/>
          <w:numId w:val="1039"/>
        </w:numPr>
        <w:pStyle w:val="Compact"/>
      </w:pPr>
      <w:r>
        <w:t xml:space="preserve">内視鏡を用いる治療の概要を理解している。</w:t>
      </w:r>
    </w:p>
    <w:p>
      <w:pPr>
        <w:numPr>
          <w:ilvl w:val="0"/>
          <w:numId w:val="1039"/>
        </w:numPr>
        <w:pStyle w:val="Compact"/>
      </w:pPr>
      <w:r>
        <w:t xml:space="preserve">超音波を用いる治療の概要を理解している。</w:t>
      </w:r>
    </w:p>
    <w:p>
      <w:pPr>
        <w:numPr>
          <w:ilvl w:val="0"/>
          <w:numId w:val="1039"/>
        </w:numPr>
        <w:pStyle w:val="Compact"/>
      </w:pPr>
      <w:r>
        <w:t xml:space="preserve">被覆材の種類と適応、効果について理解している。</w:t>
      </w:r>
    </w:p>
    <w:p>
      <w:pPr>
        <w:numPr>
          <w:ilvl w:val="0"/>
          <w:numId w:val="1039"/>
        </w:numPr>
        <w:pStyle w:val="Compact"/>
      </w:pPr>
      <w:r>
        <w:t xml:space="preserve">外科的治療の適応と合併症について理解している。</w:t>
      </w:r>
    </w:p>
    <w:p>
      <w:pPr>
        <w:numPr>
          <w:ilvl w:val="0"/>
          <w:numId w:val="1039"/>
        </w:numPr>
        <w:pStyle w:val="Compact"/>
      </w:pPr>
      <w:r>
        <w:t xml:space="preserve">手術の危険因子とその対応の基本について理解している。</w:t>
      </w:r>
    </w:p>
    <w:p>
      <w:pPr>
        <w:numPr>
          <w:ilvl w:val="0"/>
          <w:numId w:val="1039"/>
        </w:numPr>
        <w:pStyle w:val="Compact"/>
      </w:pPr>
      <w:r>
        <w:t xml:space="preserve">主な術後合併症とその予防の基本について理解している。</w:t>
      </w:r>
    </w:p>
    <w:p>
      <w:pPr>
        <w:numPr>
          <w:ilvl w:val="0"/>
          <w:numId w:val="1039"/>
        </w:numPr>
        <w:pStyle w:val="Compact"/>
      </w:pPr>
      <w:r>
        <w:t xml:space="preserve">手術に関するインフォームド・コンセントの注意点について理解している。</w:t>
      </w:r>
    </w:p>
    <w:p>
      <w:pPr>
        <w:numPr>
          <w:ilvl w:val="0"/>
          <w:numId w:val="1039"/>
        </w:numPr>
        <w:pStyle w:val="Compact"/>
      </w:pPr>
      <w:r>
        <w:t xml:space="preserve">周術期における事前のリスク評価について理解している。</w:t>
      </w:r>
    </w:p>
    <w:p>
      <w:pPr>
        <w:numPr>
          <w:ilvl w:val="0"/>
          <w:numId w:val="1039"/>
        </w:numPr>
        <w:pStyle w:val="Compact"/>
      </w:pPr>
      <w:r>
        <w:t xml:space="preserve">周術期における主な薬剤の服薬管理（継続、中止等）の必要性とそれに伴うリスクについて理解している。</w:t>
      </w:r>
    </w:p>
    <w:p>
      <w:pPr>
        <w:numPr>
          <w:ilvl w:val="0"/>
          <w:numId w:val="1039"/>
        </w:numPr>
        <w:pStyle w:val="Compact"/>
      </w:pPr>
      <w:r>
        <w:t xml:space="preserve">周術期における輸液・輸血について理解している。</w:t>
      </w:r>
    </w:p>
    <w:p>
      <w:pPr>
        <w:numPr>
          <w:ilvl w:val="0"/>
          <w:numId w:val="1039"/>
        </w:numPr>
        <w:pStyle w:val="Compact"/>
      </w:pPr>
      <w:r>
        <w:t xml:space="preserve">周術期における疼痛の管理について理解している。</w:t>
      </w:r>
    </w:p>
    <w:p>
      <w:pPr>
        <w:numPr>
          <w:ilvl w:val="0"/>
          <w:numId w:val="1039"/>
        </w:numPr>
        <w:pStyle w:val="Compact"/>
      </w:pPr>
      <w:r>
        <w:t xml:space="preserve">局所麻酔、末梢神経ブロック、神経叢ブロック、脊髄くも膜下麻酔、硬膜外麻酔の適応、禁忌と合併症について理解している。</w:t>
      </w:r>
    </w:p>
    <w:p>
      <w:pPr>
        <w:numPr>
          <w:ilvl w:val="0"/>
          <w:numId w:val="1039"/>
        </w:numPr>
        <w:pStyle w:val="Compact"/>
      </w:pPr>
      <w:r>
        <w:t xml:space="preserve">麻酔管理を安全に行うための術前評価について理解している。</w:t>
      </w:r>
    </w:p>
    <w:p>
      <w:pPr>
        <w:numPr>
          <w:ilvl w:val="0"/>
          <w:numId w:val="1039"/>
        </w:numPr>
        <w:pStyle w:val="Compact"/>
      </w:pPr>
      <w:r>
        <w:t xml:space="preserve">安全な麻酔のためのモニタリングの方法、重要な異常所見と対処法について理解している。</w:t>
      </w:r>
    </w:p>
    <w:p>
      <w:pPr>
        <w:numPr>
          <w:ilvl w:val="0"/>
          <w:numId w:val="1039"/>
        </w:numPr>
        <w:pStyle w:val="Compact"/>
      </w:pPr>
      <w:r>
        <w:t xml:space="preserve">麻酔薬と筋弛緩薬の種類と使用上の原則について理解している。</w:t>
      </w:r>
    </w:p>
    <w:p>
      <w:pPr>
        <w:numPr>
          <w:ilvl w:val="0"/>
          <w:numId w:val="1039"/>
        </w:numPr>
        <w:pStyle w:val="Compact"/>
      </w:pPr>
      <w:r>
        <w:t xml:space="preserve">吸入麻酔と静脈麻酔の適応、禁忌、方法、事故と合併症について理解している。</w:t>
      </w:r>
    </w:p>
    <w:p>
      <w:pPr>
        <w:numPr>
          <w:ilvl w:val="0"/>
          <w:numId w:val="1039"/>
        </w:numPr>
        <w:pStyle w:val="Compact"/>
      </w:pPr>
      <w:r>
        <w:t xml:space="preserve">栄養アセスメント、栄養ケア・マネジメント、栄養サポートチーム（NST）、疾患別の栄養療法について理解している。</w:t>
      </w:r>
    </w:p>
    <w:p>
      <w:pPr>
        <w:numPr>
          <w:ilvl w:val="0"/>
          <w:numId w:val="1039"/>
        </w:numPr>
        <w:pStyle w:val="Compact"/>
      </w:pPr>
      <w:r>
        <w:t xml:space="preserve">経静脈栄養と経管・経腸栄養の適応、方法と合併症、長期投与時の注意事項について理解している。</w:t>
      </w:r>
    </w:p>
    <w:p>
      <w:pPr>
        <w:numPr>
          <w:ilvl w:val="0"/>
          <w:numId w:val="1039"/>
        </w:numPr>
        <w:pStyle w:val="Compact"/>
      </w:pPr>
      <w:r>
        <w:t xml:space="preserve">主な医療機器の種類と原理について理解している。</w:t>
      </w:r>
    </w:p>
    <w:p>
      <w:pPr>
        <w:numPr>
          <w:ilvl w:val="0"/>
          <w:numId w:val="1039"/>
        </w:numPr>
        <w:pStyle w:val="Compact"/>
      </w:pPr>
      <w:r>
        <w:t xml:space="preserve">主な人工臓器の種類と原理について理解している。</w:t>
      </w:r>
    </w:p>
    <w:p>
      <w:pPr>
        <w:numPr>
          <w:ilvl w:val="0"/>
          <w:numId w:val="1039"/>
        </w:numPr>
        <w:pStyle w:val="Compact"/>
      </w:pPr>
      <w:r>
        <w:t xml:space="preserve">血液製剤及び血漿分画製剤の種類と適応について理解している。</w:t>
      </w:r>
    </w:p>
    <w:p>
      <w:pPr>
        <w:numPr>
          <w:ilvl w:val="0"/>
          <w:numId w:val="1039"/>
        </w:numPr>
        <w:pStyle w:val="Compact"/>
      </w:pPr>
      <w:r>
        <w:t xml:space="preserve">輸血副反応、輸血使用記録保管義務、不適合輸血の防止手順について理解している。</w:t>
      </w:r>
    </w:p>
    <w:p>
      <w:pPr>
        <w:numPr>
          <w:ilvl w:val="0"/>
          <w:numId w:val="1039"/>
        </w:numPr>
        <w:pStyle w:val="Compact"/>
      </w:pPr>
      <w:r>
        <w:t xml:space="preserve">輸血の適正使用、成分輸血、自己血輸血、緊急時の輸血について理解している。</w:t>
      </w:r>
    </w:p>
    <w:p>
      <w:pPr>
        <w:numPr>
          <w:ilvl w:val="0"/>
          <w:numId w:val="1039"/>
        </w:numPr>
        <w:pStyle w:val="Compact"/>
      </w:pPr>
      <w:r>
        <w:t xml:space="preserve">移植医療（臓器移植、組織移植、造血幹細胞移植等）の我が国と世界の状況について理解している。</w:t>
      </w:r>
    </w:p>
    <w:p>
      <w:pPr>
        <w:numPr>
          <w:ilvl w:val="0"/>
          <w:numId w:val="1039"/>
        </w:numPr>
        <w:pStyle w:val="Compact"/>
      </w:pPr>
      <w:r>
        <w:t xml:space="preserve">終末期医療における臓器・組織提供選択提示の意義について理解している。</w:t>
      </w:r>
    </w:p>
    <w:p>
      <w:pPr>
        <w:numPr>
          <w:ilvl w:val="0"/>
          <w:numId w:val="1039"/>
        </w:numPr>
        <w:pStyle w:val="Compact"/>
      </w:pPr>
      <w:r>
        <w:t xml:space="preserve">移植における免疫応答（拒絶反応、移植片対宿主病）について理解している。</w:t>
      </w:r>
    </w:p>
    <w:p>
      <w:pPr>
        <w:numPr>
          <w:ilvl w:val="0"/>
          <w:numId w:val="1039"/>
        </w:numPr>
        <w:pStyle w:val="Compact"/>
      </w:pPr>
      <w:r>
        <w:t xml:space="preserve">移植後の免疫抑制について理解している。</w:t>
      </w:r>
    </w:p>
    <w:p>
      <w:pPr>
        <w:numPr>
          <w:ilvl w:val="0"/>
          <w:numId w:val="1039"/>
        </w:numPr>
        <w:pStyle w:val="Compact"/>
      </w:pPr>
      <w:r>
        <w:t xml:space="preserve">リハビリテーションの概念と適応について理解している。</w:t>
      </w:r>
    </w:p>
    <w:p>
      <w:pPr>
        <w:numPr>
          <w:ilvl w:val="0"/>
          <w:numId w:val="1039"/>
        </w:numPr>
        <w:pStyle w:val="Compact"/>
      </w:pPr>
      <w:r>
        <w:t xml:space="preserve">機能障害と日常生活動作（ADL）の評価ができる。</w:t>
      </w:r>
    </w:p>
    <w:p>
      <w:pPr>
        <w:numPr>
          <w:ilvl w:val="0"/>
          <w:numId w:val="1039"/>
        </w:numPr>
        <w:pStyle w:val="Compact"/>
      </w:pPr>
      <w:r>
        <w:t xml:space="preserve">理学療法、作業療法と言語聴覚療法について理解している。</w:t>
      </w:r>
    </w:p>
    <w:p>
      <w:pPr>
        <w:numPr>
          <w:ilvl w:val="0"/>
          <w:numId w:val="1039"/>
        </w:numPr>
        <w:pStyle w:val="Compact"/>
      </w:pPr>
      <w:r>
        <w:t xml:space="preserve">主な歩行補助具、車椅子、義肢（義手、義足）と装具について理解している。</w:t>
      </w:r>
    </w:p>
    <w:p>
      <w:pPr>
        <w:numPr>
          <w:ilvl w:val="0"/>
          <w:numId w:val="1039"/>
        </w:numPr>
        <w:pStyle w:val="Compact"/>
      </w:pPr>
      <w:r>
        <w:t xml:space="preserve">主要診療科表. </w:t>
      </w:r>
      <w:r>
        <w:rPr>
          <w:bCs/>
          <w:b/>
        </w:rPr>
        <w:t xml:space="preserve">¿tbl:主要診療科?</w:t>
      </w:r>
      <w:r>
        <w:t xml:space="preserve">の基本的な治療計画を立案できる。</w:t>
      </w:r>
    </w:p>
    <w:bookmarkEnd w:id="75"/>
    <w:bookmarkStart w:id="76" w:name="教育計画"/>
    <w:p>
      <w:pPr>
        <w:pStyle w:val="Heading3"/>
      </w:pPr>
      <w:r>
        <w:rPr>
          <w:rStyle w:val="SectionNumber"/>
        </w:rPr>
        <w:t xml:space="preserve">5.2.5</w:t>
      </w:r>
      <w:r>
        <w:tab/>
      </w:r>
      <w:r>
        <w:t xml:space="preserve">教育計画</w:t>
      </w:r>
    </w:p>
    <w:p>
      <w:pPr>
        <w:numPr>
          <w:ilvl w:val="0"/>
          <w:numId w:val="1040"/>
        </w:numPr>
        <w:pStyle w:val="Compact"/>
      </w:pPr>
      <w:r>
        <w:t xml:space="preserve">代表的な疾患における患者指導の計画を立案できる。</w:t>
      </w:r>
    </w:p>
    <w:bookmarkEnd w:id="76"/>
    <w:bookmarkEnd w:id="77"/>
    <w:bookmarkStart w:id="84"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78" w:name="検査手技"/>
    <w:p>
      <w:pPr>
        <w:pStyle w:val="Heading3"/>
      </w:pPr>
      <w:r>
        <w:rPr>
          <w:rStyle w:val="SectionNumber"/>
        </w:rPr>
        <w:t xml:space="preserve">5.3.1</w:t>
      </w:r>
      <w:r>
        <w:tab/>
      </w:r>
      <w:r>
        <w:t xml:space="preserve">検査手技</w:t>
      </w:r>
    </w:p>
    <w:p>
      <w:pPr>
        <w:numPr>
          <w:ilvl w:val="0"/>
          <w:numId w:val="1041"/>
        </w:numPr>
        <w:pStyle w:val="Compact"/>
      </w:pPr>
      <w:r>
        <w:t xml:space="preserve">検査に関する基本的臨床手技表. </w:t>
      </w:r>
      <w:r>
        <w:rPr>
          <w:bCs/>
          <w:b/>
        </w:rPr>
        <w:t xml:space="preserve">¿tbl:基本的臨床手技?</w:t>
      </w:r>
      <w:r>
        <w:t xml:space="preserve">を実施できる</w:t>
      </w:r>
    </w:p>
    <w:bookmarkEnd w:id="78"/>
    <w:bookmarkStart w:id="79" w:name="治療手技"/>
    <w:p>
      <w:pPr>
        <w:pStyle w:val="Heading3"/>
      </w:pPr>
      <w:r>
        <w:rPr>
          <w:rStyle w:val="SectionNumber"/>
        </w:rPr>
        <w:t xml:space="preserve">5.3.2</w:t>
      </w:r>
      <w:r>
        <w:tab/>
      </w:r>
      <w:r>
        <w:t xml:space="preserve">治療手技</w:t>
      </w:r>
    </w:p>
    <w:p>
      <w:pPr>
        <w:numPr>
          <w:ilvl w:val="0"/>
          <w:numId w:val="1042"/>
        </w:numPr>
        <w:pStyle w:val="Compact"/>
      </w:pPr>
      <w:r>
        <w:t xml:space="preserve">治療に関する基本的臨床手技表. </w:t>
      </w:r>
      <w:r>
        <w:rPr>
          <w:bCs/>
          <w:b/>
        </w:rPr>
        <w:t xml:space="preserve">¿tbl:基本的臨床手技?</w:t>
      </w:r>
      <w:r>
        <w:t xml:space="preserve">を実施できる。</w:t>
      </w:r>
    </w:p>
    <w:bookmarkEnd w:id="79"/>
    <w:bookmarkStart w:id="80" w:name="救急初期対応"/>
    <w:p>
      <w:pPr>
        <w:pStyle w:val="Heading3"/>
      </w:pPr>
      <w:r>
        <w:rPr>
          <w:rStyle w:val="SectionNumber"/>
        </w:rPr>
        <w:t xml:space="preserve">5.3.3</w:t>
      </w:r>
      <w:r>
        <w:tab/>
      </w:r>
      <w:r>
        <w:t xml:space="preserve">救急・初期対応</w:t>
      </w:r>
    </w:p>
    <w:p>
      <w:pPr>
        <w:numPr>
          <w:ilvl w:val="0"/>
          <w:numId w:val="1043"/>
        </w:numPr>
        <w:pStyle w:val="Compact"/>
      </w:pPr>
      <w:r>
        <w:t xml:space="preserve">バイタルサインや身体徴候から緊急性の高い状態にある患者を認識できる。</w:t>
      </w:r>
    </w:p>
    <w:p>
      <w:pPr>
        <w:numPr>
          <w:ilvl w:val="0"/>
          <w:numId w:val="1043"/>
        </w:numPr>
        <w:pStyle w:val="Compact"/>
      </w:pPr>
      <w:r>
        <w:t xml:space="preserve">一次救命処置を実施できる。</w:t>
      </w:r>
    </w:p>
    <w:p>
      <w:pPr>
        <w:numPr>
          <w:ilvl w:val="0"/>
          <w:numId w:val="1043"/>
        </w:numPr>
        <w:pStyle w:val="Compact"/>
      </w:pPr>
      <w:r>
        <w:t xml:space="preserve">頻度・緊急性の高い患者に対する初期対応（二次救命処置を含む）の実施を補助できる。</w:t>
      </w:r>
    </w:p>
    <w:p>
      <w:pPr>
        <w:numPr>
          <w:ilvl w:val="0"/>
          <w:numId w:val="1043"/>
        </w:numPr>
        <w:pStyle w:val="Compact"/>
      </w:pPr>
      <w:r>
        <w:t xml:space="preserve">外傷の病態生理と診断について理解している。</w:t>
      </w:r>
    </w:p>
    <w:p>
      <w:pPr>
        <w:numPr>
          <w:ilvl w:val="0"/>
          <w:numId w:val="1043"/>
        </w:numPr>
        <w:pStyle w:val="Compact"/>
      </w:pPr>
      <w:r>
        <w:t xml:space="preserve">外傷の初期対応の実施を補助できる。</w:t>
      </w:r>
    </w:p>
    <w:p>
      <w:pPr>
        <w:numPr>
          <w:ilvl w:val="0"/>
          <w:numId w:val="1043"/>
        </w:numPr>
        <w:pStyle w:val="Compact"/>
      </w:pPr>
      <w:r>
        <w:t xml:space="preserve">アナフィラキシーショックの対応を補助できる。</w:t>
      </w:r>
    </w:p>
    <w:bookmarkEnd w:id="80"/>
    <w:bookmarkStart w:id="81" w:name="書類の作成"/>
    <w:p>
      <w:pPr>
        <w:pStyle w:val="Heading3"/>
      </w:pPr>
      <w:r>
        <w:rPr>
          <w:rStyle w:val="SectionNumber"/>
        </w:rPr>
        <w:t xml:space="preserve">5.3.4</w:t>
      </w:r>
      <w:r>
        <w:tab/>
      </w:r>
      <w:r>
        <w:t xml:space="preserve">書類の作成</w:t>
      </w:r>
    </w:p>
    <w:p>
      <w:pPr>
        <w:numPr>
          <w:ilvl w:val="0"/>
          <w:numId w:val="1044"/>
        </w:numPr>
        <w:pStyle w:val="Compact"/>
      </w:pPr>
      <w:r>
        <w:t xml:space="preserve">各種診断書・証明書の下書きを作成できる。</w:t>
      </w:r>
    </w:p>
    <w:p>
      <w:pPr>
        <w:numPr>
          <w:ilvl w:val="0"/>
          <w:numId w:val="1044"/>
        </w:numPr>
        <w:pStyle w:val="Compact"/>
      </w:pPr>
      <w:r>
        <w:t xml:space="preserve">各種検案書の下書きを作成できる。</w:t>
      </w:r>
    </w:p>
    <w:bookmarkEnd w:id="81"/>
    <w:bookmarkStart w:id="82" w:name="患者ケアに必要な連携"/>
    <w:p>
      <w:pPr>
        <w:pStyle w:val="Heading3"/>
      </w:pPr>
      <w:r>
        <w:rPr>
          <w:rStyle w:val="SectionNumber"/>
        </w:rPr>
        <w:t xml:space="preserve">5.3.5</w:t>
      </w:r>
      <w:r>
        <w:tab/>
      </w:r>
      <w:r>
        <w:t xml:space="preserve">患者ケアに必要な連携</w:t>
      </w:r>
    </w:p>
    <w:p>
      <w:pPr>
        <w:numPr>
          <w:ilvl w:val="0"/>
          <w:numId w:val="1045"/>
        </w:numPr>
        <w:pStyle w:val="Compact"/>
      </w:pPr>
      <w:r>
        <w:t xml:space="preserve">主要診療科表. </w:t>
      </w:r>
      <w:r>
        <w:rPr>
          <w:bCs/>
          <w:b/>
        </w:rPr>
        <w:t xml:space="preserve">¿tbl:主要診療科?</w:t>
      </w:r>
      <w:r>
        <w:t xml:space="preserve">にどのようにコンサルテーションすればよいかを理解している。</w:t>
      </w:r>
    </w:p>
    <w:p>
      <w:pPr>
        <w:numPr>
          <w:ilvl w:val="0"/>
          <w:numId w:val="1045"/>
        </w:numPr>
        <w:pStyle w:val="Compact"/>
      </w:pPr>
      <w:r>
        <w:t xml:space="preserve">褥瘡の予防、評価、処置・治療について理解している。</w:t>
      </w:r>
    </w:p>
    <w:bookmarkEnd w:id="82"/>
    <w:bookmarkStart w:id="83" w:name="診療計画カンファレンス"/>
    <w:p>
      <w:pPr>
        <w:pStyle w:val="Heading3"/>
      </w:pPr>
      <w:r>
        <w:rPr>
          <w:rStyle w:val="SectionNumber"/>
        </w:rPr>
        <w:t xml:space="preserve">5.3.6</w:t>
      </w:r>
      <w:r>
        <w:tab/>
      </w:r>
      <w:r>
        <w:t xml:space="preserve">診療計画カンファレンス</w:t>
      </w:r>
    </w:p>
    <w:p>
      <w:pPr>
        <w:numPr>
          <w:ilvl w:val="0"/>
          <w:numId w:val="1046"/>
        </w:numPr>
        <w:pStyle w:val="Compact"/>
      </w:pPr>
      <w:r>
        <w:t xml:space="preserve">症例検討会において適切にプレゼンテーションできる。</w:t>
      </w:r>
    </w:p>
    <w:p>
      <w:pPr>
        <w:numPr>
          <w:ilvl w:val="0"/>
          <w:numId w:val="1046"/>
        </w:numPr>
        <w:pStyle w:val="Compact"/>
      </w:pPr>
      <w:r>
        <w:t xml:space="preserve">診察で得た情報を上級医にわかりやすく報告できる。</w:t>
      </w:r>
    </w:p>
    <w:bookmarkEnd w:id="83"/>
    <w:bookmarkEnd w:id="84"/>
    <w:bookmarkStart w:id="86"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85" w:name="振り返りカンファレンス"/>
    <w:p>
      <w:pPr>
        <w:pStyle w:val="Heading3"/>
      </w:pPr>
      <w:r>
        <w:rPr>
          <w:rStyle w:val="SectionNumber"/>
        </w:rPr>
        <w:t xml:space="preserve">5.4.1</w:t>
      </w:r>
      <w:r>
        <w:tab/>
      </w:r>
      <w:r>
        <w:t xml:space="preserve">振り返りカンファレンス</w:t>
      </w:r>
    </w:p>
    <w:p>
      <w:pPr>
        <w:numPr>
          <w:ilvl w:val="0"/>
          <w:numId w:val="1047"/>
        </w:numPr>
        <w:pStyle w:val="Compact"/>
      </w:pPr>
      <w:r>
        <w:t xml:space="preserve">M&amp;Mカンファレンスに参加して自身の意見を述べることができる。</w:t>
      </w:r>
    </w:p>
    <w:p>
      <w:pPr>
        <w:numPr>
          <w:ilvl w:val="0"/>
          <w:numId w:val="1047"/>
        </w:numPr>
        <w:pStyle w:val="Compact"/>
      </w:pPr>
      <w:r>
        <w:t xml:space="preserve">CPCに参加して自身の意見を述べることができる。</w:t>
      </w:r>
    </w:p>
    <w:bookmarkEnd w:id="85"/>
    <w:bookmarkEnd w:id="86"/>
    <w:bookmarkEnd w:id="87"/>
    <w:bookmarkStart w:id="97"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0"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88" w:name="患者家族への適切なコミュニケーションスキルの活用"/>
    <w:p>
      <w:pPr>
        <w:pStyle w:val="Heading3"/>
      </w:pPr>
      <w:r>
        <w:rPr>
          <w:rStyle w:val="SectionNumber"/>
        </w:rPr>
        <w:t xml:space="preserve">6.1.1</w:t>
      </w:r>
      <w:r>
        <w:tab/>
      </w:r>
      <w:r>
        <w:t xml:space="preserve">患者・家族への適切なコミュニケーションスキルの活用</w:t>
      </w:r>
    </w:p>
    <w:p>
      <w:pPr>
        <w:numPr>
          <w:ilvl w:val="0"/>
          <w:numId w:val="1048"/>
        </w:numPr>
        <w:pStyle w:val="Compact"/>
      </w:pPr>
      <w:r>
        <w:t xml:space="preserve">コミュニケーションが患者-医師間の互いの態度・行動や役割に及ぼす影響を考慮することができる</w:t>
      </w:r>
    </w:p>
    <w:p>
      <w:pPr>
        <w:numPr>
          <w:ilvl w:val="0"/>
          <w:numId w:val="1048"/>
        </w:numPr>
        <w:pStyle w:val="Compact"/>
      </w:pPr>
      <w:r>
        <w:t xml:space="preserve">言語的コミュニケーション技能を発揮して、良好な人間関係を築くことができる。</w:t>
      </w:r>
    </w:p>
    <w:p>
      <w:pPr>
        <w:numPr>
          <w:ilvl w:val="0"/>
          <w:numId w:val="1048"/>
        </w:numPr>
        <w:pStyle w:val="Compact"/>
      </w:pPr>
      <w:r>
        <w:t xml:space="preserve">非言語的コミュニケーション（身だしなみ、視線、表情、ジェスチャーなど）を意識できる。</w:t>
      </w:r>
    </w:p>
    <w:p>
      <w:pPr>
        <w:numPr>
          <w:ilvl w:val="0"/>
          <w:numId w:val="1048"/>
        </w:numPr>
        <w:pStyle w:val="Compact"/>
      </w:pPr>
      <w:r>
        <w:t xml:space="preserve">対人関係に関わる心理的要因（陽性感情・陰性感情等）を認識しながらコミュニケーションをとることができる。</w:t>
      </w:r>
    </w:p>
    <w:p>
      <w:pPr>
        <w:numPr>
          <w:ilvl w:val="0"/>
          <w:numId w:val="1048"/>
        </w:numPr>
        <w:pStyle w:val="Compact"/>
      </w:pPr>
      <w:r>
        <w:t xml:space="preserve">患者や家族に敬意を持った言葉遣いや態度で接することができる。</w:t>
      </w:r>
    </w:p>
    <w:bookmarkEnd w:id="88"/>
    <w:bookmarkStart w:id="89" w:name="患者の立場の尊重と苦痛への配慮"/>
    <w:p>
      <w:pPr>
        <w:pStyle w:val="Heading3"/>
      </w:pPr>
      <w:r>
        <w:rPr>
          <w:rStyle w:val="SectionNumber"/>
        </w:rPr>
        <w:t xml:space="preserve">6.1.2</w:t>
      </w:r>
      <w:r>
        <w:tab/>
      </w:r>
      <w:r>
        <w:t xml:space="preserve">患者の立場の尊重と苦痛への配慮</w:t>
      </w:r>
    </w:p>
    <w:p>
      <w:pPr>
        <w:numPr>
          <w:ilvl w:val="0"/>
          <w:numId w:val="1049"/>
        </w:numPr>
        <w:pStyle w:val="Compact"/>
      </w:pPr>
      <w:r>
        <w:t xml:space="preserve">患者や家族の精神的・身体的・社会的苦痛に十分配慮できる。</w:t>
      </w:r>
    </w:p>
    <w:p>
      <w:pPr>
        <w:numPr>
          <w:ilvl w:val="0"/>
          <w:numId w:val="1049"/>
        </w:numPr>
        <w:pStyle w:val="Compact"/>
      </w:pPr>
      <w:r>
        <w:t xml:space="preserve">患者や家族の話を傾聴し、怒りや悲しみ、不安などの感情を理解し、共感することができる</w:t>
      </w:r>
    </w:p>
    <w:bookmarkEnd w:id="89"/>
    <w:bookmarkEnd w:id="90"/>
    <w:bookmarkStart w:id="93"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91"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0"/>
        </w:numPr>
        <w:pStyle w:val="Compact"/>
      </w:pPr>
      <w:r>
        <w:t xml:space="preserve">患者や家族の多様性（高齢者、小児、障害者、LGBTQ、国籍、人種、文化・言語・慣習の違い等）に配慮してコミュニケーションをとることができる。</w:t>
      </w:r>
    </w:p>
    <w:p>
      <w:pPr>
        <w:numPr>
          <w:ilvl w:val="0"/>
          <w:numId w:val="1050"/>
        </w:numPr>
        <w:pStyle w:val="Compact"/>
      </w:pPr>
      <w:r>
        <w:t xml:space="preserve">患者の漠然とした不安を受け止め、不安を軽減するためにわかりやすい言葉で説明でき、や対話ができる。</w:t>
      </w:r>
    </w:p>
    <w:bookmarkEnd w:id="91"/>
    <w:bookmarkStart w:id="92" w:name="インフォームドコンセントの取得"/>
    <w:p>
      <w:pPr>
        <w:pStyle w:val="Heading3"/>
      </w:pPr>
      <w:r>
        <w:rPr>
          <w:rStyle w:val="SectionNumber"/>
        </w:rPr>
        <w:t xml:space="preserve">6.2.2</w:t>
      </w:r>
      <w:r>
        <w:tab/>
      </w:r>
      <w:r>
        <w:t xml:space="preserve">インフォームド・コンセントの取得</w:t>
      </w:r>
    </w:p>
    <w:p>
      <w:pPr>
        <w:numPr>
          <w:ilvl w:val="0"/>
          <w:numId w:val="1051"/>
        </w:numPr>
        <w:pStyle w:val="Compact"/>
      </w:pPr>
      <w:r>
        <w:t xml:space="preserve">患者が理解できるよう、できるだけ専門用語を使わずに、わかりやすく説明することができる。</w:t>
      </w:r>
    </w:p>
    <w:p>
      <w:pPr>
        <w:numPr>
          <w:ilvl w:val="0"/>
          <w:numId w:val="1051"/>
        </w:numPr>
        <w:pStyle w:val="Compact"/>
      </w:pPr>
      <w:r>
        <w:t xml:space="preserve">患者や家族と情報共有や意見の摺り合わせを行い、理解と同意を踏まえた意思決定を支援することができる。</w:t>
      </w:r>
    </w:p>
    <w:bookmarkEnd w:id="92"/>
    <w:bookmarkEnd w:id="93"/>
    <w:bookmarkStart w:id="96"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94"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52"/>
        </w:numPr>
        <w:pStyle w:val="Compact"/>
      </w:pPr>
      <w:r>
        <w:t xml:space="preserve">患者自身から情報が得られない場合、代理人や保護者等から必要な情報を得ることができる。</w:t>
      </w:r>
    </w:p>
    <w:bookmarkEnd w:id="94"/>
    <w:bookmarkStart w:id="95"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53"/>
        </w:numPr>
        <w:pStyle w:val="Compact"/>
      </w:pPr>
      <w:r>
        <w:t xml:space="preserve">医療の不確実性を理解した上で適切な行動や態度がとれる</w:t>
      </w:r>
    </w:p>
    <w:bookmarkEnd w:id="95"/>
    <w:bookmarkEnd w:id="96"/>
    <w:bookmarkEnd w:id="97"/>
    <w:bookmarkStart w:id="123"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03"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98" w:name="公衆衛生"/>
    <w:p>
      <w:pPr>
        <w:pStyle w:val="Heading3"/>
      </w:pPr>
      <w:r>
        <w:rPr>
          <w:rStyle w:val="SectionNumber"/>
        </w:rPr>
        <w:t xml:space="preserve">7.1.1</w:t>
      </w:r>
      <w:r>
        <w:tab/>
      </w:r>
      <w:r>
        <w:t xml:space="preserve">公衆衛生</w:t>
      </w:r>
    </w:p>
    <w:p>
      <w:pPr>
        <w:numPr>
          <w:ilvl w:val="0"/>
          <w:numId w:val="1054"/>
        </w:numPr>
        <w:pStyle w:val="Compact"/>
      </w:pPr>
      <w:r>
        <w:t xml:space="preserve">公衆衛生の概念を理解している。</w:t>
      </w:r>
    </w:p>
    <w:p>
      <w:pPr>
        <w:numPr>
          <w:ilvl w:val="0"/>
          <w:numId w:val="1054"/>
        </w:numPr>
        <w:pStyle w:val="Compact"/>
      </w:pPr>
      <w:r>
        <w:t xml:space="preserve">予防の段階とそれらの戦略を理解している。</w:t>
      </w:r>
    </w:p>
    <w:p>
      <w:pPr>
        <w:numPr>
          <w:ilvl w:val="0"/>
          <w:numId w:val="1054"/>
        </w:numPr>
        <w:pStyle w:val="Compact"/>
      </w:pPr>
      <w:r>
        <w:t xml:space="preserve">公衆衛生活動（健診、健康づくりイベント等）の意義を理解し、役割の一部を担うことができる。</w:t>
      </w:r>
    </w:p>
    <w:bookmarkEnd w:id="98"/>
    <w:bookmarkStart w:id="99" w:name="社会保険公的扶助社会福祉"/>
    <w:p>
      <w:pPr>
        <w:pStyle w:val="Heading3"/>
      </w:pPr>
      <w:r>
        <w:rPr>
          <w:rStyle w:val="SectionNumber"/>
        </w:rPr>
        <w:t xml:space="preserve">7.1.2</w:t>
      </w:r>
      <w:r>
        <w:tab/>
      </w:r>
      <w:r>
        <w:t xml:space="preserve">社会保険、公的扶助、社会福祉</w:t>
      </w:r>
    </w:p>
    <w:p>
      <w:pPr>
        <w:numPr>
          <w:ilvl w:val="0"/>
          <w:numId w:val="1055"/>
        </w:numPr>
        <w:pStyle w:val="Compact"/>
      </w:pPr>
      <w:r>
        <w:t xml:space="preserve">生存権等の健康に関する基本的人権と社会保障（社会保険、社会福祉、公的扶助）の意義と内容を理解している。</w:t>
      </w:r>
    </w:p>
    <w:p>
      <w:pPr>
        <w:numPr>
          <w:ilvl w:val="0"/>
          <w:numId w:val="1055"/>
        </w:numPr>
        <w:pStyle w:val="Compact"/>
      </w:pPr>
      <w:r>
        <w:t xml:space="preserve">国民皆保険としての医療保険、介護保険、年金保険を含む社会保険の仕組みと問題点を理解し、改善策を議論できる。</w:t>
      </w:r>
    </w:p>
    <w:p>
      <w:pPr>
        <w:numPr>
          <w:ilvl w:val="0"/>
          <w:numId w:val="1055"/>
        </w:numPr>
        <w:pStyle w:val="Compact"/>
      </w:pPr>
      <w:r>
        <w:t xml:space="preserve">障害者の日常生活及び社会生活を総合的に支援するための法律（障害者総合支援法）等の障害者福祉を理解している。</w:t>
      </w:r>
    </w:p>
    <w:bookmarkEnd w:id="99"/>
    <w:bookmarkStart w:id="100" w:name="地域保健"/>
    <w:p>
      <w:pPr>
        <w:pStyle w:val="Heading3"/>
      </w:pPr>
      <w:r>
        <w:rPr>
          <w:rStyle w:val="SectionNumber"/>
        </w:rPr>
        <w:t xml:space="preserve">7.1.3</w:t>
      </w:r>
      <w:r>
        <w:tab/>
      </w:r>
      <w:r>
        <w:t xml:space="preserve">地域保健</w:t>
      </w:r>
    </w:p>
    <w:p>
      <w:pPr>
        <w:numPr>
          <w:ilvl w:val="0"/>
          <w:numId w:val="1056"/>
        </w:numPr>
        <w:pStyle w:val="Compact"/>
      </w:pPr>
      <w:r>
        <w:t xml:space="preserve">保健所・市町村保健センター・地方衛生研究所の役割を理解している。</w:t>
      </w:r>
    </w:p>
    <w:p>
      <w:pPr>
        <w:numPr>
          <w:ilvl w:val="0"/>
          <w:numId w:val="1056"/>
        </w:numPr>
        <w:pStyle w:val="Compact"/>
      </w:pPr>
      <w:r>
        <w:t xml:space="preserve">健康増進法、栄養、身体活動、休養等の健康増進施策の意義と内容を理解している。</w:t>
      </w:r>
    </w:p>
    <w:p>
      <w:pPr>
        <w:numPr>
          <w:ilvl w:val="0"/>
          <w:numId w:val="1056"/>
        </w:numPr>
        <w:pStyle w:val="Compact"/>
      </w:pPr>
      <w:r>
        <w:t xml:space="preserve">地域保健に関連する基本的な制度や法律を理解している。</w:t>
      </w:r>
    </w:p>
    <w:bookmarkEnd w:id="100"/>
    <w:bookmarkStart w:id="101" w:name="産業保健環境保健"/>
    <w:p>
      <w:pPr>
        <w:pStyle w:val="Heading3"/>
      </w:pPr>
      <w:r>
        <w:rPr>
          <w:rStyle w:val="SectionNumber"/>
        </w:rPr>
        <w:t xml:space="preserve">7.1.4</w:t>
      </w:r>
      <w:r>
        <w:tab/>
      </w:r>
      <w:r>
        <w:t xml:space="preserve">産業保健・環境保健</w:t>
      </w:r>
    </w:p>
    <w:p>
      <w:pPr>
        <w:numPr>
          <w:ilvl w:val="0"/>
          <w:numId w:val="1057"/>
        </w:numPr>
        <w:pStyle w:val="Compact"/>
      </w:pPr>
      <w:r>
        <w:t xml:space="preserve">産業保健の意義、労働衛生の3管理等、産業保健の基本的な考え方を理解している。</w:t>
      </w:r>
    </w:p>
    <w:p>
      <w:pPr>
        <w:numPr>
          <w:ilvl w:val="0"/>
          <w:numId w:val="1057"/>
        </w:numPr>
        <w:pStyle w:val="Compact"/>
      </w:pPr>
      <w:r>
        <w:t xml:space="preserve">産業保健・環境保健に関連する基本的な制度や法律を理解している。</w:t>
      </w:r>
    </w:p>
    <w:p>
      <w:pPr>
        <w:numPr>
          <w:ilvl w:val="0"/>
          <w:numId w:val="1057"/>
        </w:numPr>
        <w:pStyle w:val="Compact"/>
      </w:pPr>
      <w:r>
        <w:t xml:space="preserve">労働災害及び職業性疾病とのその対策を理解している。</w:t>
      </w:r>
    </w:p>
    <w:p>
      <w:pPr>
        <w:numPr>
          <w:ilvl w:val="0"/>
          <w:numId w:val="1057"/>
        </w:numPr>
        <w:pStyle w:val="Compact"/>
      </w:pPr>
      <w:r>
        <w:t xml:space="preserve">有害物質による産業中毒とその対策を理解している。</w:t>
      </w:r>
    </w:p>
    <w:bookmarkEnd w:id="101"/>
    <w:bookmarkStart w:id="102" w:name="健康危機管理"/>
    <w:p>
      <w:pPr>
        <w:pStyle w:val="Heading3"/>
      </w:pPr>
      <w:r>
        <w:rPr>
          <w:rStyle w:val="SectionNumber"/>
        </w:rPr>
        <w:t xml:space="preserve">7.1.5</w:t>
      </w:r>
      <w:r>
        <w:tab/>
      </w:r>
      <w:r>
        <w:t xml:space="preserve">健康危機管理</w:t>
      </w:r>
    </w:p>
    <w:p>
      <w:pPr>
        <w:numPr>
          <w:ilvl w:val="0"/>
          <w:numId w:val="1058"/>
        </w:numPr>
        <w:pStyle w:val="Compact"/>
      </w:pPr>
      <w:r>
        <w:t xml:space="preserve">健康危機の概念と種類、それらへの対応（リスクコミュニケーションを含む）について理解している。</w:t>
      </w:r>
    </w:p>
    <w:p>
      <w:pPr>
        <w:numPr>
          <w:ilvl w:val="0"/>
          <w:numId w:val="1058"/>
        </w:numPr>
        <w:pStyle w:val="Compact"/>
      </w:pPr>
      <w:r>
        <w:t xml:space="preserve">健康危機管理（食品感染症、放射線事故、災害等さまざまな有事）に関連する基本的な制度や法律を理解している。</w:t>
      </w:r>
    </w:p>
    <w:p>
      <w:pPr>
        <w:numPr>
          <w:ilvl w:val="0"/>
          <w:numId w:val="1058"/>
        </w:numPr>
        <w:pStyle w:val="Compact"/>
      </w:pPr>
      <w:r>
        <w:t xml:space="preserve">災害拠点病院、種々の活動チーム等、災害保健医療の意義を理解している。</w:t>
      </w:r>
    </w:p>
    <w:bookmarkEnd w:id="102"/>
    <w:bookmarkEnd w:id="103"/>
    <w:bookmarkStart w:id="107"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04" w:name="保健統計"/>
    <w:p>
      <w:pPr>
        <w:pStyle w:val="Heading3"/>
      </w:pPr>
      <w:r>
        <w:rPr>
          <w:rStyle w:val="SectionNumber"/>
        </w:rPr>
        <w:t xml:space="preserve">7.2.1</w:t>
      </w:r>
      <w:r>
        <w:tab/>
      </w:r>
      <w:r>
        <w:t xml:space="preserve">保健統計</w:t>
      </w:r>
    </w:p>
    <w:p>
      <w:pPr>
        <w:numPr>
          <w:ilvl w:val="0"/>
          <w:numId w:val="1059"/>
        </w:numPr>
        <w:pStyle w:val="Compact"/>
      </w:pPr>
      <w:r>
        <w:t xml:space="preserve">主な人口統計（人口静態と人口動態）、疾病・障害の分類・統計（ICD等）を理解している。</w:t>
      </w:r>
    </w:p>
    <w:p>
      <w:pPr>
        <w:numPr>
          <w:ilvl w:val="0"/>
          <w:numId w:val="1059"/>
        </w:numPr>
        <w:pStyle w:val="Compact"/>
      </w:pPr>
      <w:r>
        <w:t xml:space="preserve">平均寿命、健康寿命について説明できる。</w:t>
      </w:r>
    </w:p>
    <w:bookmarkEnd w:id="104"/>
    <w:bookmarkStart w:id="105" w:name="疫学"/>
    <w:p>
      <w:pPr>
        <w:pStyle w:val="Heading3"/>
      </w:pPr>
      <w:r>
        <w:rPr>
          <w:rStyle w:val="SectionNumber"/>
        </w:rPr>
        <w:t xml:space="preserve">7.2.2</w:t>
      </w:r>
      <w:r>
        <w:tab/>
      </w:r>
      <w:r>
        <w:t xml:space="preserve">疫学</w:t>
      </w:r>
    </w:p>
    <w:p>
      <w:pPr>
        <w:numPr>
          <w:ilvl w:val="0"/>
          <w:numId w:val="1060"/>
        </w:numPr>
        <w:pStyle w:val="Compact"/>
      </w:pPr>
      <w:r>
        <w:t xml:space="preserve">公衆衛生と臨床の視点から見た疫学の役割を理解している。</w:t>
      </w:r>
    </w:p>
    <w:p>
      <w:pPr>
        <w:numPr>
          <w:ilvl w:val="0"/>
          <w:numId w:val="1060"/>
        </w:numPr>
        <w:pStyle w:val="Compact"/>
      </w:pPr>
      <w:r>
        <w:t xml:space="preserve">割合・比・率の違いおよび代表的な疫学指標（有病割合、リスク比、罹患率等）を理解している。</w:t>
      </w:r>
    </w:p>
    <w:p>
      <w:pPr>
        <w:numPr>
          <w:ilvl w:val="0"/>
          <w:numId w:val="1060"/>
        </w:numPr>
        <w:pStyle w:val="Compact"/>
      </w:pPr>
      <w:r>
        <w:t xml:space="preserve">主なバイアス・交絡を例示できる。</w:t>
      </w:r>
    </w:p>
    <w:p>
      <w:pPr>
        <w:numPr>
          <w:ilvl w:val="0"/>
          <w:numId w:val="1060"/>
        </w:numPr>
        <w:pStyle w:val="Compact"/>
      </w:pPr>
      <w:r>
        <w:t xml:space="preserve">年齢調整における直接法と間接法の違いを説明できる。</w:t>
      </w:r>
    </w:p>
    <w:p>
      <w:pPr>
        <w:numPr>
          <w:ilvl w:val="0"/>
          <w:numId w:val="1060"/>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060"/>
        </w:numPr>
        <w:pStyle w:val="Compact"/>
      </w:pPr>
      <w:r>
        <w:t xml:space="preserve">急性感染症に特異的な疫学的アプローチを理解している。</w:t>
      </w:r>
    </w:p>
    <w:p>
      <w:pPr>
        <w:numPr>
          <w:ilvl w:val="0"/>
          <w:numId w:val="1060"/>
        </w:numPr>
        <w:pStyle w:val="Compact"/>
      </w:pPr>
      <w:r>
        <w:t xml:space="preserve">エビデンスの限界を踏まえながら、集団に影響する意思決定を支援できる。</w:t>
      </w:r>
    </w:p>
    <w:bookmarkEnd w:id="105"/>
    <w:bookmarkStart w:id="106" w:name="データ解析と統計手法"/>
    <w:p>
      <w:pPr>
        <w:pStyle w:val="Heading3"/>
      </w:pPr>
      <w:r>
        <w:rPr>
          <w:rStyle w:val="SectionNumber"/>
        </w:rPr>
        <w:t xml:space="preserve">7.2.3</w:t>
      </w:r>
      <w:r>
        <w:tab/>
      </w:r>
      <w:r>
        <w:t xml:space="preserve">データ解析と統計手法</w:t>
      </w:r>
    </w:p>
    <w:p>
      <w:pPr>
        <w:numPr>
          <w:ilvl w:val="0"/>
          <w:numId w:val="1061"/>
        </w:numPr>
        <w:pStyle w:val="Compact"/>
      </w:pPr>
      <w:r>
        <w:t xml:space="preserve">尺度（間隔、比、順序、名義）について説明できる。</w:t>
      </w:r>
    </w:p>
    <w:p>
      <w:pPr>
        <w:numPr>
          <w:ilvl w:val="0"/>
          <w:numId w:val="1061"/>
        </w:numPr>
        <w:pStyle w:val="Compact"/>
      </w:pPr>
      <w:r>
        <w:t xml:space="preserve">データの分布（欠損値を含む）について説明できる。</w:t>
      </w:r>
    </w:p>
    <w:p>
      <w:pPr>
        <w:numPr>
          <w:ilvl w:val="0"/>
          <w:numId w:val="1061"/>
        </w:numPr>
        <w:pStyle w:val="Compact"/>
      </w:pPr>
      <w:r>
        <w:t xml:space="preserve">正規分布の母平均の信頼区間について説明できる。</w:t>
      </w:r>
    </w:p>
    <w:p>
      <w:pPr>
        <w:numPr>
          <w:ilvl w:val="0"/>
          <w:numId w:val="1061"/>
        </w:numPr>
        <w:pStyle w:val="Compact"/>
      </w:pPr>
      <w:r>
        <w:t xml:space="preserve">相関分析、平均値と割合の検定等を実施できる。</w:t>
      </w:r>
    </w:p>
    <w:p>
      <w:pPr>
        <w:numPr>
          <w:ilvl w:val="0"/>
          <w:numId w:val="1061"/>
        </w:numPr>
        <w:pStyle w:val="Compact"/>
      </w:pPr>
      <w:r>
        <w:t xml:space="preserve">多変量解析の意義を理解している。</w:t>
      </w:r>
    </w:p>
    <w:bookmarkEnd w:id="106"/>
    <w:bookmarkEnd w:id="107"/>
    <w:bookmarkStart w:id="109"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08" w:name="死と法"/>
    <w:p>
      <w:pPr>
        <w:pStyle w:val="Heading3"/>
      </w:pPr>
      <w:r>
        <w:rPr>
          <w:rStyle w:val="SectionNumber"/>
        </w:rPr>
        <w:t xml:space="preserve">7.3.1</w:t>
      </w:r>
      <w:r>
        <w:tab/>
      </w:r>
      <w:r>
        <w:t xml:space="preserve">死と法</w:t>
      </w:r>
    </w:p>
    <w:p>
      <w:pPr>
        <w:numPr>
          <w:ilvl w:val="0"/>
          <w:numId w:val="1062"/>
        </w:numPr>
        <w:pStyle w:val="Compact"/>
      </w:pPr>
      <w:r>
        <w:t xml:space="preserve">植物状態、脳死、心臓死及び脳死判定について理解している。</w:t>
      </w:r>
    </w:p>
    <w:p>
      <w:pPr>
        <w:numPr>
          <w:ilvl w:val="0"/>
          <w:numId w:val="1062"/>
        </w:numPr>
        <w:pStyle w:val="Compact"/>
      </w:pPr>
      <w:r>
        <w:t xml:space="preserve">異状死・異状死体の取扱いと死体検案について理解している。</w:t>
      </w:r>
    </w:p>
    <w:p>
      <w:pPr>
        <w:numPr>
          <w:ilvl w:val="0"/>
          <w:numId w:val="1062"/>
        </w:numPr>
        <w:pStyle w:val="Compact"/>
      </w:pPr>
      <w:r>
        <w:t xml:space="preserve">死亡診断書と死体検案書を作成できる。</w:t>
      </w:r>
    </w:p>
    <w:p>
      <w:pPr>
        <w:numPr>
          <w:ilvl w:val="0"/>
          <w:numId w:val="1062"/>
        </w:numPr>
        <w:pStyle w:val="Compact"/>
      </w:pPr>
      <w:r>
        <w:t xml:space="preserve">個人識別の方法を理解している。</w:t>
      </w:r>
    </w:p>
    <w:p>
      <w:pPr>
        <w:numPr>
          <w:ilvl w:val="0"/>
          <w:numId w:val="1062"/>
        </w:numPr>
        <w:pStyle w:val="Compact"/>
      </w:pPr>
      <w:r>
        <w:t xml:space="preserve">病理解剖、法医解剖（司法解剖、行政解剖、死因・身元調査法解剖、承諾解剖）について理解している。</w:t>
      </w:r>
    </w:p>
    <w:bookmarkEnd w:id="108"/>
    <w:bookmarkEnd w:id="109"/>
    <w:bookmarkStart w:id="117"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10" w:name="社会格差と医療"/>
    <w:p>
      <w:pPr>
        <w:pStyle w:val="Heading3"/>
      </w:pPr>
      <w:r>
        <w:rPr>
          <w:rStyle w:val="SectionNumber"/>
        </w:rPr>
        <w:t xml:space="preserve">7.4.1</w:t>
      </w:r>
      <w:r>
        <w:tab/>
      </w:r>
      <w:r>
        <w:t xml:space="preserve">社会格差と医療</w:t>
      </w:r>
    </w:p>
    <w:p>
      <w:pPr>
        <w:numPr>
          <w:ilvl w:val="0"/>
          <w:numId w:val="1063"/>
        </w:numPr>
        <w:pStyle w:val="Compact"/>
      </w:pPr>
      <w:r>
        <w:t xml:space="preserve">社会格差を解消するために社会に対して行動できる</w:t>
      </w:r>
    </w:p>
    <w:bookmarkEnd w:id="110"/>
    <w:bookmarkStart w:id="111" w:name="健康と医療"/>
    <w:p>
      <w:pPr>
        <w:pStyle w:val="Heading3"/>
      </w:pPr>
      <w:r>
        <w:rPr>
          <w:rStyle w:val="SectionNumber"/>
        </w:rPr>
        <w:t xml:space="preserve">7.4.2</w:t>
      </w:r>
      <w:r>
        <w:tab/>
      </w:r>
      <w:r>
        <w:t xml:space="preserve">健康と医療</w:t>
      </w:r>
    </w:p>
    <w:p>
      <w:pPr>
        <w:numPr>
          <w:ilvl w:val="0"/>
          <w:numId w:val="1064"/>
        </w:numPr>
        <w:pStyle w:val="Compact"/>
      </w:pPr>
      <w:r>
        <w:t xml:space="preserve">健康寿命を延ばすために働きかけを行うことができる。</w:t>
      </w:r>
    </w:p>
    <w:p>
      <w:pPr>
        <w:numPr>
          <w:ilvl w:val="0"/>
          <w:numId w:val="1064"/>
        </w:numPr>
        <w:pStyle w:val="Compact"/>
      </w:pPr>
      <w:r>
        <w:t xml:space="preserve">バリアフリー等の障害と社会環境に関連する概念を理解した行動をとることができる。</w:t>
      </w:r>
    </w:p>
    <w:bookmarkEnd w:id="111"/>
    <w:bookmarkStart w:id="112" w:name="ジェンダーと医療"/>
    <w:p>
      <w:pPr>
        <w:pStyle w:val="Heading3"/>
      </w:pPr>
      <w:r>
        <w:rPr>
          <w:rStyle w:val="SectionNumber"/>
        </w:rPr>
        <w:t xml:space="preserve">7.4.3</w:t>
      </w:r>
      <w:r>
        <w:tab/>
      </w:r>
      <w:r>
        <w:t xml:space="preserve">ジェンダーと医療</w:t>
      </w:r>
    </w:p>
    <w:p>
      <w:pPr>
        <w:numPr>
          <w:ilvl w:val="0"/>
          <w:numId w:val="1065"/>
        </w:numPr>
        <w:pStyle w:val="Compact"/>
      </w:pPr>
      <w:r>
        <w:t xml:space="preserve">ジェンダーの形成並びに性的指向及び性自認への配慮方法を理解している</w:t>
      </w:r>
    </w:p>
    <w:p>
      <w:pPr>
        <w:numPr>
          <w:ilvl w:val="0"/>
          <w:numId w:val="1065"/>
        </w:numPr>
        <w:pStyle w:val="Compact"/>
      </w:pPr>
      <w:r>
        <w:t xml:space="preserve">女性やLGBTQに対する差別等のジェンダー不平等をなくすために積極的な行動をとることができる。</w:t>
      </w:r>
    </w:p>
    <w:bookmarkEnd w:id="112"/>
    <w:bookmarkStart w:id="113" w:name="気候変動と医療"/>
    <w:p>
      <w:pPr>
        <w:pStyle w:val="Heading3"/>
      </w:pPr>
      <w:r>
        <w:rPr>
          <w:rStyle w:val="SectionNumber"/>
        </w:rPr>
        <w:t xml:space="preserve">7.4.4</w:t>
      </w:r>
      <w:r>
        <w:tab/>
      </w:r>
      <w:r>
        <w:t xml:space="preserve">気候変動と医療</w:t>
      </w:r>
    </w:p>
    <w:p>
      <w:pPr>
        <w:numPr>
          <w:ilvl w:val="0"/>
          <w:numId w:val="1066"/>
        </w:numPr>
        <w:pStyle w:val="Compact"/>
      </w:pPr>
      <w:r>
        <w:t xml:space="preserve">気候変動と医療との関係性を理解し、患者が抱える健康に関する課題と気候変動との関係を想像できる。</w:t>
      </w:r>
    </w:p>
    <w:p>
      <w:pPr>
        <w:numPr>
          <w:ilvl w:val="0"/>
          <w:numId w:val="1066"/>
        </w:numPr>
        <w:pStyle w:val="Compact"/>
      </w:pPr>
      <w:r>
        <w:t xml:space="preserve">自然災害（新興感染症を含む）が起きた際に必要とされる医師の役割を理解している。</w:t>
      </w:r>
    </w:p>
    <w:p>
      <w:pPr>
        <w:numPr>
          <w:ilvl w:val="0"/>
          <w:numId w:val="1066"/>
        </w:numPr>
        <w:pStyle w:val="Compact"/>
      </w:pPr>
      <w:r>
        <w:t xml:space="preserve">地球環境が抱える諸課題を認識し、その解決のために行動できる</w:t>
      </w:r>
    </w:p>
    <w:bookmarkEnd w:id="113"/>
    <w:bookmarkStart w:id="114" w:name="哲学倫理と医療"/>
    <w:p>
      <w:pPr>
        <w:pStyle w:val="Heading3"/>
      </w:pPr>
      <w:r>
        <w:rPr>
          <w:rStyle w:val="SectionNumber"/>
        </w:rPr>
        <w:t xml:space="preserve">7.4.5</w:t>
      </w:r>
      <w:r>
        <w:tab/>
      </w:r>
      <w:r>
        <w:t xml:space="preserve">哲学・倫理と医療</w:t>
      </w:r>
    </w:p>
    <w:p>
      <w:pPr>
        <w:numPr>
          <w:ilvl w:val="0"/>
          <w:numId w:val="1067"/>
        </w:numPr>
        <w:pStyle w:val="Compact"/>
      </w:pPr>
      <w:r>
        <w:t xml:space="preserve">現代思想・哲学の語彙を概説することができる</w:t>
      </w:r>
    </w:p>
    <w:p>
      <w:pPr>
        <w:numPr>
          <w:ilvl w:val="0"/>
          <w:numId w:val="1067"/>
        </w:numPr>
        <w:pStyle w:val="Compact"/>
      </w:pPr>
      <w:r>
        <w:t xml:space="preserve">診療現場における倫理的問題について、倫理学の考え方に依拠し、分析した上で、自身の考えを述べることができる。</w:t>
      </w:r>
    </w:p>
    <w:bookmarkEnd w:id="114"/>
    <w:bookmarkStart w:id="115" w:name="歴史と医学医療"/>
    <w:p>
      <w:pPr>
        <w:pStyle w:val="Heading3"/>
      </w:pPr>
      <w:r>
        <w:rPr>
          <w:rStyle w:val="SectionNumber"/>
        </w:rPr>
        <w:t xml:space="preserve">7.4.6</w:t>
      </w:r>
      <w:r>
        <w:tab/>
      </w:r>
      <w:r>
        <w:t xml:space="preserve">歴史と医学・医療</w:t>
      </w:r>
    </w:p>
    <w:p>
      <w:pPr>
        <w:numPr>
          <w:ilvl w:val="0"/>
          <w:numId w:val="1068"/>
        </w:numPr>
        <w:pStyle w:val="Compact"/>
      </w:pPr>
      <w:r>
        <w:t xml:space="preserve">医学・医療の歴史的変遷を踏まえ現代の医学的問題を相対化できる</w:t>
      </w:r>
    </w:p>
    <w:bookmarkEnd w:id="115"/>
    <w:bookmarkStart w:id="116" w:name="医療経済"/>
    <w:p>
      <w:pPr>
        <w:pStyle w:val="Heading3"/>
      </w:pPr>
      <w:r>
        <w:rPr>
          <w:rStyle w:val="SectionNumber"/>
        </w:rPr>
        <w:t xml:space="preserve">7.4.7</w:t>
      </w:r>
      <w:r>
        <w:tab/>
      </w:r>
      <w:r>
        <w:t xml:space="preserve">医療経済</w:t>
      </w:r>
    </w:p>
    <w:p>
      <w:pPr>
        <w:numPr>
          <w:ilvl w:val="0"/>
          <w:numId w:val="1069"/>
        </w:numPr>
        <w:pStyle w:val="Compact"/>
      </w:pPr>
      <w:r>
        <w:t xml:space="preserve">経済が医療に与える影響について理解している</w:t>
      </w:r>
    </w:p>
    <w:bookmarkEnd w:id="116"/>
    <w:bookmarkEnd w:id="117"/>
    <w:bookmarkStart w:id="120"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18" w:name="国内の医療職の役割や医療体制"/>
    <w:p>
      <w:pPr>
        <w:pStyle w:val="Heading3"/>
      </w:pPr>
      <w:r>
        <w:rPr>
          <w:rStyle w:val="SectionNumber"/>
        </w:rPr>
        <w:t xml:space="preserve">7.5.1</w:t>
      </w:r>
      <w:r>
        <w:tab/>
      </w:r>
      <w:r>
        <w:t xml:space="preserve">国内の医療職の役割や医療体制</w:t>
      </w:r>
    </w:p>
    <w:p>
      <w:pPr>
        <w:numPr>
          <w:ilvl w:val="0"/>
          <w:numId w:val="1070"/>
        </w:numPr>
        <w:pStyle w:val="Compact"/>
      </w:pPr>
      <w:r>
        <w:t xml:space="preserve">医師法が定める医師の職権と義務を理解している。</w:t>
      </w:r>
    </w:p>
    <w:p>
      <w:pPr>
        <w:numPr>
          <w:ilvl w:val="0"/>
          <w:numId w:val="1070"/>
        </w:numPr>
        <w:pStyle w:val="Compact"/>
      </w:pPr>
      <w:r>
        <w:t xml:space="preserve">医療職を規定する法律・制度を説明できる。</w:t>
      </w:r>
    </w:p>
    <w:p>
      <w:pPr>
        <w:numPr>
          <w:ilvl w:val="0"/>
          <w:numId w:val="1070"/>
        </w:numPr>
        <w:pStyle w:val="Compact"/>
      </w:pPr>
      <w:r>
        <w:t xml:space="preserve">医療法が定める医療施設の種類と機能について理解している。</w:t>
      </w:r>
    </w:p>
    <w:p>
      <w:pPr>
        <w:numPr>
          <w:ilvl w:val="0"/>
          <w:numId w:val="1070"/>
        </w:numPr>
        <w:pStyle w:val="Compact"/>
      </w:pPr>
      <w:r>
        <w:t xml:space="preserve">医療計画について理解している。</w:t>
      </w:r>
    </w:p>
    <w:p>
      <w:pPr>
        <w:numPr>
          <w:ilvl w:val="0"/>
          <w:numId w:val="1070"/>
        </w:numPr>
        <w:pStyle w:val="Compact"/>
      </w:pPr>
      <w:r>
        <w:t xml:space="preserve">地域医療提供体制に関する諸課題の相互関連性を理解している。</w:t>
      </w:r>
    </w:p>
    <w:p>
      <w:pPr>
        <w:numPr>
          <w:ilvl w:val="0"/>
          <w:numId w:val="1070"/>
        </w:numPr>
        <w:pStyle w:val="Compact"/>
      </w:pPr>
      <w:r>
        <w:t xml:space="preserve">医療提供体制と医師の働き方について自身の考えを述べることができる。</w:t>
      </w:r>
    </w:p>
    <w:bookmarkEnd w:id="118"/>
    <w:bookmarkStart w:id="119"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71"/>
        </w:numPr>
        <w:pStyle w:val="Compact"/>
      </w:pPr>
      <w:r>
        <w:t xml:space="preserve">国際的に取り組む必要のある医療・健康課題について、歴史・社会的背景を踏まえて、理解している。</w:t>
      </w:r>
    </w:p>
    <w:p>
      <w:pPr>
        <w:numPr>
          <w:ilvl w:val="0"/>
          <w:numId w:val="1071"/>
        </w:numPr>
        <w:pStyle w:val="Compact"/>
      </w:pPr>
      <w:r>
        <w:t xml:space="preserve">ユニバーサル・ヘルス・カバレッジ（UHC）の意義を理解し、世界各国の医療制度が抱える問題を例示できる。</w:t>
      </w:r>
    </w:p>
    <w:p>
      <w:pPr>
        <w:numPr>
          <w:ilvl w:val="0"/>
          <w:numId w:val="1071"/>
        </w:numPr>
        <w:pStyle w:val="Compact"/>
      </w:pPr>
      <w:r>
        <w:t xml:space="preserve">保健関連の国連開発目標や国際機関・国際協力に関わる組織・団体について概説できる。</w:t>
      </w:r>
    </w:p>
    <w:bookmarkEnd w:id="119"/>
    <w:bookmarkEnd w:id="120"/>
    <w:bookmarkStart w:id="122"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21" w:name="社会科学と医療との関係"/>
    <w:p>
      <w:pPr>
        <w:pStyle w:val="Heading3"/>
      </w:pPr>
      <w:r>
        <w:rPr>
          <w:rStyle w:val="SectionNumber"/>
        </w:rPr>
        <w:t xml:space="preserve">7.6.1</w:t>
      </w:r>
      <w:r>
        <w:tab/>
      </w:r>
      <w:r>
        <w:t xml:space="preserve">社会科学と医療との関係</w:t>
      </w:r>
    </w:p>
    <w:p>
      <w:pPr>
        <w:numPr>
          <w:ilvl w:val="0"/>
          <w:numId w:val="1072"/>
        </w:numPr>
        <w:pStyle w:val="Compact"/>
      </w:pPr>
      <w:r>
        <w:t xml:space="preserve">日常生活や外来診療・在宅療養・入院・施設入所等において、健康・病気・死の捉え方を探索できる。</w:t>
      </w:r>
    </w:p>
    <w:p>
      <w:pPr>
        <w:numPr>
          <w:ilvl w:val="0"/>
          <w:numId w:val="1072"/>
        </w:numPr>
        <w:pStyle w:val="Compact"/>
      </w:pPr>
      <w:r>
        <w:t xml:space="preserve">時代の流れ、社会の状況や諸制度との関わりのなかで医療に関する諸事象を捉え、構造的に説明できる。</w:t>
      </w:r>
    </w:p>
    <w:p>
      <w:pPr>
        <w:numPr>
          <w:ilvl w:val="0"/>
          <w:numId w:val="1072"/>
        </w:numPr>
        <w:pStyle w:val="Compact"/>
      </w:pPr>
      <w:r>
        <w:t xml:space="preserve">個や集団に及ぼす文化・慣習による影響（コミュニケーションのあり方等）を理解している。</w:t>
      </w:r>
    </w:p>
    <w:bookmarkEnd w:id="121"/>
    <w:bookmarkEnd w:id="122"/>
    <w:bookmarkEnd w:id="123"/>
    <w:bookmarkStart w:id="124" w:name="別表"/>
    <w:p>
      <w:pPr>
        <w:pStyle w:val="Heading1"/>
      </w:pPr>
      <w:r>
        <w:rPr>
          <w:rStyle w:val="SectionNumber"/>
        </w:rPr>
        <w:t xml:space="preserve">8</w:t>
      </w:r>
      <w:r>
        <w:tab/>
      </w:r>
      <w:r>
        <w:t xml:space="preserve">別表</w:t>
      </w:r>
    </w:p>
    <w:bookmarkEnd w:id="1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2022-03-11T23:08:28Z</dcterms:created>
  <dcterms:modified xsi:type="dcterms:W3CDTF">2022-03-11T23:08:28Z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