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主要症候tbl. </w:t>
      </w:r>
      <w:r>
        <w:rPr>
          <w:bCs/>
          <w:b/>
        </w:rPr>
        <w:t xml:space="preserve">¿tbl:主要症候?</w:t>
      </w:r>
      <w:r>
        <w:t xml:space="preserve">について原因と病態生理を理解している。</w:t>
      </w:r>
    </w:p>
    <w:p>
      <w:pPr>
        <w:numPr>
          <w:ilvl w:val="0"/>
          <w:numId w:val="1078"/>
        </w:numPr>
        <w:pStyle w:val="Compact"/>
      </w:pPr>
      <w:r>
        <w:t xml:space="preserve">主要症候tbl. </w:t>
      </w:r>
      <w:r>
        <w:rPr>
          <w:bCs/>
          <w:b/>
        </w:rPr>
        <w:t xml:space="preserve">¿tbl:主要症候?</w:t>
      </w:r>
      <w:r>
        <w:t xml:space="preserve">について鑑別診断を検討し、診断の要点を説明できる。</w:t>
      </w:r>
    </w:p>
    <w:p>
      <w:pPr>
        <w:numPr>
          <w:ilvl w:val="0"/>
          <w:numId w:val="1078"/>
        </w:numPr>
        <w:pStyle w:val="Compact"/>
      </w:pPr>
      <w:r>
        <w:t xml:space="preserve">主要診療科tbl. </w:t>
      </w:r>
      <w:r>
        <w:rPr>
          <w:bCs/>
          <w:b/>
        </w:rPr>
        <w:t xml:space="preserve">¿tbl:主要診療科?</w:t>
      </w:r>
      <w:r>
        <w:t xml:space="preserve">で主訴からの診断推論を組み立てられる。</w:t>
      </w:r>
    </w:p>
    <w:p>
      <w:pPr>
        <w:numPr>
          <w:ilvl w:val="0"/>
          <w:numId w:val="1078"/>
        </w:numPr>
        <w:pStyle w:val="Compact"/>
      </w:pPr>
      <w:r>
        <w:t xml:space="preserve">主要診療科tbl. </w:t>
      </w:r>
      <w:r>
        <w:rPr>
          <w:bCs/>
          <w:b/>
        </w:rPr>
        <w:t xml:space="preserve">¿tbl:主要診療科?</w:t>
      </w:r>
      <w:r>
        <w:t xml:space="preserve">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主要な臨床・画像検査tbl. </w:t>
      </w:r>
      <w:r>
        <w:rPr>
          <w:bCs/>
          <w:b/>
        </w:rPr>
        <w:t xml:space="preserve">¿tbl:主要な臨床?</w:t>
      </w:r>
      <w:r>
        <w:t xml:space="preserve">・画像検査の目的と適応を理解し、解釈できる。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2022-03-31T17:15:23Z</dcterms:created>
  <dcterms:modified xsi:type="dcterms:W3CDTF">2022-03-31T17:15:23Z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