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部位毎の身体診察tbl. </w:t>
      </w:r>
      <w:r>
        <w:rPr>
          <w:bCs/>
          <w:b/>
        </w:rPr>
        <w:t xml:space="preserve">¿tbl:身体診察?</w:t>
      </w:r>
      <w:r>
        <w:t xml:space="preserve">ができる。</w:t>
      </w:r>
    </w:p>
    <w:p>
      <w:pPr>
        <w:numPr>
          <w:ilvl w:val="0"/>
          <w:numId w:val="1035"/>
        </w:numPr>
        <w:pStyle w:val="Compact"/>
      </w:pPr>
      <w:r>
        <w:t xml:space="preserve">主要診療科tbl. </w:t>
      </w:r>
      <w:r>
        <w:rPr>
          <w:bCs/>
          <w:b/>
        </w:rPr>
        <w:t xml:space="preserve">¿tbl:主要診療科?</w:t>
      </w:r>
      <w:r>
        <w:t xml:space="preserve">において必要な診察ができる。</w:t>
      </w:r>
    </w:p>
    <w:p>
      <w:pPr>
        <w:numPr>
          <w:ilvl w:val="0"/>
          <w:numId w:val="1035"/>
        </w:numPr>
        <w:pStyle w:val="Compact"/>
      </w:pPr>
      <w:r>
        <w:t xml:space="preserve">主要な臨床・画像検査tbl.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主要症候tbl.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主要診療科tbl. </w:t>
      </w:r>
      <w:r>
        <w:rPr>
          <w:bCs/>
          <w:b/>
        </w:rPr>
        <w:t xml:space="preserve">¿tbl:主要診療科?</w:t>
      </w:r>
      <w:r>
        <w:t xml:space="preserve">で主訴からの診断推論を組み立てられる。</w:t>
      </w:r>
    </w:p>
    <w:p>
      <w:pPr>
        <w:numPr>
          <w:ilvl w:val="0"/>
          <w:numId w:val="1037"/>
        </w:numPr>
        <w:pStyle w:val="Compact"/>
      </w:pPr>
      <w:r>
        <w:t xml:space="preserve">主要診療科tbl.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主要診療科tbl.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検査に関する基本的臨床手技tbl.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治療に関する基本的臨床手技tbl.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2022-03-12T17:10:21Z</dcterms:created>
  <dcterms:modified xsi:type="dcterms:W3CDTF">2022-03-12T17:10:21Z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