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法令遵守ならびに人権尊重し、医学研究者として正しく行動する。</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部位毎の身体診察(表[身体診察])ができる。</w:t>
      </w:r>
    </w:p>
    <w:p>
      <w:pPr>
        <w:numPr>
          <w:ilvl w:val="0"/>
          <w:numId w:val="1076"/>
        </w:numPr>
        <w:pStyle w:val="Compact"/>
      </w:pPr>
      <w:r>
        <w:t xml:space="preserve">主要診療科(表[主要診療科])において必要な診察ができる。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主要な臨床・画像検査(表[主要な臨床・画像検査])の正しい検体採取方法と検体保存方法を理解している。</w:t>
      </w:r>
    </w:p>
    <w:p>
      <w:pPr>
        <w:numPr>
          <w:ilvl w:val="0"/>
          <w:numId w:val="1079"/>
        </w:numPr>
        <w:pStyle w:val="Compact"/>
      </w:pPr>
      <w:r>
        <w:t xml:space="preserve">主要な臨床・画像検査(表[主要な臨床・画像検査])の安全な実施方法（患者確認と検体確認、検査の合併症、感染症予防、精度管理）を理解している。</w:t>
      </w:r>
    </w:p>
    <w:p>
      <w:pPr>
        <w:numPr>
          <w:ilvl w:val="0"/>
          <w:numId w:val="1079"/>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主要な臨床・画像検査(表[主要な臨床・画像検査])の生理的変動、測定誤差、精度管理、ヒューマンエラーについて理解している。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主要症候(表[主要症候])について初期対応を計画し、専門的診療が必要かどうかを考えることができる。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主要診療科(表[主要診療科])の基本的な治療計画を立案できる。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検査に関する基本的臨床手技(表[基本的臨床手技])を実施できる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治療に関する基本的臨床手技(表[基本的臨床手技])を実施できる。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主要診療科(表[主要診療科])にどのようにコンサルテーションすればよいかを理解している。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2022-04-11T13:24:57Z</dcterms:created>
  <dcterms:modified xsi:type="dcterms:W3CDTF">2022-04-11T13:24:57Z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