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 )を実施できる。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 、尊厳死と安楽死、治療の中止と差し控えの概念の知識を臨床現場で活用できる。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 control team )、感染対策マニュアル等)を理解し、積極的に参加できる。</w:t>
      </w:r>
    </w:p>
    <w:p>
      <w:pPr>
        <w:numPr>
          <w:ilvl w:val="0"/>
          <w:numId w:val="1030"/>
        </w:numPr>
        <w:pStyle w:val="Compact"/>
      </w:pPr>
      <w:r>
        <w:t xml:space="preserve">標準予防策〈standard 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 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 operating characteristic 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 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 )の評価ができる。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 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 症候群、アルドステロン過剰症、原発性アルドステロン症、副腎不全(急性・慢性&lt;Addison 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 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 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 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 syndrome &lt;ARDS&gt;)、肺血栓塞栓症、肺高血圧症（原発性・二次性）、肺動静脈瘻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 de 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 病）、痔核・痔瘻、機能性消化管障害（過敏性腸症候群）、腸管憩室症（大腸憩室炎・大腸憩室出血）、薬物性腸炎、消化管ポリポーシス、先天性疾患(鎖肛・Hirschsprung 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 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 感染症、胃ポリープ、急性胃粘膜病変、急性胃腸炎、慢性胃炎、胃切除後症候群、機能性消化管障害（機能性ディスペプシア(functional 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 &lt;GERD&gt;)、逆流性食道炎、Mallory-Weiss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 &lt;FSH&gt;)、黄体形成ホルモン(luteinizing hormone &lt;LH&gt;)、プロラクチン、ヒト絨毛性ゴナドトロピン(human chorionic 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 &lt;HSG&gt;)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 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 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 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 アミロイド腎症, 膠原病類縁疾患(ループス腎炎・血管炎症候群), 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 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 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 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2022-02-27T15:06:41Z</dcterms:created>
  <dcterms:modified xsi:type="dcterms:W3CDTF">2022-02-27T15:06:41Z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