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医学教育モデル・コア・カリキュラム</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31" w:name="プロフェッショナリズム"/>
    <w:p>
      <w:pPr>
        <w:pStyle w:val="Heading1"/>
      </w:pPr>
      <w:r>
        <w:rPr>
          <w:rStyle w:val="SectionNumber"/>
        </w:rPr>
        <w:t xml:space="preserve">1</w:t>
      </w:r>
      <w:r>
        <w:tab/>
      </w:r>
      <w:r>
        <w:t xml:space="preserve">プロフェッショナリズム</w:t>
      </w:r>
    </w:p>
    <w:p>
      <w:pPr>
        <w:pStyle w:val="FirstParagraph"/>
      </w:pPr>
      <w:r>
        <w:t xml:space="preserve">人の命に深く関わり健康を守るという医師の職責を十分に自覚し、多様性・人間性を尊重し、利他的な態度で診療にあたりながら、医師としての道を究めていく。</w:t>
      </w:r>
    </w:p>
    <w:bookmarkStart w:id="24" w:name="信頼"/>
    <w:p>
      <w:pPr>
        <w:pStyle w:val="Heading2"/>
      </w:pPr>
      <w:r>
        <w:rPr>
          <w:rStyle w:val="SectionNumber"/>
        </w:rPr>
        <w:t xml:space="preserve">1.1</w:t>
      </w:r>
      <w:r>
        <w:tab/>
      </w:r>
      <w:r>
        <w:t xml:space="preserve">信頼</w:t>
      </w:r>
    </w:p>
    <w:p>
      <w:pPr>
        <w:pStyle w:val="FirstParagraph"/>
      </w:pPr>
      <w:r>
        <w:t xml:space="preserve">誠実に振る舞い、自ら省察し、患者の自律性を尊重するとともに、説明責任を果たす</w:t>
      </w:r>
    </w:p>
    <w:bookmarkStart w:id="20" w:name="誠実さ"/>
    <w:p>
      <w:pPr>
        <w:pStyle w:val="Heading3"/>
      </w:pPr>
      <w:r>
        <w:rPr>
          <w:rStyle w:val="SectionNumber"/>
        </w:rPr>
        <w:t xml:space="preserve">1.1.1</w:t>
      </w:r>
      <w:r>
        <w:tab/>
      </w:r>
      <w:r>
        <w:t xml:space="preserve">誠実さ</w:t>
      </w:r>
    </w:p>
    <w:p>
      <w:pPr>
        <w:numPr>
          <w:ilvl w:val="0"/>
          <w:numId w:val="1001"/>
        </w:numPr>
        <w:pStyle w:val="Compact"/>
      </w:pPr>
      <w:r>
        <w:t xml:space="preserve">患者や社会に対して誠実であるとはどういうことか考え適切に行動することができる。</w:t>
      </w:r>
    </w:p>
    <w:p>
      <w:pPr>
        <w:numPr>
          <w:ilvl w:val="0"/>
          <w:numId w:val="1001"/>
        </w:numPr>
        <w:pStyle w:val="Compact"/>
      </w:pPr>
      <w:r>
        <w:t xml:space="preserve">社会から信頼される専門職集団の一員であるためにはどうすれば良いか考え適切に行動することができる。</w:t>
      </w:r>
    </w:p>
    <w:p>
      <w:pPr>
        <w:numPr>
          <w:ilvl w:val="0"/>
          <w:numId w:val="1001"/>
        </w:numPr>
        <w:pStyle w:val="Compact"/>
      </w:pPr>
      <w:r>
        <w:t xml:space="preserve">削除：どのように行動すれば守秘義務を遵守できるか？</w:t>
      </w:r>
    </w:p>
    <w:bookmarkEnd w:id="20"/>
    <w:bookmarkStart w:id="21" w:name="省察"/>
    <w:p>
      <w:pPr>
        <w:pStyle w:val="Heading3"/>
      </w:pPr>
      <w:r>
        <w:rPr>
          <w:rStyle w:val="SectionNumber"/>
        </w:rPr>
        <w:t xml:space="preserve">1.1.2</w:t>
      </w:r>
      <w:r>
        <w:tab/>
      </w:r>
      <w:r>
        <w:t xml:space="preserve">省察</w:t>
      </w:r>
    </w:p>
    <w:p>
      <w:pPr>
        <w:numPr>
          <w:ilvl w:val="0"/>
          <w:numId w:val="1002"/>
        </w:numPr>
        <w:pStyle w:val="Compact"/>
      </w:pPr>
      <w:r>
        <w:t xml:space="preserve">自分自身の限界を適切に認識し行動できる。</w:t>
      </w:r>
    </w:p>
    <w:p>
      <w:pPr>
        <w:numPr>
          <w:ilvl w:val="0"/>
          <w:numId w:val="1002"/>
        </w:numPr>
        <w:pStyle w:val="Compact"/>
      </w:pPr>
      <w:r>
        <w:t xml:space="preserve">他者からのフィードバックを適切に受け入れることができる。</w:t>
      </w:r>
    </w:p>
    <w:bookmarkEnd w:id="21"/>
    <w:bookmarkStart w:id="22" w:name="説明責任"/>
    <w:p>
      <w:pPr>
        <w:pStyle w:val="Heading3"/>
      </w:pPr>
      <w:r>
        <w:rPr>
          <w:rStyle w:val="SectionNumber"/>
        </w:rPr>
        <w:t xml:space="preserve">1.1.3</w:t>
      </w:r>
      <w:r>
        <w:tab/>
      </w:r>
      <w:r>
        <w:t xml:space="preserve">説明責任</w:t>
      </w:r>
    </w:p>
    <w:p>
      <w:pPr>
        <w:numPr>
          <w:ilvl w:val="0"/>
          <w:numId w:val="1003"/>
        </w:numPr>
        <w:pStyle w:val="Compact"/>
      </w:pPr>
      <w:r>
        <w:t xml:space="preserve">わかりやすく正確な説明とはどのようなものか理解できる。</w:t>
      </w:r>
    </w:p>
    <w:bookmarkEnd w:id="22"/>
    <w:bookmarkStart w:id="23" w:name="自律性の尊重"/>
    <w:p>
      <w:pPr>
        <w:pStyle w:val="Heading3"/>
      </w:pPr>
      <w:r>
        <w:rPr>
          <w:rStyle w:val="SectionNumber"/>
        </w:rPr>
        <w:t xml:space="preserve">1.1.4</w:t>
      </w:r>
      <w:r>
        <w:tab/>
      </w:r>
      <w:r>
        <w:t xml:space="preserve">自律性の尊重</w:t>
      </w:r>
    </w:p>
    <w:p>
      <w:pPr>
        <w:numPr>
          <w:ilvl w:val="0"/>
          <w:numId w:val="1004"/>
        </w:numPr>
        <w:pStyle w:val="Compact"/>
      </w:pPr>
      <w:r>
        <w:t xml:space="preserve">患者の意思決定支援の方法を理解している。</w:t>
      </w:r>
    </w:p>
    <w:bookmarkEnd w:id="23"/>
    <w:bookmarkEnd w:id="24"/>
    <w:bookmarkStart w:id="28" w:name="思いやり"/>
    <w:p>
      <w:pPr>
        <w:pStyle w:val="Heading2"/>
      </w:pPr>
      <w:r>
        <w:rPr>
          <w:rStyle w:val="SectionNumber"/>
        </w:rPr>
        <w:t xml:space="preserve">1.2</w:t>
      </w:r>
      <w:r>
        <w:tab/>
      </w:r>
      <w:r>
        <w:t xml:space="preserve">思いやり</w:t>
      </w:r>
    </w:p>
    <w:p>
      <w:pPr>
        <w:pStyle w:val="FirstParagraph"/>
      </w:pPr>
      <w:r>
        <w:t xml:space="preserve">品格と礼儀を持って、他者を適切に理解し、思いやりを持って接する</w:t>
      </w:r>
    </w:p>
    <w:bookmarkStart w:id="25" w:name="思いやり-1"/>
    <w:p>
      <w:pPr>
        <w:pStyle w:val="Heading3"/>
      </w:pPr>
      <w:r>
        <w:rPr>
          <w:rStyle w:val="SectionNumber"/>
        </w:rPr>
        <w:t xml:space="preserve">1.2.1</w:t>
      </w:r>
      <w:r>
        <w:tab/>
      </w:r>
      <w:r>
        <w:t xml:space="preserve">思いやり</w:t>
      </w:r>
    </w:p>
    <w:p>
      <w:pPr>
        <w:numPr>
          <w:ilvl w:val="0"/>
          <w:numId w:val="1005"/>
        </w:numPr>
        <w:pStyle w:val="Compact"/>
      </w:pPr>
      <w:r>
        <w:t xml:space="preserve">患者を含めた他者に思いやりをもって接することができる。</w:t>
      </w:r>
    </w:p>
    <w:p>
      <w:pPr>
        <w:numPr>
          <w:ilvl w:val="0"/>
          <w:numId w:val="1005"/>
        </w:numPr>
        <w:pStyle w:val="Compact"/>
      </w:pPr>
      <w:r>
        <w:t xml:space="preserve">利他を優先できない状況について考えを述べることができる。</w:t>
      </w:r>
    </w:p>
    <w:p>
      <w:pPr>
        <w:numPr>
          <w:ilvl w:val="0"/>
          <w:numId w:val="1005"/>
        </w:numPr>
        <w:pStyle w:val="Compact"/>
      </w:pPr>
      <w:r>
        <w:t xml:space="preserve">削除：自分自身の精神的・身体的健康をどのように管理すればよいか？以下について考え続けそして適切に行動できる：</w:t>
      </w:r>
    </w:p>
    <w:bookmarkEnd w:id="25"/>
    <w:bookmarkStart w:id="26" w:name="他者理解と自己理解"/>
    <w:p>
      <w:pPr>
        <w:pStyle w:val="Heading3"/>
      </w:pPr>
      <w:r>
        <w:rPr>
          <w:rStyle w:val="SectionNumber"/>
        </w:rPr>
        <w:t xml:space="preserve">1.2.2</w:t>
      </w:r>
      <w:r>
        <w:tab/>
      </w:r>
      <w:r>
        <w:t xml:space="preserve">他者理解と自己理解</w:t>
      </w:r>
    </w:p>
    <w:p>
      <w:pPr>
        <w:numPr>
          <w:ilvl w:val="0"/>
          <w:numId w:val="1006"/>
        </w:numPr>
        <w:pStyle w:val="Compact"/>
      </w:pPr>
      <w:r>
        <w:t xml:space="preserve">他者を理解するとはどういうことか考えを述べることができる。</w:t>
      </w:r>
    </w:p>
    <w:p>
      <w:pPr>
        <w:numPr>
          <w:ilvl w:val="0"/>
          <w:numId w:val="1006"/>
        </w:numPr>
        <w:pStyle w:val="Compact"/>
      </w:pPr>
      <w:r>
        <w:t xml:space="preserve">他者を適切に理解するための妨げとなる自分や自集団の偏見を意識することができる。</w:t>
      </w:r>
    </w:p>
    <w:bookmarkEnd w:id="26"/>
    <w:bookmarkStart w:id="27" w:name="品格礼儀"/>
    <w:p>
      <w:pPr>
        <w:pStyle w:val="Heading3"/>
      </w:pPr>
      <w:r>
        <w:rPr>
          <w:rStyle w:val="SectionNumber"/>
        </w:rPr>
        <w:t xml:space="preserve">1.2.3</w:t>
      </w:r>
      <w:r>
        <w:tab/>
      </w:r>
      <w:r>
        <w:t xml:space="preserve">品格・礼儀</w:t>
      </w:r>
    </w:p>
    <w:p>
      <w:pPr>
        <w:numPr>
          <w:ilvl w:val="0"/>
          <w:numId w:val="1007"/>
        </w:numPr>
        <w:pStyle w:val="Compact"/>
      </w:pPr>
      <w:r>
        <w:t xml:space="preserve">医師に求められる品格について考え適切に行動できる。</w:t>
      </w:r>
    </w:p>
    <w:p>
      <w:pPr>
        <w:numPr>
          <w:ilvl w:val="0"/>
          <w:numId w:val="1007"/>
        </w:numPr>
        <w:pStyle w:val="Compact"/>
      </w:pPr>
      <w:r>
        <w:t xml:space="preserve">礼儀正しさについて考え適切に行動できる。</w:t>
      </w:r>
    </w:p>
    <w:bookmarkEnd w:id="27"/>
    <w:bookmarkEnd w:id="28"/>
    <w:bookmarkStart w:id="30" w:name="社会正義"/>
    <w:p>
      <w:pPr>
        <w:pStyle w:val="Heading2"/>
      </w:pPr>
      <w:r>
        <w:rPr>
          <w:rStyle w:val="SectionNumber"/>
        </w:rPr>
        <w:t xml:space="preserve">1.3</w:t>
      </w:r>
      <w:r>
        <w:tab/>
      </w:r>
      <w:r>
        <w:t xml:space="preserve">社会正義</w:t>
      </w:r>
    </w:p>
    <w:p>
      <w:pPr>
        <w:pStyle w:val="FirstParagraph"/>
      </w:pPr>
      <w:r>
        <w:t xml:space="preserve">社会的公正を実現する</w:t>
      </w:r>
    </w:p>
    <w:bookmarkStart w:id="29" w:name="医療資源の公平な分配"/>
    <w:p>
      <w:pPr>
        <w:pStyle w:val="Heading3"/>
      </w:pPr>
      <w:r>
        <w:rPr>
          <w:rStyle w:val="SectionNumber"/>
        </w:rPr>
        <w:t xml:space="preserve">1.3.1</w:t>
      </w:r>
      <w:r>
        <w:tab/>
      </w:r>
      <w:r>
        <w:t xml:space="preserve">医療資源の公平な分配</w:t>
      </w:r>
    </w:p>
    <w:p>
      <w:pPr>
        <w:numPr>
          <w:ilvl w:val="0"/>
          <w:numId w:val="1008"/>
        </w:numPr>
        <w:pStyle w:val="Compact"/>
      </w:pPr>
      <w:r>
        <w:t xml:space="preserve">医療資源を公平に分配するとはどういうことか考えを述べることができる。</w:t>
      </w:r>
    </w:p>
    <w:bookmarkEnd w:id="29"/>
    <w:bookmarkEnd w:id="30"/>
    <w:bookmarkEnd w:id="31"/>
    <w:bookmarkStart w:id="54" w:name="総合的に患者生活者をみる姿勢"/>
    <w:p>
      <w:pPr>
        <w:pStyle w:val="Heading1"/>
      </w:pPr>
      <w:r>
        <w:rPr>
          <w:rStyle w:val="SectionNumber"/>
        </w:rPr>
        <w:t xml:space="preserve">2</w:t>
      </w:r>
      <w:r>
        <w:tab/>
      </w:r>
      <w:r>
        <w:t xml:space="preserve">総合的に患者・生活者をみる姿勢</w:t>
      </w:r>
    </w:p>
    <w:p>
      <w:pPr>
        <w:pStyle w:val="FirstParagraph"/>
      </w:pPr>
      <w:r>
        <w:t xml:space="preserve">患者の抱える問題を臓器横断的に捉えた上で、心理社会的背景も踏まえ、ニーズに応じて柔軟に自身の専門領域にとどまらずに診療を行い、個人と社会のウェルビーイングを実現する。</w:t>
      </w:r>
    </w:p>
    <w:bookmarkStart w:id="38" w:name="全人的な視点とアプローチ"/>
    <w:p>
      <w:pPr>
        <w:pStyle w:val="Heading2"/>
      </w:pPr>
      <w:r>
        <w:rPr>
          <w:rStyle w:val="SectionNumber"/>
        </w:rPr>
        <w:t xml:space="preserve">2.1</w:t>
      </w:r>
      <w:r>
        <w:tab/>
      </w:r>
      <w:r>
        <w:t xml:space="preserve">全人的な視点とアプローチ</w:t>
      </w:r>
    </w:p>
    <w:p>
      <w:pPr>
        <w:pStyle w:val="FirstParagraph"/>
      </w:pPr>
      <w:r>
        <w:t xml:space="preserve">患者の抱える問題を臓器横断的だけでなく心理・社会的視点で捉え、専門領域にとどまらない姿勢で責任をもって診療に関わり、最善の意思決定や行動科学に基づく臨床実践に関与できる。</w:t>
      </w:r>
    </w:p>
    <w:bookmarkStart w:id="32" w:name="臓器横断的な診療"/>
    <w:p>
      <w:pPr>
        <w:pStyle w:val="Heading3"/>
      </w:pPr>
      <w:r>
        <w:rPr>
          <w:rStyle w:val="SectionNumber"/>
        </w:rPr>
        <w:t xml:space="preserve">2.1.1</w:t>
      </w:r>
      <w:r>
        <w:tab/>
      </w:r>
      <w:r>
        <w:t xml:space="preserve">臓器横断的な診療</w:t>
      </w:r>
    </w:p>
    <w:p>
      <w:pPr>
        <w:numPr>
          <w:ilvl w:val="0"/>
          <w:numId w:val="1009"/>
        </w:numPr>
        <w:pStyle w:val="Compact"/>
      </w:pPr>
      <w:r>
        <w:t xml:space="preserve">臓器横断的に医学的課題を捉えることができる。</w:t>
      </w:r>
    </w:p>
    <w:p>
      <w:pPr>
        <w:numPr>
          <w:ilvl w:val="0"/>
          <w:numId w:val="1009"/>
        </w:numPr>
        <w:pStyle w:val="Compact"/>
      </w:pPr>
      <w:r>
        <w:t xml:space="preserve">適切な医療機関や診療科につなぐ重要性について概説できる。</w:t>
      </w:r>
    </w:p>
    <w:p>
      <w:pPr>
        <w:numPr>
          <w:ilvl w:val="0"/>
          <w:numId w:val="1009"/>
        </w:numPr>
        <w:pStyle w:val="Compact"/>
      </w:pPr>
      <w:r>
        <w:t xml:space="preserve">基本的なフレームワーク（解剖学的アプローチ、病態生理学的アプローチ、二重過程理論、事前確率など）を用いて臨床推論を行うことができる。</w:t>
      </w:r>
    </w:p>
    <w:p>
      <w:pPr>
        <w:numPr>
          <w:ilvl w:val="0"/>
          <w:numId w:val="1009"/>
        </w:numPr>
        <w:pStyle w:val="Compact"/>
      </w:pPr>
      <w:r>
        <w:t xml:space="preserve">主訴に応じて必要な医療面接・身体診察・検査をすることができる。</w:t>
      </w:r>
    </w:p>
    <w:p>
      <w:pPr>
        <w:numPr>
          <w:ilvl w:val="0"/>
          <w:numId w:val="1009"/>
        </w:numPr>
        <w:pStyle w:val="Compact"/>
      </w:pPr>
      <w:r>
        <w:t xml:space="preserve">診断がつかない健康問題やその介入方法を概説できる。</w:t>
      </w:r>
    </w:p>
    <w:p>
      <w:pPr>
        <w:numPr>
          <w:ilvl w:val="0"/>
          <w:numId w:val="1009"/>
        </w:numPr>
        <w:pStyle w:val="Compact"/>
      </w:pPr>
      <w:r>
        <w:t xml:space="preserve">多疾患併存や複数臓器にまたがる疾患やその介入方法を概説できる。</w:t>
      </w:r>
    </w:p>
    <w:p>
      <w:pPr>
        <w:numPr>
          <w:ilvl w:val="0"/>
          <w:numId w:val="1009"/>
        </w:numPr>
        <w:pStyle w:val="Compact"/>
      </w:pPr>
      <w:r>
        <w:t xml:space="preserve">ポリファーマシーやその介入方法を概説できる。</w:t>
      </w:r>
    </w:p>
    <w:bookmarkEnd w:id="32"/>
    <w:bookmarkStart w:id="33" w:name="生物心理社会的な問題への包括的な視点"/>
    <w:p>
      <w:pPr>
        <w:pStyle w:val="Heading3"/>
      </w:pPr>
      <w:r>
        <w:rPr>
          <w:rStyle w:val="SectionNumber"/>
        </w:rPr>
        <w:t xml:space="preserve">2.1.2</w:t>
      </w:r>
      <w:r>
        <w:tab/>
      </w:r>
      <w:r>
        <w:t xml:space="preserve">生物・心理・社会的な問題への包括的な視点</w:t>
      </w:r>
    </w:p>
    <w:p>
      <w:pPr>
        <w:numPr>
          <w:ilvl w:val="0"/>
          <w:numId w:val="1010"/>
        </w:numPr>
        <w:pStyle w:val="Compact"/>
      </w:pPr>
      <w:r>
        <w:t xml:space="preserve">身体・心理・社会の問題を統合したアプローチについて概説できる。</w:t>
      </w:r>
    </w:p>
    <w:p>
      <w:pPr>
        <w:numPr>
          <w:ilvl w:val="0"/>
          <w:numId w:val="1010"/>
        </w:numPr>
        <w:pStyle w:val="Compact"/>
      </w:pPr>
      <w:r>
        <w:t xml:space="preserve">個人・家族の双方への影響を踏まえたアプローチについて概説できる。</w:t>
      </w:r>
    </w:p>
    <w:p>
      <w:pPr>
        <w:numPr>
          <w:ilvl w:val="0"/>
          <w:numId w:val="1010"/>
        </w:numPr>
        <w:pStyle w:val="Compact"/>
      </w:pPr>
      <w:r>
        <w:t xml:space="preserve">性別、国籍、障害、宗教など多様な背景を持つ患者の価値観を尊重できる。</w:t>
      </w:r>
    </w:p>
    <w:p>
      <w:pPr>
        <w:numPr>
          <w:ilvl w:val="0"/>
          <w:numId w:val="1010"/>
        </w:numPr>
        <w:pStyle w:val="Compact"/>
      </w:pPr>
      <w:r>
        <w:t xml:space="preserve">削除:トラウマインフォームドケアの対応について概説できる。：コンテクストを確認（春田先生）</w:t>
      </w:r>
    </w:p>
    <w:bookmarkEnd w:id="33"/>
    <w:bookmarkStart w:id="34" w:name="患者中心の医療"/>
    <w:p>
      <w:pPr>
        <w:pStyle w:val="Heading3"/>
      </w:pPr>
      <w:r>
        <w:rPr>
          <w:rStyle w:val="SectionNumber"/>
        </w:rPr>
        <w:t xml:space="preserve">2.1.3</w:t>
      </w:r>
      <w:r>
        <w:tab/>
      </w:r>
      <w:r>
        <w:t xml:space="preserve">患者中心の医療</w:t>
      </w:r>
    </w:p>
    <w:p>
      <w:pPr>
        <w:numPr>
          <w:ilvl w:val="0"/>
          <w:numId w:val="1011"/>
        </w:numPr>
        <w:pStyle w:val="Compact"/>
      </w:pPr>
      <w:r>
        <w:t xml:space="preserve">個々の患者の医療への期待、解釈モデル、健康観を聞き出すことができる。</w:t>
      </w:r>
    </w:p>
    <w:p>
      <w:pPr>
        <w:numPr>
          <w:ilvl w:val="0"/>
          <w:numId w:val="1011"/>
        </w:numPr>
        <w:pStyle w:val="Compact"/>
      </w:pPr>
      <w:r>
        <w:t xml:space="preserve">患者の社会的背景（経済的・制度的側面など）が病いに及ぼす影響を概説できる。</w:t>
      </w:r>
    </w:p>
    <w:p>
      <w:pPr>
        <w:numPr>
          <w:ilvl w:val="0"/>
          <w:numId w:val="1011"/>
        </w:numPr>
        <w:pStyle w:val="Compact"/>
      </w:pPr>
      <w:r>
        <w:t xml:space="preserve">医療者と患者が診療上の共通の理解基盤を築くための方法を概説できる。</w:t>
      </w:r>
    </w:p>
    <w:p>
      <w:pPr>
        <w:numPr>
          <w:ilvl w:val="0"/>
          <w:numId w:val="1011"/>
        </w:numPr>
        <w:pStyle w:val="Compact"/>
      </w:pPr>
      <w:r>
        <w:t xml:space="preserve">削除:患者中心性が医療の質に及ぼす影響を概説できる。</w:t>
      </w:r>
    </w:p>
    <w:p>
      <w:pPr>
        <w:numPr>
          <w:ilvl w:val="0"/>
          <w:numId w:val="1011"/>
        </w:numPr>
        <w:pStyle w:val="Compact"/>
      </w:pPr>
      <w:r>
        <w:t xml:space="preserve">医療の継続性（時間・情報・関係など）がもたらす影響について概説できる。</w:t>
      </w:r>
    </w:p>
    <w:bookmarkEnd w:id="34"/>
    <w:bookmarkStart w:id="35" w:name="根拠に基づいた医療"/>
    <w:p>
      <w:pPr>
        <w:pStyle w:val="Heading3"/>
      </w:pPr>
      <w:r>
        <w:rPr>
          <w:rStyle w:val="SectionNumber"/>
        </w:rPr>
        <w:t xml:space="preserve">2.1.4</w:t>
      </w:r>
      <w:r>
        <w:tab/>
      </w:r>
      <w:r>
        <w:t xml:space="preserve">根拠に基づいた医療</w:t>
      </w:r>
    </w:p>
    <w:p>
      <w:pPr>
        <w:numPr>
          <w:ilvl w:val="0"/>
          <w:numId w:val="1012"/>
        </w:numPr>
        <w:pStyle w:val="Compact"/>
      </w:pPr>
      <w:r>
        <w:t xml:space="preserve">根拠に基づいた医療</w:t>
      </w:r>
      <w:r>
        <w:t xml:space="preserve">の5つのステップを列挙できる。</w:t>
      </w:r>
    </w:p>
    <w:p>
      <w:pPr>
        <w:numPr>
          <w:ilvl w:val="0"/>
          <w:numId w:val="1012"/>
        </w:numPr>
        <w:pStyle w:val="Compact"/>
      </w:pPr>
      <w:r>
        <w:t xml:space="preserve">Patient, population, problem, intervention (exposure), comparison, outcome &lt;PICO (PECO)&gt;を用いた問題の定式化ができる。</w:t>
      </w:r>
    </w:p>
    <w:p>
      <w:pPr>
        <w:numPr>
          <w:ilvl w:val="0"/>
          <w:numId w:val="1012"/>
        </w:numPr>
        <w:pStyle w:val="Compact"/>
      </w:pPr>
      <w:r>
        <w:t xml:space="preserve">データベースや二次文献からのエビデンス、診療ガイドラインを検索することができる。</w:t>
      </w:r>
    </w:p>
    <w:p>
      <w:pPr>
        <w:numPr>
          <w:ilvl w:val="0"/>
          <w:numId w:val="1012"/>
        </w:numPr>
        <w:pStyle w:val="Compact"/>
      </w:pPr>
      <w:r>
        <w:t xml:space="preserve">得られたエビデンスの批判的吟味ができる。</w:t>
      </w:r>
    </w:p>
    <w:p>
      <w:pPr>
        <w:numPr>
          <w:ilvl w:val="0"/>
          <w:numId w:val="1012"/>
        </w:numPr>
        <w:pStyle w:val="Compact"/>
      </w:pPr>
      <w:r>
        <w:t xml:space="preserve">診療ガイドラインの種類と使用上の注意を列挙できる。</w:t>
      </w:r>
    </w:p>
    <w:p>
      <w:pPr>
        <w:numPr>
          <w:ilvl w:val="0"/>
          <w:numId w:val="1012"/>
        </w:numPr>
        <w:pStyle w:val="Compact"/>
      </w:pPr>
      <w:r>
        <w:t xml:space="preserve">診療ガイドラインの推奨の強さについて違いを説明できる。</w:t>
      </w:r>
    </w:p>
    <w:p>
      <w:pPr>
        <w:numPr>
          <w:ilvl w:val="0"/>
          <w:numId w:val="1012"/>
        </w:numPr>
        <w:pStyle w:val="Compact"/>
      </w:pPr>
      <w:r>
        <w:t xml:space="preserve">得られたエビデンスを臨床実習で関わっている患者に適用できる。</w:t>
      </w:r>
    </w:p>
    <w:bookmarkEnd w:id="35"/>
    <w:bookmarkStart w:id="36" w:name="行動科学"/>
    <w:p>
      <w:pPr>
        <w:pStyle w:val="Heading3"/>
      </w:pPr>
      <w:r>
        <w:rPr>
          <w:rStyle w:val="SectionNumber"/>
        </w:rPr>
        <w:t xml:space="preserve">2.1.5</w:t>
      </w:r>
      <w:r>
        <w:tab/>
      </w:r>
      <w:r>
        <w:t xml:space="preserve">行動科学</w:t>
      </w:r>
    </w:p>
    <w:p>
      <w:pPr>
        <w:numPr>
          <w:ilvl w:val="0"/>
          <w:numId w:val="1013"/>
        </w:numPr>
        <w:pStyle w:val="Compact"/>
      </w:pPr>
      <w:r>
        <w:t xml:space="preserve">行動科学に関する知識・理論・面接法を予防医療、診断、治療、ケアに適用することができる。</w:t>
      </w:r>
    </w:p>
    <w:p>
      <w:pPr>
        <w:numPr>
          <w:ilvl w:val="0"/>
          <w:numId w:val="1013"/>
        </w:numPr>
        <w:pStyle w:val="Compact"/>
      </w:pPr>
      <w:r>
        <w:t xml:space="preserve">適切な環境調整や認知行動療法を提案できる。</w:t>
      </w:r>
    </w:p>
    <w:p>
      <w:pPr>
        <w:numPr>
          <w:ilvl w:val="0"/>
          <w:numId w:val="1013"/>
        </w:numPr>
        <w:pStyle w:val="Compact"/>
      </w:pPr>
      <w:r>
        <w:t xml:space="preserve">削除：動機付けや行動変容に関する理論を踏まえ、行動変容を促す面接の知識を臨床現場で活用できる。</w:t>
      </w:r>
    </w:p>
    <w:p>
      <w:pPr>
        <w:numPr>
          <w:ilvl w:val="0"/>
          <w:numId w:val="1013"/>
        </w:numPr>
        <w:pStyle w:val="Compact"/>
      </w:pPr>
      <w:r>
        <w:t xml:space="preserve">健康に関する行動経済学の知識を活用できる。</w:t>
      </w:r>
    </w:p>
    <w:p>
      <w:pPr>
        <w:numPr>
          <w:ilvl w:val="0"/>
          <w:numId w:val="1013"/>
        </w:numPr>
        <w:pStyle w:val="Compact"/>
      </w:pPr>
      <w:r>
        <w:t xml:space="preserve">削除：人々の行動予測を踏まえ、医療行動経済学の視点から望ましい選択肢を選びやすくなるような仕組みを提案できる。</w:t>
      </w:r>
    </w:p>
    <w:bookmarkEnd w:id="36"/>
    <w:bookmarkStart w:id="37" w:name="緩和ケア"/>
    <w:p>
      <w:pPr>
        <w:pStyle w:val="Heading3"/>
      </w:pPr>
      <w:r>
        <w:rPr>
          <w:rStyle w:val="SectionNumber"/>
        </w:rPr>
        <w:t xml:space="preserve">2.1.6</w:t>
      </w:r>
      <w:r>
        <w:tab/>
      </w:r>
      <w:r>
        <w:t xml:space="preserve">緩和ケア</w:t>
      </w:r>
    </w:p>
    <w:p>
      <w:pPr>
        <w:numPr>
          <w:ilvl w:val="0"/>
          <w:numId w:val="1014"/>
        </w:numPr>
        <w:pStyle w:val="Compact"/>
      </w:pPr>
      <w:r>
        <w:t xml:space="preserve">緩和ケアの概念を理解した上で、全人的苦痛（身体的苦痛、心理社会的苦痛、スピリチュアルペイン）を評価できる。</w:t>
      </w:r>
    </w:p>
    <w:p>
      <w:pPr>
        <w:numPr>
          <w:ilvl w:val="0"/>
          <w:numId w:val="1014"/>
        </w:numPr>
        <w:pStyle w:val="Compact"/>
      </w:pPr>
      <w:r>
        <w:t xml:space="preserve">がん・非がんの疼痛緩和の薬物療法や非薬物療法を説明できる。</w:t>
      </w:r>
    </w:p>
    <w:p>
      <w:pPr>
        <w:numPr>
          <w:ilvl w:val="0"/>
          <w:numId w:val="1014"/>
        </w:numPr>
        <w:pStyle w:val="Compact"/>
      </w:pPr>
      <w:r>
        <w:t xml:space="preserve">慢性疾患や慢性疼痛の病態、経過、治療を理解した上で、その対処法・ケアを計画できる。</w:t>
      </w:r>
    </w:p>
    <w:p>
      <w:pPr>
        <w:numPr>
          <w:ilvl w:val="0"/>
          <w:numId w:val="1014"/>
        </w:numPr>
        <w:pStyle w:val="Compact"/>
      </w:pPr>
      <w:r>
        <w:t xml:space="preserve">患者の苦痛や不安感に配慮しながら、就学・就労、育児・介護等との両立支援を含め患者と家族に対して誠実で適切な支援を行える。</w:t>
      </w:r>
    </w:p>
    <w:p>
      <w:pPr>
        <w:numPr>
          <w:ilvl w:val="0"/>
          <w:numId w:val="1014"/>
        </w:numPr>
        <w:pStyle w:val="Compact"/>
      </w:pPr>
      <w:r>
        <w:t xml:space="preserve">救命不可能と判断したときや人生の最終段階における医療（エンド・オブ・ライフ・ケア）での患者とのコミュニケーション、頻度の高い苦痛とその対処法・ケアを計画できる。</w:t>
      </w:r>
    </w:p>
    <w:bookmarkEnd w:id="37"/>
    <w:bookmarkEnd w:id="38"/>
    <w:bookmarkStart w:id="43" w:name="地域の視点とアプローチ"/>
    <w:p>
      <w:pPr>
        <w:pStyle w:val="Heading2"/>
      </w:pPr>
      <w:r>
        <w:rPr>
          <w:rStyle w:val="SectionNumber"/>
        </w:rPr>
        <w:t xml:space="preserve">2.2</w:t>
      </w:r>
      <w:r>
        <w:tab/>
      </w:r>
      <w:r>
        <w:t xml:space="preserve">地域の視点とアプローチ</w:t>
      </w:r>
    </w:p>
    <w:p>
      <w:pPr>
        <w:pStyle w:val="FirstParagraph"/>
      </w:pPr>
      <w:r>
        <w:t xml:space="preserve">地域の実情に応じた医療・介護・保健・福祉の現状及び課題を理解し、医療の基本としてのプライマリ・ケアの実践、ヘルスケアシステムの質の向上に貢献するための能力を獲得する。</w:t>
      </w:r>
    </w:p>
    <w:bookmarkStart w:id="39" w:name="プライマリケアにおける基本概念"/>
    <w:p>
      <w:pPr>
        <w:pStyle w:val="Heading3"/>
      </w:pPr>
      <w:r>
        <w:rPr>
          <w:rStyle w:val="SectionNumber"/>
        </w:rPr>
        <w:t xml:space="preserve">2.2.1</w:t>
      </w:r>
      <w:r>
        <w:tab/>
      </w:r>
      <w:r>
        <w:t xml:space="preserve">プライマリ・ケアにおける基本概念</w:t>
      </w:r>
    </w:p>
    <w:p>
      <w:pPr>
        <w:numPr>
          <w:ilvl w:val="0"/>
          <w:numId w:val="1015"/>
        </w:numPr>
        <w:pStyle w:val="Compact"/>
      </w:pPr>
      <w:r>
        <w:t xml:space="preserve">地域の健康格差を理解し、医療へのアクセス障害等の医療システム上の課題を適切に判断できる。</w:t>
      </w:r>
    </w:p>
    <w:p>
      <w:pPr>
        <w:numPr>
          <w:ilvl w:val="0"/>
          <w:numId w:val="1015"/>
        </w:numPr>
        <w:pStyle w:val="Compact"/>
      </w:pPr>
      <w:r>
        <w:t xml:space="preserve">患者の所属する地域や文化的な背景が健康に関連することを説明できる。</w:t>
      </w:r>
    </w:p>
    <w:p>
      <w:pPr>
        <w:numPr>
          <w:ilvl w:val="0"/>
          <w:numId w:val="1015"/>
        </w:numPr>
        <w:pStyle w:val="Compact"/>
      </w:pPr>
      <w:r>
        <w:t xml:space="preserve">削除：患者の診療において、患者の所属する地域、背景集団に対するケアの視点を取り入れた診療を行うことができる。</w:t>
      </w:r>
    </w:p>
    <w:bookmarkEnd w:id="39"/>
    <w:bookmarkStart w:id="40" w:name="地域におけるプライマリケア"/>
    <w:p>
      <w:pPr>
        <w:pStyle w:val="Heading3"/>
      </w:pPr>
      <w:r>
        <w:rPr>
          <w:rStyle w:val="SectionNumber"/>
        </w:rPr>
        <w:t xml:space="preserve">2.2.2</w:t>
      </w:r>
      <w:r>
        <w:tab/>
      </w:r>
      <w:r>
        <w:t xml:space="preserve">地域におけるプライマリ・ケア</w:t>
      </w:r>
    </w:p>
    <w:p>
      <w:pPr>
        <w:numPr>
          <w:ilvl w:val="0"/>
          <w:numId w:val="1016"/>
        </w:numPr>
        <w:pStyle w:val="Compact"/>
      </w:pPr>
      <w:r>
        <w:t xml:space="preserve">地域(都会・郊外・へき地・離島を含む)の実情に応じた医療と医師の偏在（地域、診療科及び臨床・非臨床）の現状について概説できる。</w:t>
      </w:r>
    </w:p>
    <w:p>
      <w:pPr>
        <w:numPr>
          <w:ilvl w:val="0"/>
          <w:numId w:val="1016"/>
        </w:numPr>
        <w:pStyle w:val="Compact"/>
      </w:pPr>
      <w:r>
        <w:t xml:space="preserve">地域の医療体制や診療機関の規模・役割に応じて、医療者として柔軟に対応できる。</w:t>
      </w:r>
    </w:p>
    <w:p>
      <w:pPr>
        <w:numPr>
          <w:ilvl w:val="0"/>
          <w:numId w:val="1016"/>
        </w:numPr>
        <w:pStyle w:val="Compact"/>
      </w:pPr>
      <w:r>
        <w:t xml:space="preserve">患者の居住する地域における各疾患の罹患率、有病率などの指標を用い、臨床推論で活用できる。</w:t>
      </w:r>
    </w:p>
    <w:p>
      <w:pPr>
        <w:numPr>
          <w:ilvl w:val="0"/>
          <w:numId w:val="1016"/>
        </w:numPr>
        <w:pStyle w:val="Compact"/>
      </w:pPr>
      <w:r>
        <w:t xml:space="preserve">地域の量的指標（人口構成など）や質的情報（地理的・歴史的・経済的・文化的背景）を収集し、地域の健康課題を説明できる。</w:t>
      </w:r>
    </w:p>
    <w:p>
      <w:pPr>
        <w:numPr>
          <w:ilvl w:val="0"/>
          <w:numId w:val="1016"/>
        </w:numPr>
        <w:pStyle w:val="Compact"/>
      </w:pPr>
      <w:r>
        <w:t xml:space="preserve">地域の住民や専門職と協働した地域の健康増進活動について概説できる。</w:t>
      </w:r>
    </w:p>
    <w:p>
      <w:pPr>
        <w:numPr>
          <w:ilvl w:val="0"/>
          <w:numId w:val="1016"/>
        </w:numPr>
        <w:pStyle w:val="Compact"/>
      </w:pPr>
      <w:r>
        <w:t xml:space="preserve">削除：患者の居住する地域で頻度が高い疾病(コモンディジーズ)についてプライマリ・ケアの対応を説明できる。</w:t>
      </w:r>
    </w:p>
    <w:p>
      <w:pPr>
        <w:numPr>
          <w:ilvl w:val="0"/>
          <w:numId w:val="1016"/>
        </w:numPr>
        <w:pStyle w:val="Compact"/>
      </w:pPr>
      <w:r>
        <w:t xml:space="preserve">地域全体の医療に影響を与える問題（災害や新興感染症など）が起きた際の地域で必要とされる医師の役割について概説できる。</w:t>
      </w:r>
    </w:p>
    <w:bookmarkEnd w:id="40"/>
    <w:bookmarkStart w:id="41" w:name="医療資源に応じたプライマリケア"/>
    <w:p>
      <w:pPr>
        <w:pStyle w:val="Heading3"/>
      </w:pPr>
      <w:r>
        <w:rPr>
          <w:rStyle w:val="SectionNumber"/>
        </w:rPr>
        <w:t xml:space="preserve">2.2.3</w:t>
      </w:r>
      <w:r>
        <w:tab/>
      </w:r>
      <w:r>
        <w:t xml:space="preserve">医療資源に応じたプライマリ・ケア</w:t>
      </w:r>
    </w:p>
    <w:p>
      <w:pPr>
        <w:numPr>
          <w:ilvl w:val="0"/>
          <w:numId w:val="1017"/>
        </w:numPr>
        <w:pStyle w:val="Compact"/>
      </w:pPr>
      <w:r>
        <w:t xml:space="preserve">医療を提供する上で必要となる様々な専門職や医療保険・介護保険で活用できる施設について説明できる。</w:t>
      </w:r>
    </w:p>
    <w:p>
      <w:pPr>
        <w:numPr>
          <w:ilvl w:val="0"/>
          <w:numId w:val="1017"/>
        </w:numPr>
        <w:pStyle w:val="Compact"/>
      </w:pPr>
      <w:r>
        <w:t xml:space="preserve">地域の人的・物的資源に応じた医療・サービスを提案できる。</w:t>
      </w:r>
    </w:p>
    <w:p>
      <w:pPr>
        <w:numPr>
          <w:ilvl w:val="0"/>
          <w:numId w:val="1017"/>
        </w:numPr>
        <w:pStyle w:val="Compact"/>
      </w:pPr>
      <w:r>
        <w:t xml:space="preserve">離島・へき地や医師不足地域等の医療資源が限られた状況での医療提供体制及び介護・保健・福祉の体制を説明できる。</w:t>
      </w:r>
    </w:p>
    <w:p>
      <w:pPr>
        <w:numPr>
          <w:ilvl w:val="0"/>
          <w:numId w:val="1017"/>
        </w:numPr>
        <w:pStyle w:val="Compact"/>
      </w:pPr>
      <w:r>
        <w:t xml:space="preserve">離島・へき地や医師不足地域等の医療資源が限られた状況で有効な医療提供方法（Point-of-Care 検査等）について考えることができる。</w:t>
      </w:r>
    </w:p>
    <w:p>
      <w:pPr>
        <w:numPr>
          <w:ilvl w:val="0"/>
          <w:numId w:val="1017"/>
        </w:numPr>
        <w:pStyle w:val="Compact"/>
      </w:pPr>
      <w:r>
        <w:t xml:space="preserve">削除：離島・へき地や医師不足地域等の医療資源が限られた状況での医療に積極的に貢献することができる。</w:t>
      </w:r>
    </w:p>
    <w:bookmarkEnd w:id="41"/>
    <w:bookmarkStart w:id="42" w:name="在宅におけるプライマリケア"/>
    <w:p>
      <w:pPr>
        <w:pStyle w:val="Heading3"/>
      </w:pPr>
      <w:r>
        <w:rPr>
          <w:rStyle w:val="SectionNumber"/>
        </w:rPr>
        <w:t xml:space="preserve">2.2.4</w:t>
      </w:r>
      <w:r>
        <w:tab/>
      </w:r>
      <w:r>
        <w:t xml:space="preserve">在宅におけるプライマリ・ケア</w:t>
      </w:r>
    </w:p>
    <w:p>
      <w:pPr>
        <w:numPr>
          <w:ilvl w:val="0"/>
          <w:numId w:val="1018"/>
        </w:numPr>
        <w:pStyle w:val="Compact"/>
      </w:pPr>
      <w:r>
        <w:t xml:space="preserve">在宅医療の現状と適応を理解した上で、在宅医療の必要性や課題を概説できる。</w:t>
      </w:r>
    </w:p>
    <w:p>
      <w:pPr>
        <w:numPr>
          <w:ilvl w:val="0"/>
          <w:numId w:val="1018"/>
        </w:numPr>
        <w:pStyle w:val="Compact"/>
      </w:pPr>
      <w:r>
        <w:t xml:space="preserve">在宅における人生の最終段階における医療、看取りの在り方と課題を概説できる。</w:t>
      </w:r>
    </w:p>
    <w:p>
      <w:pPr>
        <w:numPr>
          <w:ilvl w:val="0"/>
          <w:numId w:val="1018"/>
        </w:numPr>
        <w:pStyle w:val="Compact"/>
      </w:pPr>
      <w:r>
        <w:t xml:space="preserve">在宅医療に携わる多職種の構成、および多職種連携の目的や課題について説明できる。</w:t>
      </w:r>
    </w:p>
    <w:bookmarkEnd w:id="42"/>
    <w:bookmarkEnd w:id="43"/>
    <w:bookmarkStart w:id="50" w:name="人生の視点とアプローチ"/>
    <w:p>
      <w:pPr>
        <w:pStyle w:val="Heading2"/>
      </w:pPr>
      <w:r>
        <w:rPr>
          <w:rStyle w:val="SectionNumber"/>
        </w:rPr>
        <w:t xml:space="preserve">2.3</w:t>
      </w:r>
      <w:r>
        <w:tab/>
      </w:r>
      <w:r>
        <w:t xml:space="preserve">人生の視点とアプローチ</w:t>
      </w:r>
    </w:p>
    <w:p>
      <w:pPr>
        <w:pStyle w:val="FirstParagraph"/>
      </w:pPr>
      <w:r>
        <w:t xml:space="preserve">患者・生活者の成長、発達、老化、死のプロセスを踏まえ、経時的に患者・家族・生活者に起こり得る精神・社会・医学的な問題に関与できる。</w:t>
      </w:r>
    </w:p>
    <w:bookmarkStart w:id="44" w:name="人生のプロセス"/>
    <w:p>
      <w:pPr>
        <w:pStyle w:val="Heading3"/>
      </w:pPr>
      <w:r>
        <w:rPr>
          <w:rStyle w:val="SectionNumber"/>
        </w:rPr>
        <w:t xml:space="preserve">2.3.1</w:t>
      </w:r>
      <w:r>
        <w:tab/>
      </w:r>
      <w:r>
        <w:t xml:space="preserve">人生のプロセス</w:t>
      </w:r>
    </w:p>
    <w:p>
      <w:pPr>
        <w:numPr>
          <w:ilvl w:val="0"/>
          <w:numId w:val="1019"/>
        </w:numPr>
        <w:pStyle w:val="Compact"/>
      </w:pPr>
      <w:r>
        <w:t xml:space="preserve">ライフサイクル(胎児期・新生児期・乳幼児期・学童期・思春期・青年期・成人期・壮年期・老年期・終末期)の視点で、患者の課題を検討できる。</w:t>
      </w:r>
    </w:p>
    <w:p>
      <w:pPr>
        <w:numPr>
          <w:ilvl w:val="0"/>
          <w:numId w:val="1019"/>
        </w:numPr>
        <w:pStyle w:val="Compact"/>
      </w:pPr>
      <w:r>
        <w:t xml:space="preserve">ライフステージやライフイベントの視点で、健康管理と環境・生活習慣改善を検討できる。</w:t>
      </w:r>
    </w:p>
    <w:p>
      <w:pPr>
        <w:numPr>
          <w:ilvl w:val="0"/>
          <w:numId w:val="1019"/>
        </w:numPr>
        <w:pStyle w:val="Compact"/>
      </w:pPr>
      <w:r>
        <w:t xml:space="preserve">家族ライフサイクル・家族成員間関係・家族システムの視点で、患者・家族間の問題（虐待・ネグレクト等）を説明できる。</w:t>
      </w:r>
    </w:p>
    <w:bookmarkEnd w:id="44"/>
    <w:bookmarkStart w:id="45" w:name="小児期全般"/>
    <w:p>
      <w:pPr>
        <w:pStyle w:val="Heading3"/>
      </w:pPr>
      <w:r>
        <w:rPr>
          <w:rStyle w:val="SectionNumber"/>
        </w:rPr>
        <w:t xml:space="preserve">2.3.2</w:t>
      </w:r>
      <w:r>
        <w:tab/>
      </w:r>
      <w:r>
        <w:t xml:space="preserve">小児期全般</w:t>
      </w:r>
    </w:p>
    <w:p>
      <w:pPr>
        <w:numPr>
          <w:ilvl w:val="0"/>
          <w:numId w:val="1020"/>
        </w:numPr>
        <w:pStyle w:val="Compact"/>
      </w:pPr>
      <w:r>
        <w:t xml:space="preserve">小児期の生理機能の発達の知識を臨床現場で活用できる。</w:t>
      </w:r>
    </w:p>
    <w:p>
      <w:pPr>
        <w:numPr>
          <w:ilvl w:val="0"/>
          <w:numId w:val="1020"/>
        </w:numPr>
        <w:pStyle w:val="Compact"/>
      </w:pPr>
      <w:r>
        <w:t xml:space="preserve">小児期の正常な精神運動発達の知識を臨床現場で活用できる。</w:t>
      </w:r>
    </w:p>
    <w:p>
      <w:pPr>
        <w:numPr>
          <w:ilvl w:val="0"/>
          <w:numId w:val="1020"/>
        </w:numPr>
        <w:pStyle w:val="Compact"/>
      </w:pPr>
      <w:r>
        <w:t xml:space="preserve">小児期の愛着形成や保育法・栄養法の基本の知識を臨床現場で活用できる。</w:t>
      </w:r>
    </w:p>
    <w:p>
      <w:pPr>
        <w:numPr>
          <w:ilvl w:val="0"/>
          <w:numId w:val="1020"/>
        </w:numPr>
        <w:pStyle w:val="Compact"/>
      </w:pPr>
      <w:r>
        <w:t xml:space="preserve">小児期の栄養面での特性や食育の基本の知識を臨床現場で活用できる。</w:t>
      </w:r>
    </w:p>
    <w:p>
      <w:pPr>
        <w:numPr>
          <w:ilvl w:val="0"/>
          <w:numId w:val="1020"/>
        </w:numPr>
        <w:pStyle w:val="Compact"/>
      </w:pPr>
      <w:r>
        <w:t xml:space="preserve">小児期の免疫発達と感染症の関係の知識を臨床現場で活用できる。</w:t>
      </w:r>
    </w:p>
    <w:p>
      <w:pPr>
        <w:numPr>
          <w:ilvl w:val="0"/>
          <w:numId w:val="1020"/>
        </w:numPr>
        <w:pStyle w:val="Compact"/>
      </w:pPr>
      <w:r>
        <w:t xml:space="preserve">児童虐待・ネグレクトの知識を臨床現場で活用できる。</w:t>
      </w:r>
    </w:p>
    <w:p>
      <w:pPr>
        <w:numPr>
          <w:ilvl w:val="0"/>
          <w:numId w:val="1020"/>
        </w:numPr>
        <w:pStyle w:val="Compact"/>
      </w:pPr>
      <w:r>
        <w:t xml:space="preserve">小児期から成人期への医療の移行について、現状と課題を説明できる。</w:t>
      </w:r>
    </w:p>
    <w:bookmarkEnd w:id="45"/>
    <w:bookmarkStart w:id="46" w:name="胎児期新生児期乳幼児期"/>
    <w:p>
      <w:pPr>
        <w:pStyle w:val="Heading3"/>
      </w:pPr>
      <w:r>
        <w:rPr>
          <w:rStyle w:val="SectionNumber"/>
        </w:rPr>
        <w:t xml:space="preserve">2.3.3</w:t>
      </w:r>
      <w:r>
        <w:tab/>
      </w:r>
      <w:r>
        <w:t xml:space="preserve">胎児期・新生児期・乳幼児期</w:t>
      </w:r>
    </w:p>
    <w:p>
      <w:pPr>
        <w:numPr>
          <w:ilvl w:val="0"/>
          <w:numId w:val="1021"/>
        </w:numPr>
        <w:pStyle w:val="Compact"/>
      </w:pPr>
      <w:r>
        <w:t xml:space="preserve">胎児の循環・呼吸の生理的特徴と出生時の変化の知識を臨床現場で活用できる。</w:t>
      </w:r>
    </w:p>
    <w:p>
      <w:pPr>
        <w:numPr>
          <w:ilvl w:val="0"/>
          <w:numId w:val="1021"/>
        </w:numPr>
        <w:pStyle w:val="Compact"/>
      </w:pPr>
      <w:r>
        <w:t xml:space="preserve">新生児・乳幼児の生理的特徴の知識を臨床現場で活用できる。</w:t>
      </w:r>
    </w:p>
    <w:p>
      <w:pPr>
        <w:numPr>
          <w:ilvl w:val="0"/>
          <w:numId w:val="1021"/>
        </w:numPr>
        <w:pStyle w:val="Compact"/>
      </w:pPr>
      <w:r>
        <w:t xml:space="preserve">正常児・早産低出生体重児・病児の管理の基本の知識を臨床現場で活用できる。</w:t>
      </w:r>
    </w:p>
    <w:bookmarkEnd w:id="46"/>
    <w:bookmarkStart w:id="47" w:name="学童期思春期青年期成人期"/>
    <w:p>
      <w:pPr>
        <w:pStyle w:val="Heading3"/>
      </w:pPr>
      <w:r>
        <w:rPr>
          <w:rStyle w:val="SectionNumber"/>
        </w:rPr>
        <w:t xml:space="preserve">2.3.4</w:t>
      </w:r>
      <w:r>
        <w:tab/>
      </w:r>
      <w:r>
        <w:t xml:space="preserve">学童期・思春期・青年期・成人期</w:t>
      </w:r>
    </w:p>
    <w:p>
      <w:pPr>
        <w:numPr>
          <w:ilvl w:val="0"/>
          <w:numId w:val="1022"/>
        </w:numPr>
        <w:pStyle w:val="Compact"/>
      </w:pPr>
      <w:r>
        <w:t xml:space="preserve">思春期発現の機序と性徴の知識を臨床現場で活用できる。</w:t>
      </w:r>
    </w:p>
    <w:p>
      <w:pPr>
        <w:numPr>
          <w:ilvl w:val="0"/>
          <w:numId w:val="1022"/>
        </w:numPr>
        <w:pStyle w:val="Compact"/>
      </w:pPr>
      <w:r>
        <w:t xml:space="preserve">学童期・思春期と関連する課題(学業、友達などに関わる課題)の知識を臨床現場で活用できる。</w:t>
      </w:r>
    </w:p>
    <w:p>
      <w:pPr>
        <w:numPr>
          <w:ilvl w:val="0"/>
          <w:numId w:val="1022"/>
        </w:numPr>
        <w:pStyle w:val="Compact"/>
      </w:pPr>
      <w:r>
        <w:t xml:space="preserve">思春期・青年期と関連する課題(生殖、いのちなどに関わる課題)の知識を臨床現場で活用できる。</w:t>
      </w:r>
    </w:p>
    <w:p>
      <w:pPr>
        <w:numPr>
          <w:ilvl w:val="0"/>
          <w:numId w:val="1022"/>
        </w:numPr>
        <w:pStyle w:val="Compact"/>
      </w:pPr>
      <w:r>
        <w:t xml:space="preserve">成人期と関連する課題(メンタルヘルス、仕事、不妊などに関わる課題)の知識を臨床現場で活用できる。</w:t>
      </w:r>
    </w:p>
    <w:bookmarkEnd w:id="47"/>
    <w:bookmarkStart w:id="48" w:name="壮年期老年期"/>
    <w:p>
      <w:pPr>
        <w:pStyle w:val="Heading3"/>
      </w:pPr>
      <w:r>
        <w:rPr>
          <w:rStyle w:val="SectionNumber"/>
        </w:rPr>
        <w:t xml:space="preserve">2.3.5</w:t>
      </w:r>
      <w:r>
        <w:tab/>
      </w:r>
      <w:r>
        <w:t xml:space="preserve">壮年期・老年期</w:t>
      </w:r>
    </w:p>
    <w:p>
      <w:pPr>
        <w:numPr>
          <w:ilvl w:val="0"/>
          <w:numId w:val="1023"/>
        </w:numPr>
        <w:pStyle w:val="Compact"/>
      </w:pPr>
      <w:r>
        <w:t xml:space="preserve">加齢に伴う臓器や身体機能の変化、それに伴う生理的変化の知識を臨床現場で活用できる。</w:t>
      </w:r>
    </w:p>
    <w:p>
      <w:pPr>
        <w:numPr>
          <w:ilvl w:val="0"/>
          <w:numId w:val="1023"/>
        </w:numPr>
        <w:pStyle w:val="Compact"/>
      </w:pPr>
      <w:r>
        <w:t xml:space="preserve">高齢者総合機能評価(comprehensive geriatric assessment</w:t>
      </w:r>
      <w:r>
        <w:t xml:space="preserve"> </w:t>
      </w:r>
      <w:r>
        <w:t xml:space="preserve">)を実施できる。</w:t>
      </w:r>
    </w:p>
    <w:p>
      <w:pPr>
        <w:numPr>
          <w:ilvl w:val="0"/>
          <w:numId w:val="1023"/>
        </w:numPr>
        <w:pStyle w:val="Compact"/>
      </w:pPr>
      <w:r>
        <w:t xml:space="preserve">老年症候群(歩行障害・転倒、認知機能障害、排泄障害、栄養障害、摂食・嚥下障害等)の知識を臨床現場で活用できる。</w:t>
      </w:r>
    </w:p>
    <w:p>
      <w:pPr>
        <w:numPr>
          <w:ilvl w:val="0"/>
          <w:numId w:val="1023"/>
        </w:numPr>
        <w:pStyle w:val="Compact"/>
      </w:pPr>
      <w:r>
        <w:t xml:space="preserve">フレイル、サルコペニア、ロコモティブ・シンドロームの概念、その対処法、予防の知識を臨床現場で活用できる。</w:t>
      </w:r>
    </w:p>
    <w:p>
      <w:pPr>
        <w:numPr>
          <w:ilvl w:val="0"/>
          <w:numId w:val="1023"/>
        </w:numPr>
        <w:pStyle w:val="Compact"/>
      </w:pPr>
      <w:r>
        <w:t xml:space="preserve">国際生活機能分類（ICF） の知識を臨床現場で活用できる。</w:t>
      </w:r>
    </w:p>
    <w:p>
      <w:pPr>
        <w:numPr>
          <w:ilvl w:val="0"/>
          <w:numId w:val="1023"/>
        </w:numPr>
        <w:pStyle w:val="Compact"/>
      </w:pPr>
      <w:r>
        <w:t xml:space="preserve">高齢者の栄養マネジメントの知識を臨床現場で活用できる。</w:t>
      </w:r>
    </w:p>
    <w:p>
      <w:pPr>
        <w:numPr>
          <w:ilvl w:val="0"/>
          <w:numId w:val="1023"/>
        </w:numPr>
        <w:pStyle w:val="Compact"/>
      </w:pPr>
      <w:r>
        <w:t xml:space="preserve">日常生活動作</w:t>
      </w:r>
      <w:r>
        <w:t xml:space="preserve">（排泄、摂食、入浴等）に応じた介護と環境整備の要点を概説できる。</w:t>
      </w:r>
    </w:p>
    <w:p>
      <w:pPr>
        <w:numPr>
          <w:ilvl w:val="0"/>
          <w:numId w:val="1023"/>
        </w:numPr>
        <w:pStyle w:val="Compact"/>
      </w:pPr>
      <w:r>
        <w:t xml:space="preserve">削除：加齢に伴う薬物動態の変化、高齢者に対する薬物療法の注意点を踏まえ、適切な介入が実施できる。</w:t>
      </w:r>
    </w:p>
    <w:bookmarkEnd w:id="48"/>
    <w:bookmarkStart w:id="49" w:name="終末期"/>
    <w:p>
      <w:pPr>
        <w:pStyle w:val="Heading3"/>
      </w:pPr>
      <w:r>
        <w:rPr>
          <w:rStyle w:val="SectionNumber"/>
        </w:rPr>
        <w:t xml:space="preserve">2.3.6</w:t>
      </w:r>
      <w:r>
        <w:tab/>
      </w:r>
      <w:r>
        <w:t xml:space="preserve">終末期</w:t>
      </w:r>
    </w:p>
    <w:p>
      <w:pPr>
        <w:numPr>
          <w:ilvl w:val="0"/>
          <w:numId w:val="1024"/>
        </w:numPr>
        <w:pStyle w:val="Compact"/>
      </w:pPr>
      <w:r>
        <w:t xml:space="preserve">死の概念と定義や生物学的な個体の死を説明できる。</w:t>
      </w:r>
    </w:p>
    <w:p>
      <w:pPr>
        <w:numPr>
          <w:ilvl w:val="0"/>
          <w:numId w:val="1024"/>
        </w:numPr>
        <w:pStyle w:val="Compact"/>
      </w:pPr>
      <w:r>
        <w:t xml:space="preserve">死に至る身体と心の過程の知識を活用して、患者や家族がもつ死生観を配慮したコミュニケーションがとれる。</w:t>
      </w:r>
    </w:p>
    <w:p>
      <w:pPr>
        <w:numPr>
          <w:ilvl w:val="0"/>
          <w:numId w:val="1024"/>
        </w:numPr>
        <w:pStyle w:val="Compact"/>
      </w:pPr>
      <w:r>
        <w:t xml:space="preserve">人生の最終段階における医療（エンド・オブ・ライフ・ケア）の知識を臨床現場で活用できる。</w:t>
      </w:r>
    </w:p>
    <w:p>
      <w:pPr>
        <w:numPr>
          <w:ilvl w:val="0"/>
          <w:numId w:val="1024"/>
        </w:numPr>
        <w:pStyle w:val="Compact"/>
      </w:pPr>
      <w:r>
        <w:t xml:space="preserve">小児の終末期の特殊性の知識を臨床現場で活用できる。</w:t>
      </w:r>
    </w:p>
    <w:p>
      <w:pPr>
        <w:numPr>
          <w:ilvl w:val="0"/>
          <w:numId w:val="1024"/>
        </w:numPr>
        <w:pStyle w:val="Compact"/>
      </w:pPr>
      <w:r>
        <w:t xml:space="preserve">人生の最終段階における医療（エンド・オブ・ライフ・ケア）での知識を意思決定(Advance care planning（ACP))、事前指示(Advanced directive （AD))、延命治療、Do not attempt resuscitation</w:t>
      </w:r>
      <w:r>
        <w:t xml:space="preserve"> </w:t>
      </w:r>
      <w:r>
        <w:t xml:space="preserve">、尊厳死と安楽死、治療の中止と差し控えの概念の知識を臨床現場で活用できる。</w:t>
      </w:r>
    </w:p>
    <w:p>
      <w:pPr>
        <w:numPr>
          <w:ilvl w:val="0"/>
          <w:numId w:val="1024"/>
        </w:numPr>
        <w:pStyle w:val="Compact"/>
      </w:pPr>
      <w:r>
        <w:t xml:space="preserve">悲嘆のケア（グリーフケア）の知識を臨床現場で活用できる。</w:t>
      </w:r>
    </w:p>
    <w:bookmarkEnd w:id="49"/>
    <w:bookmarkEnd w:id="50"/>
    <w:bookmarkStart w:id="53" w:name="社会の視点とアプローチ"/>
    <w:p>
      <w:pPr>
        <w:pStyle w:val="Heading2"/>
      </w:pPr>
      <w:r>
        <w:rPr>
          <w:rStyle w:val="SectionNumber"/>
        </w:rPr>
        <w:t xml:space="preserve">2.4</w:t>
      </w:r>
      <w:r>
        <w:tab/>
      </w:r>
      <w:r>
        <w:t xml:space="preserve">社会の視点とアプローチ</w:t>
      </w:r>
    </w:p>
    <w:p>
      <w:pPr>
        <w:pStyle w:val="FirstParagraph"/>
      </w:pPr>
      <w:r>
        <w:t xml:space="preserve">文化的・社会的文脈のなかで生成される健康観や人びとの言動・関係性を理解し、文化人類学・社会学(主に医療人類学・医療社会学)の視点から、それを臨床実践に活用することができる。</w:t>
      </w:r>
    </w:p>
    <w:bookmarkStart w:id="51" w:name="医学的文化的社会的文脈における健康"/>
    <w:p>
      <w:pPr>
        <w:pStyle w:val="Heading3"/>
      </w:pPr>
      <w:r>
        <w:rPr>
          <w:rStyle w:val="SectionNumber"/>
        </w:rPr>
        <w:t xml:space="preserve">2.4.1</w:t>
      </w:r>
      <w:r>
        <w:tab/>
      </w:r>
      <w:r>
        <w:t xml:space="preserve">医学的・文化的・社会的文脈における健康</w:t>
      </w:r>
    </w:p>
    <w:p>
      <w:pPr>
        <w:numPr>
          <w:ilvl w:val="0"/>
          <w:numId w:val="1025"/>
        </w:numPr>
        <w:pStyle w:val="Compact"/>
      </w:pPr>
      <w:r>
        <w:t xml:space="preserve">患者の健康観や病いに対する価値観を理解したうえで、健康に関する知識※を活用し、健康問題に対する包括的アプローチを実践できる。</w:t>
      </w:r>
    </w:p>
    <w:p>
      <w:pPr>
        <w:numPr>
          <w:ilvl w:val="0"/>
          <w:numId w:val="1025"/>
        </w:numPr>
        <w:pStyle w:val="Compact"/>
      </w:pPr>
      <w:r>
        <w:t xml:space="preserve">患者が受療に至るまでにどのような過程があるかを生活者の視点から説明できる。</w:t>
      </w:r>
    </w:p>
    <w:p>
      <w:pPr>
        <w:numPr>
          <w:ilvl w:val="0"/>
          <w:numId w:val="1025"/>
        </w:numPr>
        <w:pStyle w:val="Compact"/>
      </w:pPr>
      <w:r>
        <w:t xml:space="preserve">栄養やエネルギー代謝に関する知識や統計情報をもとに個人の栄養状態を評価でき、本人や家族の生活や価値観もふまえたうえで食生活の支援ができる。</w:t>
      </w:r>
    </w:p>
    <w:p>
      <w:pPr>
        <w:numPr>
          <w:ilvl w:val="0"/>
          <w:numId w:val="1025"/>
        </w:numPr>
        <w:pStyle w:val="Compact"/>
      </w:pPr>
      <w:r>
        <w:t xml:space="preserve">身体活動・運動の知識や統計情報をもとに個人の生活活動を評価でき、本人や家族の生活や価値観も踏まえたうえで活動や運動の支援ができる。</w:t>
      </w:r>
    </w:p>
    <w:p>
      <w:pPr>
        <w:numPr>
          <w:ilvl w:val="0"/>
          <w:numId w:val="1025"/>
        </w:numPr>
        <w:pStyle w:val="Compact"/>
      </w:pPr>
      <w:r>
        <w:t xml:space="preserve">休養や心の健康について知識や統計情報をもとに評価し、本人や家族の生活や価値観も踏まえたうえで支援ができる。</w:t>
      </w:r>
    </w:p>
    <w:p>
      <w:pPr>
        <w:numPr>
          <w:ilvl w:val="0"/>
          <w:numId w:val="1025"/>
        </w:numPr>
        <w:pStyle w:val="Compact"/>
      </w:pPr>
      <w:r>
        <w:t xml:space="preserve">喫煙や飲酒に関して、喫煙や飲酒による健康影響の知識や統計情報をもとに、本人や家族の生活や価値観を踏まえた評価や支援ができる。</w:t>
      </w:r>
    </w:p>
    <w:p>
      <w:pPr>
        <w:numPr>
          <w:ilvl w:val="0"/>
          <w:numId w:val="1025"/>
        </w:numPr>
        <w:pStyle w:val="Compact"/>
      </w:pPr>
      <w:r>
        <w:t xml:space="preserve">健康の社会的決定要因とアドボカシーについて説明できる。</w:t>
      </w:r>
    </w:p>
    <w:bookmarkEnd w:id="51"/>
    <w:bookmarkStart w:id="52" w:name="社会科学"/>
    <w:p>
      <w:pPr>
        <w:pStyle w:val="Heading3"/>
      </w:pPr>
      <w:r>
        <w:rPr>
          <w:rStyle w:val="SectionNumber"/>
        </w:rPr>
        <w:t xml:space="preserve">2.4.2</w:t>
      </w:r>
      <w:r>
        <w:tab/>
      </w:r>
      <w:r>
        <w:t xml:space="preserve">社会科学</w:t>
      </w:r>
    </w:p>
    <w:p>
      <w:pPr>
        <w:numPr>
          <w:ilvl w:val="0"/>
          <w:numId w:val="1026"/>
        </w:numPr>
        <w:pStyle w:val="Compact"/>
      </w:pPr>
      <w:r>
        <w:t xml:space="preserve">人の言動の意味をその人の人生史・生活史や社会関係の文脈の中において検討することができる。</w:t>
      </w:r>
    </w:p>
    <w:p>
      <w:pPr>
        <w:numPr>
          <w:ilvl w:val="0"/>
          <w:numId w:val="1026"/>
        </w:numPr>
        <w:pStyle w:val="Compact"/>
      </w:pPr>
      <w:r>
        <w:t xml:space="preserve">文化人類学・社会学(主に医療人類学・医療社会学)の視点で、患者やその家族と生活環境・地域社会・医療機関等との関係について説明できる。</w:t>
      </w:r>
    </w:p>
    <w:p>
      <w:pPr>
        <w:numPr>
          <w:ilvl w:val="0"/>
          <w:numId w:val="1026"/>
        </w:numPr>
        <w:pStyle w:val="Compact"/>
      </w:pPr>
      <w:r>
        <w:t xml:space="preserve">文化人類学・社会学(主に医療人類学・医療社会学)の理論や概念を用いて、患者の判断や行動に関わる諸事象を説明できる。</w:t>
      </w:r>
    </w:p>
    <w:bookmarkEnd w:id="52"/>
    <w:bookmarkEnd w:id="53"/>
    <w:bookmarkEnd w:id="54"/>
    <w:bookmarkStart w:id="69" w:name="生涯にわたって共に学ぶ姿勢"/>
    <w:p>
      <w:pPr>
        <w:pStyle w:val="Heading1"/>
      </w:pPr>
      <w:r>
        <w:rPr>
          <w:rStyle w:val="SectionNumber"/>
        </w:rPr>
        <w:t xml:space="preserve">3</w:t>
      </w:r>
      <w:r>
        <w:tab/>
      </w:r>
      <w:r>
        <w:t xml:space="preserve">生涯にわたって共に学ぶ姿勢</w:t>
      </w:r>
    </w:p>
    <w:p>
      <w:pPr>
        <w:pStyle w:val="FirstParagraph"/>
      </w:pPr>
      <w:r>
        <w:t xml:space="preserve">絶えず省察し、他の医師・医療者と共に研鑽しながら、安全で質の高い医療を実践するために生涯にわたって自律的に学び続け、また積極的に教育に関わっていく。</w:t>
      </w:r>
    </w:p>
    <w:bookmarkStart w:id="63" w:name="医療の質と患者安全"/>
    <w:p>
      <w:pPr>
        <w:pStyle w:val="Heading2"/>
      </w:pPr>
      <w:r>
        <w:rPr>
          <w:rStyle w:val="SectionNumber"/>
        </w:rPr>
        <w:t xml:space="preserve">3.1</w:t>
      </w:r>
      <w:r>
        <w:tab/>
      </w:r>
      <w:r>
        <w:t xml:space="preserve">医療の質と患者安全</w:t>
      </w:r>
    </w:p>
    <w:p>
      <w:pPr>
        <w:pStyle w:val="FirstParagraph"/>
      </w:pPr>
      <w:r>
        <w:t xml:space="preserve">医療の質と患者安全の観点で自己の行動を省察し、組織改善と患者中心の視点を獲得する</w:t>
      </w:r>
    </w:p>
    <w:bookmarkStart w:id="55" w:name="患者安全"/>
    <w:p>
      <w:pPr>
        <w:pStyle w:val="Heading3"/>
      </w:pPr>
      <w:r>
        <w:rPr>
          <w:rStyle w:val="SectionNumber"/>
        </w:rPr>
        <w:t xml:space="preserve">3.1.1</w:t>
      </w:r>
      <w:r>
        <w:tab/>
      </w:r>
      <w:r>
        <w:t xml:space="preserve">患者安全</w:t>
      </w:r>
    </w:p>
    <w:p>
      <w:pPr>
        <w:numPr>
          <w:ilvl w:val="0"/>
          <w:numId w:val="1027"/>
        </w:numPr>
        <w:pStyle w:val="Compact"/>
      </w:pPr>
      <w:r>
        <w:t xml:space="preserve">削除:患者安全のための個人および組織におけるリスク管理の重要性を理解し、行動できる。</w:t>
      </w:r>
    </w:p>
    <w:p>
      <w:pPr>
        <w:numPr>
          <w:ilvl w:val="0"/>
          <w:numId w:val="1027"/>
        </w:numPr>
        <w:pStyle w:val="Compact"/>
      </w:pPr>
      <w:r>
        <w:t xml:space="preserve">削除：診療録の重要性を理解し、適切に記載し取り扱うことができる。</w:t>
      </w:r>
    </w:p>
    <w:p>
      <w:pPr>
        <w:numPr>
          <w:ilvl w:val="0"/>
          <w:numId w:val="1027"/>
        </w:numPr>
        <w:pStyle w:val="Compact"/>
      </w:pPr>
      <w:r>
        <w:t xml:space="preserve">削除:患者や患者家族に情報共有することの重要性を説明できる。</w:t>
      </w:r>
    </w:p>
    <w:p>
      <w:pPr>
        <w:numPr>
          <w:ilvl w:val="0"/>
          <w:numId w:val="1027"/>
        </w:numPr>
        <w:pStyle w:val="Compact"/>
      </w:pPr>
      <w:r>
        <w:t xml:space="preserve">削除：医療の安全性に関する情報（薬剤等の副作用、薬害、医療過誤、やってはいけないこと、優れた取組事例等）を共有し、事後に役立てるための分析の重要性を説明できる。</w:t>
      </w:r>
    </w:p>
    <w:p>
      <w:pPr>
        <w:numPr>
          <w:ilvl w:val="0"/>
          <w:numId w:val="1027"/>
        </w:numPr>
        <w:pStyle w:val="Compact"/>
      </w:pPr>
      <w:r>
        <w:t xml:space="preserve">削除：患者安全のための管理体制と各々の役割（リスクマネージャー、医療安全管理委員会等）を概説できる</w:t>
      </w:r>
    </w:p>
    <w:p>
      <w:pPr>
        <w:numPr>
          <w:ilvl w:val="0"/>
          <w:numId w:val="1027"/>
        </w:numPr>
        <w:pStyle w:val="Compact"/>
      </w:pPr>
      <w:r>
        <w:t xml:space="preserve">削除:医療関連感染症の原因と対策（院内感染対策委員会、院内感染サーベイランス、院内感染対策チーム(infection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bookmarkEnd w:id="55"/>
    <w:bookmarkStart w:id="56" w:name="医療の質"/>
    <w:p>
      <w:pPr>
        <w:pStyle w:val="Heading3"/>
      </w:pPr>
      <w:r>
        <w:rPr>
          <w:rStyle w:val="SectionNumber"/>
        </w:rPr>
        <w:t xml:space="preserve">3.1.2</w:t>
      </w:r>
      <w:r>
        <w:tab/>
      </w:r>
      <w:r>
        <w:t xml:space="preserve">医療の質</w:t>
      </w:r>
    </w:p>
    <w:p>
      <w:pPr>
        <w:numPr>
          <w:ilvl w:val="0"/>
          <w:numId w:val="1028"/>
        </w:numPr>
        <w:pStyle w:val="Compact"/>
      </w:pPr>
      <w:r>
        <w:t xml:space="preserve">削除：品質改善の手法を用いて医療を改善する重要性を理解し、繰り返し評価する姿勢を身に着ける。</w:t>
      </w:r>
    </w:p>
    <w:bookmarkEnd w:id="56"/>
    <w:bookmarkStart w:id="57" w:name="医療従事者の健康管理"/>
    <w:p>
      <w:pPr>
        <w:pStyle w:val="Heading3"/>
      </w:pPr>
      <w:r>
        <w:rPr>
          <w:rStyle w:val="SectionNumber"/>
        </w:rPr>
        <w:t xml:space="preserve">3.1.3</w:t>
      </w:r>
      <w:r>
        <w:tab/>
      </w:r>
      <w:r>
        <w:t xml:space="preserve">医療従事者の健康管理</w:t>
      </w:r>
    </w:p>
    <w:p>
      <w:pPr>
        <w:numPr>
          <w:ilvl w:val="0"/>
          <w:numId w:val="1029"/>
        </w:numPr>
        <w:pStyle w:val="Compact"/>
      </w:pPr>
      <w:r>
        <w:t xml:space="preserve">削除：医療従事者の健康管理（生活習慣改善、予防接種、被ばく低減策）、職業感染対策を実践できる。</w:t>
      </w:r>
    </w:p>
    <w:p>
      <w:pPr>
        <w:numPr>
          <w:ilvl w:val="0"/>
          <w:numId w:val="1029"/>
        </w:numPr>
        <w:pStyle w:val="Compact"/>
      </w:pPr>
      <w:r>
        <w:t xml:space="preserve">削除:標準予防策〈standard precautions〉の必要性を説明し、実践できる。</w:t>
      </w:r>
    </w:p>
    <w:p>
      <w:pPr>
        <w:numPr>
          <w:ilvl w:val="0"/>
          <w:numId w:val="1029"/>
        </w:numPr>
        <w:pStyle w:val="Compact"/>
      </w:pPr>
      <w:r>
        <w:t xml:space="preserve">削除:自身を含む医療者の労働環境の改善の必要性を理解し、実際の医療現場における問題点を指摘することができる。</w:t>
      </w:r>
    </w:p>
    <w:p>
      <w:pPr>
        <w:numPr>
          <w:ilvl w:val="0"/>
          <w:numId w:val="1029"/>
        </w:numPr>
        <w:pStyle w:val="Compact"/>
      </w:pPr>
      <w:r>
        <w:t xml:space="preserve">医療従事者の健康管理（生活習慣改善、予防接種、被ばく低減策）、職業感染対策（結核スクリーニング、ワクチン接種）を実践できる。</w:t>
      </w:r>
    </w:p>
    <w:p>
      <w:pPr>
        <w:numPr>
          <w:ilvl w:val="0"/>
          <w:numId w:val="1029"/>
        </w:numPr>
        <w:pStyle w:val="Compact"/>
      </w:pPr>
      <w:r>
        <w:t xml:space="preserve">自身を含む医療者の労働環境の改善の必要性を理解し、実際の医療現場において改善に努めることができる。</w:t>
      </w:r>
    </w:p>
    <w:bookmarkEnd w:id="57"/>
    <w:bookmarkStart w:id="58" w:name="医療の質向上"/>
    <w:p>
      <w:pPr>
        <w:pStyle w:val="Heading3"/>
      </w:pPr>
      <w:r>
        <w:rPr>
          <w:rStyle w:val="SectionNumber"/>
        </w:rPr>
        <w:t xml:space="preserve">3.1.4</w:t>
      </w:r>
      <w:r>
        <w:tab/>
      </w:r>
      <w:r>
        <w:t xml:space="preserve">医療の質向上</w:t>
      </w:r>
    </w:p>
    <w:p>
      <w:pPr>
        <w:numPr>
          <w:ilvl w:val="0"/>
          <w:numId w:val="1030"/>
        </w:numPr>
        <w:pStyle w:val="Compact"/>
      </w:pPr>
      <w:r>
        <w:t xml:space="preserve">品質改善の手法を用いて医療を改善する重要性を理解し、繰り返し評価する姿勢を身に着ける。</w:t>
      </w:r>
    </w:p>
    <w:bookmarkEnd w:id="58"/>
    <w:bookmarkStart w:id="59" w:name="安全管理体制"/>
    <w:p>
      <w:pPr>
        <w:pStyle w:val="Heading3"/>
      </w:pPr>
      <w:r>
        <w:rPr>
          <w:rStyle w:val="SectionNumber"/>
        </w:rPr>
        <w:t xml:space="preserve">3.1.5</w:t>
      </w:r>
      <w:r>
        <w:tab/>
      </w:r>
      <w:r>
        <w:t xml:space="preserve">安全管理体制</w:t>
      </w:r>
    </w:p>
    <w:p>
      <w:pPr>
        <w:numPr>
          <w:ilvl w:val="0"/>
          <w:numId w:val="1031"/>
        </w:numPr>
        <w:pStyle w:val="Compact"/>
      </w:pPr>
      <w:r>
        <w:t xml:space="preserve">患者安全のための管理体制と各々の役割（リスクマネージャー、医療安全管理委員会等）を説明できる</w:t>
      </w:r>
    </w:p>
    <w:p>
      <w:pPr>
        <w:numPr>
          <w:ilvl w:val="0"/>
          <w:numId w:val="1031"/>
        </w:numPr>
        <w:pStyle w:val="Compact"/>
      </w:pPr>
      <w:r>
        <w:t xml:space="preserve">医療過誤に関連した刑事・民事責任や医師法に基づく行政処分を説明できる。</w:t>
      </w:r>
    </w:p>
    <w:bookmarkEnd w:id="59"/>
    <w:bookmarkStart w:id="60" w:name="感染制御"/>
    <w:p>
      <w:pPr>
        <w:pStyle w:val="Heading3"/>
      </w:pPr>
      <w:r>
        <w:rPr>
          <w:rStyle w:val="SectionNumber"/>
        </w:rPr>
        <w:t xml:space="preserve">3.1.6</w:t>
      </w:r>
      <w:r>
        <w:tab/>
      </w:r>
      <w:r>
        <w:t xml:space="preserve">感染制御</w:t>
      </w:r>
    </w:p>
    <w:p>
      <w:pPr>
        <w:numPr>
          <w:ilvl w:val="0"/>
          <w:numId w:val="1032"/>
        </w:numPr>
        <w:pStyle w:val="Compact"/>
      </w:pPr>
      <w:r>
        <w:t xml:space="preserve">医療関連感染症の原因と対策（院内感染対策委員会、院内感染サーベイランス、院内感染対策チーム(infection control team</w:t>
      </w:r>
      <w:r>
        <w:t xml:space="preserve"> </w:t>
      </w:r>
      <w:r>
        <w:t xml:space="preserve">)、感染対策マニュアル等)を理解し、積極的に参加できる。</w:t>
      </w:r>
    </w:p>
    <w:p>
      <w:pPr>
        <w:numPr>
          <w:ilvl w:val="0"/>
          <w:numId w:val="1032"/>
        </w:numPr>
        <w:pStyle w:val="Compact"/>
      </w:pPr>
      <w:r>
        <w:t xml:space="preserve">標準予防策〈standard precautions〉の必要性を説明し、実践できる。</w:t>
      </w:r>
    </w:p>
    <w:p>
      <w:pPr>
        <w:numPr>
          <w:ilvl w:val="0"/>
          <w:numId w:val="1032"/>
        </w:numPr>
        <w:pStyle w:val="Compact"/>
      </w:pPr>
      <w:r>
        <w:t xml:space="preserve">針刺切創、体液暴露等に遭遇した際、適切に対処できる。</w:t>
      </w:r>
    </w:p>
    <w:bookmarkEnd w:id="60"/>
    <w:bookmarkStart w:id="61" w:name="患者安全の配慮と促進"/>
    <w:p>
      <w:pPr>
        <w:pStyle w:val="Heading3"/>
      </w:pPr>
      <w:r>
        <w:rPr>
          <w:rStyle w:val="SectionNumber"/>
        </w:rPr>
        <w:t xml:space="preserve">3.1.7</w:t>
      </w:r>
      <w:r>
        <w:tab/>
      </w:r>
      <w:r>
        <w:t xml:space="preserve">患者安全の配慮と促進</w:t>
      </w:r>
    </w:p>
    <w:p>
      <w:pPr>
        <w:numPr>
          <w:ilvl w:val="0"/>
          <w:numId w:val="1033"/>
        </w:numPr>
        <w:pStyle w:val="Compact"/>
      </w:pPr>
      <w:r>
        <w:t xml:space="preserve">基本的予防策（患者確認、ダブルチェック、チェックリスト法、類似名称薬への注意喚起、フェイルセイフ・フールプルーフの考え方等）を説明し、実践できる。</w:t>
      </w:r>
    </w:p>
    <w:p>
      <w:pPr>
        <w:numPr>
          <w:ilvl w:val="0"/>
          <w:numId w:val="1033"/>
        </w:numPr>
        <w:pStyle w:val="Compact"/>
      </w:pPr>
      <w:r>
        <w:t xml:space="preserve">医療の安全性に関する情報（薬剤等の副作用、薬害、医療過誤、やってはいけないこと、優れた取組事例等）を共有し、事後に役立てるための分析ができる。</w:t>
      </w:r>
    </w:p>
    <w:bookmarkEnd w:id="61"/>
    <w:bookmarkStart w:id="62" w:name="患者安全の実践"/>
    <w:p>
      <w:pPr>
        <w:pStyle w:val="Heading3"/>
      </w:pPr>
      <w:r>
        <w:rPr>
          <w:rStyle w:val="SectionNumber"/>
        </w:rPr>
        <w:t xml:space="preserve">3.1.8</w:t>
      </w:r>
      <w:r>
        <w:tab/>
      </w:r>
      <w:r>
        <w:t xml:space="preserve">患者安全の実践</w:t>
      </w:r>
    </w:p>
    <w:p>
      <w:pPr>
        <w:numPr>
          <w:ilvl w:val="0"/>
          <w:numId w:val="1034"/>
        </w:numPr>
        <w:pStyle w:val="Compact"/>
      </w:pPr>
      <w:r>
        <w:t xml:space="preserve">個人及び組織における患者安全管理の重要性を理解し、行動できる。</w:t>
      </w:r>
    </w:p>
    <w:p>
      <w:pPr>
        <w:numPr>
          <w:ilvl w:val="0"/>
          <w:numId w:val="1034"/>
        </w:numPr>
        <w:pStyle w:val="Compact"/>
      </w:pPr>
      <w:r>
        <w:t xml:space="preserve">診療録の重要性を理解し、適切に記載し取り扱うことができる。</w:t>
      </w:r>
    </w:p>
    <w:p>
      <w:pPr>
        <w:numPr>
          <w:ilvl w:val="0"/>
          <w:numId w:val="1034"/>
        </w:numPr>
        <w:pStyle w:val="Compact"/>
      </w:pPr>
      <w:r>
        <w:t xml:space="preserve">患者や介護者と協働するために情報共有することの重要性を説明できる。</w:t>
      </w:r>
    </w:p>
    <w:p>
      <w:pPr>
        <w:numPr>
          <w:ilvl w:val="0"/>
          <w:numId w:val="1034"/>
        </w:numPr>
        <w:pStyle w:val="Compact"/>
      </w:pPr>
      <w:r>
        <w:t xml:space="preserve">真摯に疑義に応じることができる。</w:t>
      </w:r>
    </w:p>
    <w:p>
      <w:pPr>
        <w:numPr>
          <w:ilvl w:val="0"/>
          <w:numId w:val="1034"/>
        </w:numPr>
        <w:pStyle w:val="Compact"/>
      </w:pPr>
      <w:r>
        <w:t xml:space="preserve">医療上の事故等（インシデントを含む）が発生したときの緊急対応や記録、報告を説明し、実践できる。</w:t>
      </w:r>
    </w:p>
    <w:bookmarkEnd w:id="62"/>
    <w:bookmarkEnd w:id="63"/>
    <w:bookmarkStart w:id="66" w:name="生涯学習"/>
    <w:p>
      <w:pPr>
        <w:pStyle w:val="Heading2"/>
      </w:pPr>
      <w:r>
        <w:rPr>
          <w:rStyle w:val="SectionNumber"/>
        </w:rPr>
        <w:t xml:space="preserve">3.2</w:t>
      </w:r>
      <w:r>
        <w:tab/>
      </w:r>
      <w:r>
        <w:t xml:space="preserve">生涯学習</w:t>
      </w:r>
    </w:p>
    <w:p>
      <w:pPr>
        <w:pStyle w:val="FirstParagraph"/>
      </w:pPr>
      <w:r>
        <w:t xml:space="preserve">生涯学び続ける価値観を形成する</w:t>
      </w:r>
    </w:p>
    <w:bookmarkStart w:id="64" w:name="生涯学習の実践"/>
    <w:p>
      <w:pPr>
        <w:pStyle w:val="Heading3"/>
      </w:pPr>
      <w:r>
        <w:rPr>
          <w:rStyle w:val="SectionNumber"/>
        </w:rPr>
        <w:t xml:space="preserve">3.2.1</w:t>
      </w:r>
      <w:r>
        <w:tab/>
      </w:r>
      <w:r>
        <w:t xml:space="preserve">生涯学習の実践</w:t>
      </w:r>
    </w:p>
    <w:p>
      <w:pPr>
        <w:numPr>
          <w:ilvl w:val="0"/>
          <w:numId w:val="1035"/>
        </w:numPr>
      </w:pPr>
      <w:r>
        <w:t xml:space="preserve">医学知識が常に変わりゆくことを認識し、最善の医学情報にアクセスできる。</w:t>
      </w:r>
    </w:p>
    <w:p>
      <w:pPr>
        <w:numPr>
          <w:ilvl w:val="0"/>
          <w:numId w:val="1035"/>
        </w:numPr>
      </w:pPr>
      <w:r>
        <w:t xml:space="preserve">削除:生涯にわたる継続的学習に必要な情報を収集できる。</w:t>
      </w:r>
    </w:p>
    <w:p>
      <w:pPr>
        <w:numPr>
          <w:ilvl w:val="0"/>
          <w:numId w:val="1035"/>
        </w:numPr>
      </w:pPr>
      <w:r>
        <w:t xml:space="preserve">学習・経験したことを省察し、自己の課題を明確にすることが出来る。</w:t>
      </w:r>
    </w:p>
    <w:bookmarkEnd w:id="64"/>
    <w:bookmarkStart w:id="65" w:name="キャリア開発"/>
    <w:p>
      <w:pPr>
        <w:pStyle w:val="Heading3"/>
      </w:pPr>
      <w:r>
        <w:rPr>
          <w:rStyle w:val="SectionNumber"/>
        </w:rPr>
        <w:t xml:space="preserve">3.2.2</w:t>
      </w:r>
      <w:r>
        <w:tab/>
      </w:r>
      <w:r>
        <w:t xml:space="preserve">キャリア開発</w:t>
      </w:r>
    </w:p>
    <w:p>
      <w:pPr>
        <w:numPr>
          <w:ilvl w:val="0"/>
          <w:numId w:val="1036"/>
        </w:numPr>
        <w:pStyle w:val="Compact"/>
      </w:pPr>
      <w:r>
        <w:t xml:space="preserve">主体的なキャリア形成の必要性を理解し、自己の職業観を涵養する。</w:t>
      </w:r>
    </w:p>
    <w:p>
      <w:pPr>
        <w:numPr>
          <w:ilvl w:val="0"/>
          <w:numId w:val="1036"/>
        </w:numPr>
        <w:pStyle w:val="Compact"/>
      </w:pPr>
      <w:r>
        <w:t xml:space="preserve">削除:キャリアステージにより求められる能力に異なるニーズがあることを理解する。</w:t>
      </w:r>
    </w:p>
    <w:bookmarkEnd w:id="65"/>
    <w:bookmarkEnd w:id="66"/>
    <w:bookmarkStart w:id="68" w:name="医療者教育"/>
    <w:p>
      <w:pPr>
        <w:pStyle w:val="Heading2"/>
      </w:pPr>
      <w:r>
        <w:rPr>
          <w:rStyle w:val="SectionNumber"/>
        </w:rPr>
        <w:t xml:space="preserve">3.3</w:t>
      </w:r>
      <w:r>
        <w:tab/>
      </w:r>
      <w:r>
        <w:t xml:space="preserve">医療者教育</w:t>
      </w:r>
    </w:p>
    <w:p>
      <w:pPr>
        <w:pStyle w:val="FirstParagraph"/>
      </w:pPr>
      <w:r>
        <w:t xml:space="preserve">医師・医学生に限らず同僚や後輩を含む医療者への教育に貢献する</w:t>
      </w:r>
    </w:p>
    <w:bookmarkStart w:id="67" w:name="医療者教育の実践"/>
    <w:p>
      <w:pPr>
        <w:pStyle w:val="Heading3"/>
      </w:pPr>
      <w:r>
        <w:rPr>
          <w:rStyle w:val="SectionNumber"/>
        </w:rPr>
        <w:t xml:space="preserve">3.3.1</w:t>
      </w:r>
      <w:r>
        <w:tab/>
      </w:r>
      <w:r>
        <w:t xml:space="preserve">医療者教育の実践</w:t>
      </w:r>
    </w:p>
    <w:p>
      <w:pPr>
        <w:numPr>
          <w:ilvl w:val="0"/>
          <w:numId w:val="1037"/>
        </w:numPr>
        <w:pStyle w:val="Compact"/>
      </w:pPr>
      <w:r>
        <w:t xml:space="preserve">後輩や同僚とともに協働学習を実践できる。</w:t>
      </w:r>
    </w:p>
    <w:p>
      <w:pPr>
        <w:numPr>
          <w:ilvl w:val="0"/>
          <w:numId w:val="1037"/>
        </w:numPr>
        <w:pStyle w:val="Compact"/>
      </w:pPr>
      <w:r>
        <w:t xml:space="preserve">削除：教育設計の手法を理解した上で、後輩や同僚への教育を実践できる</w:t>
      </w:r>
    </w:p>
    <w:p>
      <w:pPr>
        <w:numPr>
          <w:ilvl w:val="0"/>
          <w:numId w:val="1037"/>
        </w:numPr>
        <w:pStyle w:val="Compact"/>
      </w:pPr>
      <w:r>
        <w:t xml:space="preserve">後輩や同僚に対して、適切にフィードバックできる。</w:t>
      </w:r>
    </w:p>
    <w:p>
      <w:pPr>
        <w:numPr>
          <w:ilvl w:val="0"/>
          <w:numId w:val="1037"/>
        </w:numPr>
        <w:pStyle w:val="Compact"/>
      </w:pPr>
      <w:r>
        <w:t xml:space="preserve">成人学習理論を基盤に、後輩や同僚の教育を実践できる。</w:t>
      </w:r>
    </w:p>
    <w:bookmarkEnd w:id="67"/>
    <w:bookmarkEnd w:id="68"/>
    <w:bookmarkEnd w:id="69"/>
    <w:bookmarkStart w:id="79" w:name="情報科学技術を活かす能力"/>
    <w:p>
      <w:pPr>
        <w:pStyle w:val="Heading1"/>
      </w:pPr>
      <w:r>
        <w:rPr>
          <w:rStyle w:val="SectionNumber"/>
        </w:rPr>
        <w:t xml:space="preserve">4</w:t>
      </w:r>
      <w:r>
        <w:tab/>
      </w:r>
      <w:r>
        <w:t xml:space="preserve">情報・科学技術を活かす能力</w:t>
      </w:r>
    </w:p>
    <w:p>
      <w:pPr>
        <w:pStyle w:val="FirstParagraph"/>
      </w:pPr>
      <w:r>
        <w:t xml:space="preserve">発展し続ける情報社会を理解し、人工知能を含めた高度科学技術を活用しながら、医療・医学研究を最適化する。</w:t>
      </w:r>
    </w:p>
    <w:bookmarkStart w:id="72" w:name="情報科学技術に向き合うための倫理観とルール"/>
    <w:p>
      <w:pPr>
        <w:pStyle w:val="Heading2"/>
      </w:pPr>
      <w:r>
        <w:rPr>
          <w:rStyle w:val="SectionNumber"/>
        </w:rPr>
        <w:t xml:space="preserve">4.1</w:t>
      </w:r>
      <w:r>
        <w:tab/>
      </w:r>
      <w:r>
        <w:t xml:space="preserve">情報・科学技術に向き合うための倫理観とルール</w:t>
      </w:r>
    </w:p>
    <w:p>
      <w:pPr>
        <w:pStyle w:val="FirstParagraph"/>
      </w:pPr>
      <w:r>
        <w:t xml:space="preserve">医療や研究等の場面で、情報科学技術を取り扱う際に必要な倫理観・デジタルプロフェッショナリズム・及び基本的原則を理解する。</w:t>
      </w:r>
    </w:p>
    <w:bookmarkStart w:id="70" w:name="情報科学技術に向き合うための準備"/>
    <w:p>
      <w:pPr>
        <w:pStyle w:val="Heading3"/>
      </w:pPr>
      <w:r>
        <w:rPr>
          <w:rStyle w:val="SectionNumber"/>
        </w:rPr>
        <w:t xml:space="preserve">4.1.1</w:t>
      </w:r>
      <w:r>
        <w:tab/>
      </w:r>
      <w:r>
        <w:t xml:space="preserve">情報・科学技術に向き合うための準備</w:t>
      </w:r>
    </w:p>
    <w:p>
      <w:pPr>
        <w:numPr>
          <w:ilvl w:val="0"/>
          <w:numId w:val="1038"/>
        </w:numPr>
        <w:pStyle w:val="Compact"/>
      </w:pPr>
      <w:r>
        <w:t xml:space="preserve">情報・科学技術を医療に活用することの重要性と社会的意義を説明できる。</w:t>
      </w:r>
    </w:p>
    <w:p>
      <w:pPr>
        <w:numPr>
          <w:ilvl w:val="0"/>
          <w:numId w:val="1038"/>
        </w:numPr>
        <w:pStyle w:val="Compact"/>
      </w:pPr>
      <w:r>
        <w:t xml:space="preserve">医療における情報・科学技術に関連する規制（法律・ガイドラインを含む）を説明できる。</w:t>
      </w:r>
    </w:p>
    <w:p>
      <w:pPr>
        <w:numPr>
          <w:ilvl w:val="0"/>
          <w:numId w:val="1038"/>
        </w:numPr>
        <w:pStyle w:val="Compact"/>
      </w:pPr>
      <w:r>
        <w:t xml:space="preserve">デジタルデバイドによる医療格差など、情報・科学技術の医療への活用で起こりうる倫理的問題を議論できる。</w:t>
      </w:r>
    </w:p>
    <w:bookmarkEnd w:id="70"/>
    <w:bookmarkStart w:id="71" w:name="情報科学技術利用にあたっての倫理観とルール"/>
    <w:p>
      <w:pPr>
        <w:pStyle w:val="Heading3"/>
      </w:pPr>
      <w:r>
        <w:rPr>
          <w:rStyle w:val="SectionNumber"/>
        </w:rPr>
        <w:t xml:space="preserve">4.1.2</w:t>
      </w:r>
      <w:r>
        <w:tab/>
      </w:r>
      <w:r>
        <w:t xml:space="preserve">情報・科学技術利用にあたっての倫理観とルール</w:t>
      </w:r>
    </w:p>
    <w:p>
      <w:pPr>
        <w:numPr>
          <w:ilvl w:val="0"/>
          <w:numId w:val="1039"/>
        </w:numPr>
        <w:pStyle w:val="Compact"/>
      </w:pPr>
      <w:r>
        <w:t xml:space="preserve">電子診療録（カルテ）をはじめとする医療情報の管理・保管の原則について理解し、関連する規制（法律、倫理基準、個人情報保護のための規定など）を遵守できる。</w:t>
      </w:r>
    </w:p>
    <w:p>
      <w:pPr>
        <w:numPr>
          <w:ilvl w:val="0"/>
          <w:numId w:val="1039"/>
        </w:numPr>
        <w:pStyle w:val="Compact"/>
      </w:pPr>
      <w:r>
        <w:t xml:space="preserve">ソーシャルメディア（インターネット、SNSなど）の利用における医療者として相応しい情報発信のあり方を理解し、実践できる。</w:t>
      </w:r>
    </w:p>
    <w:bookmarkEnd w:id="71"/>
    <w:bookmarkEnd w:id="72"/>
    <w:bookmarkStart w:id="75" w:name="医療とそれを取り巻く社会に必要な情報科学技術の原理"/>
    <w:p>
      <w:pPr>
        <w:pStyle w:val="Heading2"/>
      </w:pPr>
      <w:r>
        <w:rPr>
          <w:rStyle w:val="SectionNumber"/>
        </w:rPr>
        <w:t xml:space="preserve">4.2</w:t>
      </w:r>
      <w:r>
        <w:tab/>
      </w:r>
      <w:r>
        <w:t xml:space="preserve">医療とそれを取り巻く社会に必要な情報・科学技術の原理</w:t>
      </w:r>
    </w:p>
    <w:p>
      <w:pPr>
        <w:pStyle w:val="FirstParagraph"/>
      </w:pPr>
      <w:r>
        <w:t xml:space="preserve">安全かつ質の高い医療・医学研究に必要な情報・科学技術に関する基本理論を理解し、その知識を自身の学習や医療への適応する姿勢を体得する。</w:t>
      </w:r>
    </w:p>
    <w:bookmarkStart w:id="73" w:name="情報科学技術を活用した医療"/>
    <w:p>
      <w:pPr>
        <w:pStyle w:val="Heading3"/>
      </w:pPr>
      <w:r>
        <w:rPr>
          <w:rStyle w:val="SectionNumber"/>
        </w:rPr>
        <w:t xml:space="preserve">4.2.1</w:t>
      </w:r>
      <w:r>
        <w:tab/>
      </w:r>
      <w:r>
        <w:t xml:space="preserve">情報・科学技術を活用した医療</w:t>
      </w:r>
    </w:p>
    <w:p>
      <w:pPr>
        <w:numPr>
          <w:ilvl w:val="0"/>
          <w:numId w:val="1040"/>
        </w:numPr>
        <w:pStyle w:val="Compact"/>
      </w:pPr>
      <w:r>
        <w:t xml:space="preserve">情報端末（コンピューター、スマートフォンなど）によるインターネットやアプリ等の医療への活用方法を説明できる。</w:t>
      </w:r>
    </w:p>
    <w:p>
      <w:pPr>
        <w:numPr>
          <w:ilvl w:val="0"/>
          <w:numId w:val="1040"/>
        </w:numPr>
        <w:pStyle w:val="Compact"/>
      </w:pPr>
      <w:r>
        <w:t xml:space="preserve">情報・科学技術を用いて収集した情報およびデータを基に問題解決を図る。</w:t>
      </w:r>
    </w:p>
    <w:bookmarkEnd w:id="73"/>
    <w:bookmarkStart w:id="74" w:name="情報科学技術の先端知識"/>
    <w:p>
      <w:pPr>
        <w:pStyle w:val="Heading3"/>
      </w:pPr>
      <w:r>
        <w:rPr>
          <w:rStyle w:val="SectionNumber"/>
        </w:rPr>
        <w:t xml:space="preserve">4.2.2</w:t>
      </w:r>
      <w:r>
        <w:tab/>
      </w:r>
      <w:r>
        <w:t xml:space="preserve">情報・科学技術の先端知識</w:t>
      </w:r>
    </w:p>
    <w:p>
      <w:pPr>
        <w:numPr>
          <w:ilvl w:val="0"/>
          <w:numId w:val="1041"/>
        </w:numPr>
        <w:pStyle w:val="Compact"/>
      </w:pPr>
      <w:r>
        <w:t xml:space="preserve">医療に関連する情報・科学技術（医療情報システム、ウェアラブルデバイス、アプリ、人工知能、遠隔医療技術、Internet of Things （IoT）など）を理解し、応用の可能性を議論できる。</w:t>
      </w:r>
    </w:p>
    <w:p>
      <w:pPr>
        <w:numPr>
          <w:ilvl w:val="0"/>
          <w:numId w:val="1041"/>
        </w:numPr>
        <w:pStyle w:val="Compact"/>
      </w:pPr>
      <w:r>
        <w:t xml:space="preserve">情報・科学技術の専門家とともに、技術を医療へ応用する際に、医療者に求められる役割を理解する。</w:t>
      </w:r>
    </w:p>
    <w:p>
      <w:pPr>
        <w:numPr>
          <w:ilvl w:val="0"/>
          <w:numId w:val="1041"/>
        </w:numPr>
        <w:pStyle w:val="Compact"/>
      </w:pPr>
      <w:r>
        <w:t xml:space="preserve">削除：新たに開発される情報・科学技術に順応し、それらを自身の学び及び医療に活用する習慣を身につける。</w:t>
      </w:r>
    </w:p>
    <w:bookmarkEnd w:id="74"/>
    <w:bookmarkEnd w:id="75"/>
    <w:bookmarkStart w:id="78" w:name="診療現場における情報科学技術の活用"/>
    <w:p>
      <w:pPr>
        <w:pStyle w:val="Heading2"/>
      </w:pPr>
      <w:r>
        <w:rPr>
          <w:rStyle w:val="SectionNumber"/>
        </w:rPr>
        <w:t xml:space="preserve">4.3</w:t>
      </w:r>
      <w:r>
        <w:tab/>
      </w:r>
      <w:r>
        <w:t xml:space="preserve">診療現場における情報・科学技術の活用</w:t>
      </w:r>
    </w:p>
    <w:p>
      <w:pPr>
        <w:pStyle w:val="FirstParagraph"/>
      </w:pPr>
      <w:r>
        <w:t xml:space="preserve">遠隔医療を含む患者診療、及び学習の最適化に有効なICTツールの実践スキル、デジタルコミュニケーションスキルを修得する</w:t>
      </w:r>
    </w:p>
    <w:bookmarkStart w:id="76" w:name="情報科学技術を活用したコミュニケーションスキル"/>
    <w:p>
      <w:pPr>
        <w:pStyle w:val="Heading3"/>
      </w:pPr>
      <w:r>
        <w:rPr>
          <w:rStyle w:val="SectionNumber"/>
        </w:rPr>
        <w:t xml:space="preserve">4.3.1</w:t>
      </w:r>
      <w:r>
        <w:tab/>
      </w:r>
      <w:r>
        <w:t xml:space="preserve">情報・科学技術を活用したコミュニケーションスキル</w:t>
      </w:r>
    </w:p>
    <w:p>
      <w:pPr>
        <w:numPr>
          <w:ilvl w:val="0"/>
          <w:numId w:val="1042"/>
        </w:numPr>
        <w:pStyle w:val="Compact"/>
      </w:pPr>
      <w:r>
        <w:t xml:space="preserve">電子カルテの特性を踏まえた適切な記載や活用ができる。</w:t>
      </w:r>
    </w:p>
    <w:p>
      <w:pPr>
        <w:numPr>
          <w:ilvl w:val="0"/>
          <w:numId w:val="1042"/>
        </w:numPr>
        <w:pStyle w:val="Compact"/>
      </w:pPr>
      <w:r>
        <w:t xml:space="preserve">遠隔コミュニケーションの目的に応じて適切なツール（電子メール、テレビ会議システム、SNSなど）を選択できる。</w:t>
      </w:r>
    </w:p>
    <w:bookmarkEnd w:id="76"/>
    <w:bookmarkStart w:id="77" w:name="情報科学技術を活用した学習スキル"/>
    <w:p>
      <w:pPr>
        <w:pStyle w:val="Heading3"/>
      </w:pPr>
      <w:r>
        <w:rPr>
          <w:rStyle w:val="SectionNumber"/>
        </w:rPr>
        <w:t xml:space="preserve">4.3.2</w:t>
      </w:r>
      <w:r>
        <w:tab/>
      </w:r>
      <w:r>
        <w:t xml:space="preserve">情報・科学技術を活用した学習スキル</w:t>
      </w:r>
    </w:p>
    <w:p>
      <w:pPr>
        <w:numPr>
          <w:ilvl w:val="0"/>
          <w:numId w:val="1043"/>
        </w:numPr>
        <w:pStyle w:val="Compact"/>
      </w:pPr>
      <w:r>
        <w:t xml:space="preserve">自己学習や協同学習の場に適切なInformation and Communication Technology (ICT)（eラーニング、モバイル技術など）を活用できる。</w:t>
      </w:r>
    </w:p>
    <w:p>
      <w:pPr>
        <w:numPr>
          <w:ilvl w:val="0"/>
          <w:numId w:val="1043"/>
        </w:numPr>
        <w:pStyle w:val="Compact"/>
      </w:pPr>
      <w:r>
        <w:t xml:space="preserve">削除：既存の医療関連デジタル技術（医療情報システム、モバイルアプリ、ウェアラブルデバイス、人工知能、遠隔医療技術など）の理解を基盤とし、新たに登場する情報・科学技術について探索的に学ぶ。</w:t>
      </w:r>
    </w:p>
    <w:p>
      <w:pPr>
        <w:numPr>
          <w:ilvl w:val="0"/>
          <w:numId w:val="1043"/>
        </w:numPr>
        <w:pStyle w:val="Compact"/>
      </w:pPr>
      <w:r>
        <w:t xml:space="preserve">新たに登場する情報・科学技術を自身の学びおよび医療に活用する柔軟性を有する。</w:t>
      </w:r>
    </w:p>
    <w:bookmarkEnd w:id="77"/>
    <w:bookmarkEnd w:id="78"/>
    <w:bookmarkEnd w:id="79"/>
    <w:bookmarkStart w:id="101" w:name="患者ケアのための診療技能"/>
    <w:p>
      <w:pPr>
        <w:pStyle w:val="Heading1"/>
      </w:pPr>
      <w:r>
        <w:rPr>
          <w:rStyle w:val="SectionNumber"/>
        </w:rPr>
        <w:t xml:space="preserve">5</w:t>
      </w:r>
      <w:r>
        <w:tab/>
      </w:r>
      <w:r>
        <w:t xml:space="preserve">患者ケアのための診療技能</w:t>
      </w:r>
    </w:p>
    <w:p>
      <w:pPr>
        <w:pStyle w:val="FirstParagraph"/>
      </w:pPr>
      <w:r>
        <w:t xml:space="preserve">安全で質の高い医療を実践するために、匠（たくみ）としての技（診療技能）を磨き、それを遺憾無く発揮して診療を実践する。</w:t>
      </w:r>
    </w:p>
    <w:bookmarkStart w:id="82" w:name="患者の情報収集"/>
    <w:p>
      <w:pPr>
        <w:pStyle w:val="Heading2"/>
      </w:pPr>
      <w:r>
        <w:rPr>
          <w:rStyle w:val="SectionNumber"/>
        </w:rPr>
        <w:t xml:space="preserve">5.1</w:t>
      </w:r>
      <w:r>
        <w:tab/>
      </w:r>
      <w:r>
        <w:t xml:space="preserve">患者の情報収集</w:t>
      </w:r>
    </w:p>
    <w:p>
      <w:pPr>
        <w:pStyle w:val="FirstParagraph"/>
      </w:pPr>
      <w:r>
        <w:t xml:space="preserve">患者本人、家族、医療スタッフなど関係する様々なリソースを活用し、診療に必要な情報を収集できる。</w:t>
      </w:r>
    </w:p>
    <w:bookmarkStart w:id="80" w:name="医療面接"/>
    <w:p>
      <w:pPr>
        <w:pStyle w:val="Heading3"/>
      </w:pPr>
      <w:r>
        <w:rPr>
          <w:rStyle w:val="SectionNumber"/>
        </w:rPr>
        <w:t xml:space="preserve">5.1.1</w:t>
      </w:r>
      <w:r>
        <w:tab/>
      </w:r>
      <w:r>
        <w:t xml:space="preserve">医療面接</w:t>
      </w:r>
    </w:p>
    <w:p>
      <w:pPr>
        <w:numPr>
          <w:ilvl w:val="0"/>
          <w:numId w:val="1044"/>
        </w:numPr>
        <w:pStyle w:val="Compact"/>
      </w:pPr>
      <w:r>
        <w:t xml:space="preserve">削除:適切な身だしなみ、言葉遣い及び態度で患者に接することができる。</w:t>
      </w:r>
    </w:p>
    <w:p>
      <w:pPr>
        <w:numPr>
          <w:ilvl w:val="0"/>
          <w:numId w:val="1044"/>
        </w:numPr>
        <w:pStyle w:val="Compact"/>
      </w:pPr>
      <w:r>
        <w:t xml:space="preserve">医療面接における基本的コミュニケーション技法を用いることができる。</w:t>
      </w:r>
    </w:p>
    <w:p>
      <w:pPr>
        <w:numPr>
          <w:ilvl w:val="0"/>
          <w:numId w:val="1044"/>
        </w:numPr>
        <w:pStyle w:val="Compact"/>
      </w:pPr>
      <w:r>
        <w:t xml:space="preserve">病歴（主訴、現病歴、常用薬、アレルギー歴、既往歴、家族歴、嗜好、生活習慣、社会歴・職業歴、生活環境、家庭環境、海外渡航歴、システムレビュー）を聴き取り、情報を取捨選択し整理できる。</w:t>
      </w:r>
    </w:p>
    <w:p>
      <w:pPr>
        <w:numPr>
          <w:ilvl w:val="0"/>
          <w:numId w:val="1044"/>
        </w:numPr>
        <w:pStyle w:val="Compact"/>
      </w:pPr>
      <w:r>
        <w:t xml:space="preserve">削除:患者の立場を尊重し、信頼を得ることができる。</w:t>
      </w:r>
    </w:p>
    <w:p>
      <w:pPr>
        <w:numPr>
          <w:ilvl w:val="0"/>
          <w:numId w:val="1044"/>
        </w:numPr>
        <w:pStyle w:val="Compact"/>
      </w:pPr>
      <w:r>
        <w:t xml:space="preserve">患者に関わる人たちから必要な情報を得ることが参加できる。</w:t>
      </w:r>
    </w:p>
    <w:bookmarkEnd w:id="80"/>
    <w:bookmarkStart w:id="81" w:name="身体所見"/>
    <w:p>
      <w:pPr>
        <w:pStyle w:val="Heading3"/>
      </w:pPr>
      <w:r>
        <w:rPr>
          <w:rStyle w:val="SectionNumber"/>
        </w:rPr>
        <w:t xml:space="preserve">5.1.2</w:t>
      </w:r>
      <w:r>
        <w:tab/>
      </w:r>
      <w:r>
        <w:t xml:space="preserve">身体所見</w:t>
      </w:r>
    </w:p>
    <w:p>
      <w:pPr>
        <w:numPr>
          <w:ilvl w:val="0"/>
          <w:numId w:val="1045"/>
        </w:numPr>
        <w:pStyle w:val="Compact"/>
      </w:pPr>
      <w:r>
        <w:t xml:space="preserve">患者の状態から診察が可能かどうかを判断し、状態に応じた診察ができる。</w:t>
      </w:r>
    </w:p>
    <w:p>
      <w:pPr>
        <w:numPr>
          <w:ilvl w:val="0"/>
          <w:numId w:val="1045"/>
        </w:numPr>
        <w:pStyle w:val="Compact"/>
      </w:pPr>
      <w:r>
        <w:t xml:space="preserve">削除:身長・体重を測定し、body mass index</w:t>
      </w:r>
      <w:r>
        <w:t xml:space="preserve"> </w:t>
      </w:r>
      <w:r>
        <w:t xml:space="preserve">の算出、栄養状態を評価できる。</w:t>
      </w:r>
    </w:p>
    <w:p>
      <w:pPr>
        <w:numPr>
          <w:ilvl w:val="0"/>
          <w:numId w:val="1045"/>
        </w:numPr>
        <w:pStyle w:val="Compact"/>
      </w:pPr>
      <w:r>
        <w:t xml:space="preserve">全身の外観（体型、栄養、姿勢、歩行、顔貌、皮膚、発声）を評価できる。</w:t>
      </w:r>
    </w:p>
    <w:p>
      <w:pPr>
        <w:numPr>
          <w:ilvl w:val="0"/>
          <w:numId w:val="1045"/>
        </w:numPr>
        <w:pStyle w:val="Compact"/>
      </w:pPr>
      <w:r>
        <w:t xml:space="preserve">バイタルサイン(体温、呼吸数、酸素飽和度、脈拍、血圧)の測定ができる</w:t>
      </w:r>
    </w:p>
    <w:p>
      <w:pPr>
        <w:numPr>
          <w:ilvl w:val="0"/>
          <w:numId w:val="1045"/>
        </w:numPr>
        <w:pStyle w:val="Compact"/>
      </w:pPr>
      <w:r>
        <w:t xml:space="preserve">適切な体位（立位、座位、半座位、臥位、砕石位）で診察できる。</w:t>
      </w:r>
    </w:p>
    <w:p>
      <w:pPr>
        <w:numPr>
          <w:ilvl w:val="0"/>
          <w:numId w:val="1045"/>
        </w:numPr>
        <w:pStyle w:val="Compact"/>
      </w:pPr>
      <w:r>
        <w:t xml:space="preserve">頭部（顔貌、頭髪、頭皮、頭蓋）の診察ができる。</w:t>
      </w:r>
    </w:p>
    <w:p>
      <w:pPr>
        <w:numPr>
          <w:ilvl w:val="0"/>
          <w:numId w:val="1045"/>
        </w:numPr>
        <w:pStyle w:val="Compact"/>
      </w:pPr>
      <w:r>
        <w:t xml:space="preserve">眼（視野、瞳孔、対光反射、眼球運動・突出、結膜）の診察ができる。</w:t>
      </w:r>
    </w:p>
    <w:p>
      <w:pPr>
        <w:numPr>
          <w:ilvl w:val="0"/>
          <w:numId w:val="1045"/>
        </w:numPr>
        <w:pStyle w:val="Compact"/>
      </w:pPr>
      <w:r>
        <w:t xml:space="preserve">耳（耳介、聴力）の診察ができる。</w:t>
      </w:r>
    </w:p>
    <w:p>
      <w:pPr>
        <w:numPr>
          <w:ilvl w:val="0"/>
          <w:numId w:val="1045"/>
        </w:numPr>
        <w:pStyle w:val="Compact"/>
      </w:pPr>
      <w:r>
        <w:t xml:space="preserve">耳鏡で外耳道、鼓膜を観察できる。</w:t>
      </w:r>
    </w:p>
    <w:p>
      <w:pPr>
        <w:numPr>
          <w:ilvl w:val="0"/>
          <w:numId w:val="1045"/>
        </w:numPr>
        <w:pStyle w:val="Compact"/>
      </w:pPr>
      <w:r>
        <w:t xml:space="preserve">口唇、口腔、咽頭、扁桃の診察ができる。</w:t>
      </w:r>
    </w:p>
    <w:p>
      <w:pPr>
        <w:numPr>
          <w:ilvl w:val="0"/>
          <w:numId w:val="1045"/>
        </w:numPr>
        <w:pStyle w:val="Compact"/>
      </w:pPr>
      <w:r>
        <w:t xml:space="preserve">副鼻腔の診察ができる。</w:t>
      </w:r>
    </w:p>
    <w:p>
      <w:pPr>
        <w:numPr>
          <w:ilvl w:val="0"/>
          <w:numId w:val="1045"/>
        </w:numPr>
        <w:pStyle w:val="Compact"/>
      </w:pPr>
      <w:r>
        <w:t xml:space="preserve">鼻鏡を用いて前鼻腔を観察できる。</w:t>
      </w:r>
    </w:p>
    <w:p>
      <w:pPr>
        <w:numPr>
          <w:ilvl w:val="0"/>
          <w:numId w:val="1045"/>
        </w:numPr>
        <w:pStyle w:val="Compact"/>
      </w:pPr>
      <w:r>
        <w:t xml:space="preserve">甲状腺、頸部血管、気管、唾液腺の診察ができる。</w:t>
      </w:r>
    </w:p>
    <w:p>
      <w:pPr>
        <w:numPr>
          <w:ilvl w:val="0"/>
          <w:numId w:val="1045"/>
        </w:numPr>
        <w:pStyle w:val="Compact"/>
      </w:pPr>
      <w:r>
        <w:t xml:space="preserve">頭頸部リンパ節の診察ができる。</w:t>
      </w:r>
    </w:p>
    <w:p>
      <w:pPr>
        <w:numPr>
          <w:ilvl w:val="0"/>
          <w:numId w:val="1045"/>
        </w:numPr>
        <w:pStyle w:val="Compact"/>
      </w:pPr>
      <w:r>
        <w:t xml:space="preserve">胸部の視診、触診、打診ができる。</w:t>
      </w:r>
    </w:p>
    <w:p>
      <w:pPr>
        <w:numPr>
          <w:ilvl w:val="0"/>
          <w:numId w:val="1045"/>
        </w:numPr>
        <w:pStyle w:val="Compact"/>
      </w:pPr>
      <w:r>
        <w:t xml:space="preserve">呼吸音と副雑音の聴診ができる。</w:t>
      </w:r>
    </w:p>
    <w:p>
      <w:pPr>
        <w:numPr>
          <w:ilvl w:val="0"/>
          <w:numId w:val="1045"/>
        </w:numPr>
        <w:pStyle w:val="Compact"/>
      </w:pPr>
      <w:r>
        <w:t xml:space="preserve">心音と心雑音の聴診ができる。</w:t>
      </w:r>
    </w:p>
    <w:p>
      <w:pPr>
        <w:numPr>
          <w:ilvl w:val="0"/>
          <w:numId w:val="1045"/>
        </w:numPr>
        <w:pStyle w:val="Compact"/>
      </w:pPr>
      <w:r>
        <w:t xml:space="preserve">腹部の視診、聴診(腸雑音、血管雑音)、打診、触診ができる。</w:t>
      </w:r>
    </w:p>
    <w:p>
      <w:pPr>
        <w:numPr>
          <w:ilvl w:val="0"/>
          <w:numId w:val="1045"/>
        </w:numPr>
        <w:pStyle w:val="Compact"/>
      </w:pPr>
      <w:r>
        <w:t xml:space="preserve">背部の叩打痛を確認できる。</w:t>
      </w:r>
    </w:p>
    <w:p>
      <w:pPr>
        <w:numPr>
          <w:ilvl w:val="0"/>
          <w:numId w:val="1045"/>
        </w:numPr>
        <w:pStyle w:val="Compact"/>
      </w:pPr>
      <w:r>
        <w:t xml:space="preserve">直腸（前立腺を含む）指診を実演できる。</w:t>
      </w:r>
    </w:p>
    <w:p>
      <w:pPr>
        <w:numPr>
          <w:ilvl w:val="0"/>
          <w:numId w:val="1045"/>
        </w:numPr>
        <w:pStyle w:val="Compact"/>
      </w:pPr>
      <w:r>
        <w:t xml:space="preserve">乳房の診察を実演できる。</w:t>
      </w:r>
    </w:p>
    <w:p>
      <w:pPr>
        <w:numPr>
          <w:ilvl w:val="0"/>
          <w:numId w:val="1045"/>
        </w:numPr>
        <w:pStyle w:val="Compact"/>
      </w:pPr>
      <w:r>
        <w:t xml:space="preserve">意識レベルを判定できる。</w:t>
      </w:r>
    </w:p>
    <w:p>
      <w:pPr>
        <w:numPr>
          <w:ilvl w:val="0"/>
          <w:numId w:val="1045"/>
        </w:numPr>
        <w:pStyle w:val="Compact"/>
      </w:pPr>
      <w:r>
        <w:t xml:space="preserve">脳神経系の診察ができる（眼底検査を含む）。</w:t>
      </w:r>
    </w:p>
    <w:p>
      <w:pPr>
        <w:numPr>
          <w:ilvl w:val="0"/>
          <w:numId w:val="1045"/>
        </w:numPr>
        <w:pStyle w:val="Compact"/>
      </w:pPr>
      <w:r>
        <w:t xml:space="preserve">脳神経系の診察ができる（眼底検査を含む）。</w:t>
      </w:r>
    </w:p>
    <w:p>
      <w:pPr>
        <w:numPr>
          <w:ilvl w:val="0"/>
          <w:numId w:val="1045"/>
        </w:numPr>
        <w:pStyle w:val="Compact"/>
      </w:pPr>
      <w:r>
        <w:t xml:space="preserve">腱反射の診察ができる。</w:t>
      </w:r>
    </w:p>
    <w:p>
      <w:pPr>
        <w:numPr>
          <w:ilvl w:val="0"/>
          <w:numId w:val="1045"/>
        </w:numPr>
        <w:pStyle w:val="Compact"/>
      </w:pPr>
      <w:r>
        <w:t xml:space="preserve">小脳機能・運動系の診察ができる。</w:t>
      </w:r>
    </w:p>
    <w:p>
      <w:pPr>
        <w:numPr>
          <w:ilvl w:val="0"/>
          <w:numId w:val="1045"/>
        </w:numPr>
        <w:pStyle w:val="Compact"/>
      </w:pPr>
      <w:r>
        <w:t xml:space="preserve">感覚系（痛覚、温度覚、触覚、深部感覚）の診察ができる。</w:t>
      </w:r>
    </w:p>
    <w:p>
      <w:pPr>
        <w:numPr>
          <w:ilvl w:val="0"/>
          <w:numId w:val="1045"/>
        </w:numPr>
        <w:pStyle w:val="Compact"/>
      </w:pPr>
      <w:r>
        <w:t xml:space="preserve">髄膜刺激所見を確認できる。</w:t>
      </w:r>
    </w:p>
    <w:p>
      <w:pPr>
        <w:numPr>
          <w:ilvl w:val="0"/>
          <w:numId w:val="1045"/>
        </w:numPr>
        <w:pStyle w:val="Compact"/>
      </w:pPr>
      <w:r>
        <w:t xml:space="preserve">四肢と脊柱（弯曲、疼痛）の診察ができる。</w:t>
      </w:r>
    </w:p>
    <w:p>
      <w:pPr>
        <w:numPr>
          <w:ilvl w:val="0"/>
          <w:numId w:val="1045"/>
        </w:numPr>
        <w:pStyle w:val="Compact"/>
      </w:pPr>
      <w:r>
        <w:t xml:space="preserve">関節（可動域、腫脹、疼痛、変形）の診察ができる。</w:t>
      </w:r>
    </w:p>
    <w:p>
      <w:pPr>
        <w:numPr>
          <w:ilvl w:val="0"/>
          <w:numId w:val="1045"/>
        </w:numPr>
        <w:pStyle w:val="Compact"/>
      </w:pPr>
      <w:r>
        <w:t xml:space="preserve">筋骨格系の診察（徒手筋力テスト）ができる。</w:t>
      </w:r>
    </w:p>
    <w:p>
      <w:pPr>
        <w:numPr>
          <w:ilvl w:val="0"/>
          <w:numId w:val="1045"/>
        </w:numPr>
        <w:pStyle w:val="Compact"/>
      </w:pPr>
      <w:r>
        <w:t xml:space="preserve">主要診療科[^table:主要診療科]における診察ができる。</w:t>
      </w:r>
    </w:p>
    <w:bookmarkEnd w:id="81"/>
    <w:bookmarkEnd w:id="82"/>
    <w:bookmarkStart w:id="89" w:name="患者情報の統合分析と評価診療計画"/>
    <w:p>
      <w:pPr>
        <w:pStyle w:val="Heading2"/>
      </w:pPr>
      <w:r>
        <w:rPr>
          <w:rStyle w:val="SectionNumber"/>
        </w:rPr>
        <w:t xml:space="preserve">5.2</w:t>
      </w:r>
      <w:r>
        <w:tab/>
      </w:r>
      <w:r>
        <w:t xml:space="preserve">患者情報の統合、分析と評価、診療計画</w:t>
      </w:r>
    </w:p>
    <w:p>
      <w:pPr>
        <w:pStyle w:val="FirstParagraph"/>
      </w:pPr>
      <w:r>
        <w:t xml:space="preserve">得られたすべての情報を統合し、様々な観点から分析し、必要な医療について評価した上で提供すべき医療を計画できる。</w:t>
      </w:r>
    </w:p>
    <w:bookmarkStart w:id="83" w:name="カルテ記載"/>
    <w:p>
      <w:pPr>
        <w:pStyle w:val="Heading3"/>
      </w:pPr>
      <w:r>
        <w:rPr>
          <w:rStyle w:val="SectionNumber"/>
        </w:rPr>
        <w:t xml:space="preserve">5.2.1</w:t>
      </w:r>
      <w:r>
        <w:tab/>
      </w:r>
      <w:r>
        <w:t xml:space="preserve">カルテ記載</w:t>
      </w:r>
    </w:p>
    <w:p>
      <w:pPr>
        <w:numPr>
          <w:ilvl w:val="0"/>
          <w:numId w:val="1046"/>
        </w:numPr>
        <w:pStyle w:val="Compact"/>
      </w:pPr>
      <w:r>
        <w:t xml:space="preserve">適切に患者の情報を収集し、問題志向型医療記録</w:t>
      </w:r>
      <w:r>
        <w:t xml:space="preserve">を作成できる。</w:t>
      </w:r>
    </w:p>
    <w:p>
      <w:pPr>
        <w:numPr>
          <w:ilvl w:val="0"/>
          <w:numId w:val="1046"/>
        </w:numPr>
        <w:pStyle w:val="Compact"/>
      </w:pPr>
      <w:r>
        <w:t xml:space="preserve">診療経過を主観的所見・客観的所見・評価・計画</w:t>
      </w:r>
      <w:r>
        <w:t xml:space="preserve">で記載できる。</w:t>
      </w:r>
    </w:p>
    <w:p>
      <w:pPr>
        <w:numPr>
          <w:ilvl w:val="0"/>
          <w:numId w:val="1046"/>
        </w:numPr>
        <w:pStyle w:val="Compact"/>
      </w:pPr>
      <w:r>
        <w:t xml:space="preserve">過去の診療経過をまとめて診療録に記載できる</w:t>
      </w:r>
    </w:p>
    <w:bookmarkEnd w:id="83"/>
    <w:bookmarkStart w:id="84" w:name="臨床推論"/>
    <w:p>
      <w:pPr>
        <w:pStyle w:val="Heading3"/>
      </w:pPr>
      <w:r>
        <w:rPr>
          <w:rStyle w:val="SectionNumber"/>
        </w:rPr>
        <w:t xml:space="preserve">5.2.2</w:t>
      </w:r>
      <w:r>
        <w:tab/>
      </w:r>
      <w:r>
        <w:t xml:space="preserve">臨床推論</w:t>
      </w:r>
    </w:p>
    <w:p>
      <w:pPr>
        <w:numPr>
          <w:ilvl w:val="0"/>
          <w:numId w:val="1047"/>
        </w:numPr>
        <w:pStyle w:val="Compact"/>
      </w:pPr>
      <w:r>
        <w:t xml:space="preserve">主要症候[^table:主要症候]について原因と病態生理を説明できる。</w:t>
      </w:r>
    </w:p>
    <w:p>
      <w:pPr>
        <w:numPr>
          <w:ilvl w:val="0"/>
          <w:numId w:val="1047"/>
        </w:numPr>
        <w:pStyle w:val="Compact"/>
      </w:pPr>
      <w:r>
        <w:t xml:space="preserve">主要症候[^table:主要症候]について鑑別診断を検討し、診断の要点を説明できる。</w:t>
      </w:r>
    </w:p>
    <w:p>
      <w:pPr>
        <w:numPr>
          <w:ilvl w:val="0"/>
          <w:numId w:val="1047"/>
        </w:numPr>
        <w:pStyle w:val="Compact"/>
      </w:pPr>
      <w:r>
        <w:t xml:space="preserve">削除:診断仮説を検証するために、診断仮説に基づいた情報収集を実施できる。</w:t>
      </w:r>
    </w:p>
    <w:p>
      <w:pPr>
        <w:numPr>
          <w:ilvl w:val="0"/>
          <w:numId w:val="1047"/>
        </w:numPr>
        <w:pStyle w:val="Compact"/>
      </w:pPr>
      <w:r>
        <w:t xml:space="preserve">削除:症例に関する情報を収集・分析できる。</w:t>
      </w:r>
    </w:p>
    <w:p>
      <w:pPr>
        <w:numPr>
          <w:ilvl w:val="0"/>
          <w:numId w:val="1047"/>
        </w:numPr>
        <w:pStyle w:val="Compact"/>
      </w:pPr>
      <w:r>
        <w:t xml:space="preserve">削除:得られた情報を基に、その症例の問題点を抽出できる。</w:t>
      </w:r>
    </w:p>
    <w:p>
      <w:pPr>
        <w:numPr>
          <w:ilvl w:val="0"/>
          <w:numId w:val="1047"/>
        </w:numPr>
        <w:pStyle w:val="Compact"/>
      </w:pPr>
      <w:r>
        <w:t xml:space="preserve">削除:病歴と身体所見等の情報を統合して、鑑別診断ができる。</w:t>
      </w:r>
    </w:p>
    <w:p>
      <w:pPr>
        <w:numPr>
          <w:ilvl w:val="0"/>
          <w:numId w:val="1047"/>
        </w:numPr>
        <w:pStyle w:val="Compact"/>
      </w:pPr>
      <w:r>
        <w:t xml:space="preserve">主要診療科[^table:主要診療科]でのそれぞれの状況を考慮して主訴からの診断推論を組み立てられる</w:t>
      </w:r>
    </w:p>
    <w:p>
      <w:pPr>
        <w:numPr>
          <w:ilvl w:val="0"/>
          <w:numId w:val="1047"/>
        </w:numPr>
        <w:pStyle w:val="Compact"/>
      </w:pPr>
      <w:r>
        <w:t xml:space="preserve">主要診療科[^table:主要診療科]における疾患の病態や疫学を説明できる</w:t>
      </w:r>
    </w:p>
    <w:p>
      <w:pPr>
        <w:numPr>
          <w:ilvl w:val="0"/>
          <w:numId w:val="1047"/>
        </w:numPr>
        <w:pStyle w:val="Compact"/>
      </w:pPr>
      <w:r>
        <w:t xml:space="preserve">鑑別を複数の観点(頻度・重症度・緊急度など)で整理することができる</w:t>
      </w:r>
    </w:p>
    <w:p>
      <w:pPr>
        <w:numPr>
          <w:ilvl w:val="0"/>
          <w:numId w:val="1047"/>
        </w:numPr>
        <w:pStyle w:val="Compact"/>
      </w:pPr>
      <w:r>
        <w:t xml:space="preserve">削除:主訴からの診断推論を組み立てる、又はたどる。</w:t>
      </w:r>
    </w:p>
    <w:p>
      <w:pPr>
        <w:numPr>
          <w:ilvl w:val="0"/>
          <w:numId w:val="1047"/>
        </w:numPr>
        <w:pStyle w:val="Compact"/>
      </w:pPr>
      <w:r>
        <w:t xml:space="preserve">削除:女性の健康問題に関する理解を深める。</w:t>
      </w:r>
    </w:p>
    <w:p>
      <w:pPr>
        <w:numPr>
          <w:ilvl w:val="0"/>
          <w:numId w:val="1047"/>
        </w:numPr>
        <w:pStyle w:val="Compact"/>
      </w:pPr>
      <w:r>
        <w:t xml:space="preserve">病歴・身体診察を重視した診断推論（診断がつかない場合を含む）ができる。</w:t>
      </w:r>
    </w:p>
    <w:p>
      <w:pPr>
        <w:numPr>
          <w:ilvl w:val="0"/>
          <w:numId w:val="1047"/>
        </w:numPr>
        <w:pStyle w:val="Compact"/>
      </w:pPr>
      <w:r>
        <w:t xml:space="preserve">削除:呼吸、循環を安定化するための初期治療を学ぶ。</w:t>
      </w:r>
    </w:p>
    <w:p>
      <w:pPr>
        <w:numPr>
          <w:ilvl w:val="0"/>
          <w:numId w:val="1047"/>
        </w:numPr>
        <w:pStyle w:val="Compact"/>
      </w:pPr>
      <w:r>
        <w:t xml:space="preserve">削除:症候をベースとした診断推論を組み立てる、又はたどる。</w:t>
      </w:r>
    </w:p>
    <w:bookmarkEnd w:id="84"/>
    <w:bookmarkStart w:id="85" w:name="検査計画分析評価"/>
    <w:p>
      <w:pPr>
        <w:pStyle w:val="Heading3"/>
      </w:pPr>
      <w:r>
        <w:rPr>
          <w:rStyle w:val="SectionNumber"/>
        </w:rPr>
        <w:t xml:space="preserve">5.2.3</w:t>
      </w:r>
      <w:r>
        <w:tab/>
      </w:r>
      <w:r>
        <w:t xml:space="preserve">検査(計画・分析評価)</w:t>
      </w:r>
    </w:p>
    <w:p>
      <w:pPr>
        <w:numPr>
          <w:ilvl w:val="0"/>
          <w:numId w:val="1048"/>
        </w:numPr>
        <w:pStyle w:val="Compact"/>
      </w:pPr>
      <w:r>
        <w:t xml:space="preserve">削除:小児の成長・発達の評価を評価できる。</w:t>
      </w:r>
    </w:p>
    <w:p>
      <w:pPr>
        <w:numPr>
          <w:ilvl w:val="0"/>
          <w:numId w:val="1048"/>
        </w:numPr>
        <w:pStyle w:val="Compact"/>
      </w:pPr>
      <w:r>
        <w:t xml:space="preserve">臨床検査の目的と意義を説明でき、必要最小限の検査項目を選択できる。</w:t>
      </w:r>
    </w:p>
    <w:p>
      <w:pPr>
        <w:numPr>
          <w:ilvl w:val="0"/>
          <w:numId w:val="1048"/>
        </w:numPr>
        <w:pStyle w:val="Compact"/>
      </w:pPr>
      <w:r>
        <w:t xml:space="preserve">臨床検査の正しい検体採取方法と検体保存方法を説明できる。</w:t>
      </w:r>
    </w:p>
    <w:p>
      <w:pPr>
        <w:numPr>
          <w:ilvl w:val="0"/>
          <w:numId w:val="1048"/>
        </w:numPr>
        <w:pStyle w:val="Compact"/>
      </w:pPr>
      <w:r>
        <w:t xml:space="preserve">臨床検査の安全な実施方法（患者確認と検体確認、検査の合併症、感染症予防、精度管理）を説明できる。</w:t>
      </w:r>
    </w:p>
    <w:p>
      <w:pPr>
        <w:numPr>
          <w:ilvl w:val="0"/>
          <w:numId w:val="1048"/>
        </w:numPr>
        <w:pStyle w:val="Compact"/>
      </w:pPr>
      <w:r>
        <w:t xml:space="preserve">臨床検査の特性（感度、特異度、偽陽性、偽陰性、検査前確率（事前確率）・検査後確率（事後確率）、尤度比、receiver operating characteristic</w:t>
      </w:r>
      <w:r>
        <w:t xml:space="preserve"> </w:t>
      </w:r>
      <w:r>
        <w:t xml:space="preserve">曲線）と判定基準（基準値・基準範囲、カットオフ値、パニック値）を説明できる。</w:t>
      </w:r>
    </w:p>
    <w:p>
      <w:pPr>
        <w:numPr>
          <w:ilvl w:val="0"/>
          <w:numId w:val="1048"/>
        </w:numPr>
        <w:pStyle w:val="Compact"/>
      </w:pPr>
      <w:r>
        <w:t xml:space="preserve">臨床検査の生理的変動、測定誤差、精度管理、ヒューマンエラーを説明できる。</w:t>
      </w:r>
    </w:p>
    <w:p>
      <w:pPr>
        <w:numPr>
          <w:ilvl w:val="0"/>
          <w:numId w:val="1048"/>
        </w:numPr>
        <w:pStyle w:val="Compact"/>
      </w:pPr>
      <w:r>
        <w:t xml:space="preserve">患者に応じた検査値特性を説明し、結果を解釈できる。</w:t>
      </w:r>
    </w:p>
    <w:p>
      <w:pPr>
        <w:numPr>
          <w:ilvl w:val="0"/>
          <w:numId w:val="1048"/>
        </w:numPr>
        <w:pStyle w:val="Compact"/>
      </w:pPr>
      <w:r>
        <w:t xml:space="preserve">血算、凝固・線溶検査、尿・糞便検査、生化学検査の目的と適応を説明し、結果を解釈できる。</w:t>
      </w:r>
    </w:p>
    <w:p>
      <w:pPr>
        <w:numPr>
          <w:ilvl w:val="0"/>
          <w:numId w:val="1048"/>
        </w:numPr>
        <w:pStyle w:val="Compact"/>
      </w:pPr>
      <w:r>
        <w:t xml:space="preserve">免疫血清学検査、輸血検査の目的と適応を説明し、結果を解釈できる。</w:t>
      </w:r>
    </w:p>
    <w:p>
      <w:pPr>
        <w:numPr>
          <w:ilvl w:val="0"/>
          <w:numId w:val="1048"/>
        </w:numPr>
        <w:pStyle w:val="Compact"/>
      </w:pPr>
      <w:r>
        <w:t xml:space="preserve">血液型(ABO、RhD)検査、血液交差適合（クロスマッチ）試験、不規則抗体検査を説明できる。</w:t>
      </w:r>
    </w:p>
    <w:p>
      <w:pPr>
        <w:numPr>
          <w:ilvl w:val="0"/>
          <w:numId w:val="1048"/>
        </w:numPr>
        <w:pStyle w:val="Compact"/>
      </w:pPr>
      <w:r>
        <w:t xml:space="preserve">動脈血ガス分析の目的と適応を説明し、結果を解釈できる。</w:t>
      </w:r>
    </w:p>
    <w:p>
      <w:pPr>
        <w:numPr>
          <w:ilvl w:val="0"/>
          <w:numId w:val="1048"/>
        </w:numPr>
        <w:pStyle w:val="Compact"/>
      </w:pPr>
      <w:r>
        <w:t xml:space="preserve">妊娠反応検査が必要な状況とその解釈を説明できる。</w:t>
      </w:r>
    </w:p>
    <w:p>
      <w:pPr>
        <w:numPr>
          <w:ilvl w:val="0"/>
          <w:numId w:val="1048"/>
        </w:numPr>
        <w:pStyle w:val="Compact"/>
      </w:pPr>
      <w:r>
        <w:t xml:space="preserve">細菌学検査（細菌の塗抹、培養、同定、薬剤感受性試験）の目的と適応を説明し、結果を解釈できる。</w:t>
      </w:r>
    </w:p>
    <w:p>
      <w:pPr>
        <w:numPr>
          <w:ilvl w:val="0"/>
          <w:numId w:val="1048"/>
        </w:numPr>
        <w:pStyle w:val="Compact"/>
      </w:pPr>
      <w:r>
        <w:t xml:space="preserve">脳脊髄液・胸水・腹水検査の目的と適応を説明し、結果を解釈できる。</w:t>
      </w:r>
    </w:p>
    <w:p>
      <w:pPr>
        <w:numPr>
          <w:ilvl w:val="0"/>
          <w:numId w:val="1048"/>
        </w:numPr>
        <w:pStyle w:val="Compact"/>
      </w:pPr>
      <w:r>
        <w:t xml:space="preserve">病理組織検査や細胞診検査（術中迅速診断を含む）の意義を説明できる。</w:t>
      </w:r>
    </w:p>
    <w:p>
      <w:pPr>
        <w:numPr>
          <w:ilvl w:val="0"/>
          <w:numId w:val="1048"/>
        </w:numPr>
        <w:pStyle w:val="Compact"/>
      </w:pPr>
      <w:r>
        <w:t xml:space="preserve">病理診断、細胞診の適切な検体の取扱い、標本作製及び診断過程が説明できる。</w:t>
      </w:r>
    </w:p>
    <w:p>
      <w:pPr>
        <w:numPr>
          <w:ilvl w:val="0"/>
          <w:numId w:val="1048"/>
        </w:numPr>
        <w:pStyle w:val="Compact"/>
      </w:pPr>
      <w:r>
        <w:t xml:space="preserve">染色体・遺伝子検査の目的と適応を説明し、結果を解釈できる。</w:t>
      </w:r>
    </w:p>
    <w:p>
      <w:pPr>
        <w:numPr>
          <w:ilvl w:val="0"/>
          <w:numId w:val="1048"/>
        </w:numPr>
        <w:pStyle w:val="Compact"/>
      </w:pPr>
      <w:r>
        <w:t xml:space="preserve">生体機能検査（心電図、心臓機能検査、呼吸機能検査、超音波検査、内分泌・代謝機能検査、脳波検査、針筋電図検査、末梢神経伝導検査）の目的と適応を説明し、結果を解釈できる。</w:t>
      </w:r>
    </w:p>
    <w:p>
      <w:pPr>
        <w:numPr>
          <w:ilvl w:val="0"/>
          <w:numId w:val="1048"/>
        </w:numPr>
        <w:pStyle w:val="Compact"/>
      </w:pPr>
      <w:r>
        <w:t xml:space="preserve">超音波検査の適応を説明できる。</w:t>
      </w:r>
    </w:p>
    <w:p>
      <w:pPr>
        <w:numPr>
          <w:ilvl w:val="0"/>
          <w:numId w:val="1048"/>
        </w:numPr>
        <w:pStyle w:val="Compact"/>
      </w:pPr>
      <w:r>
        <w:t xml:space="preserve">削除:主な疾患、病態のエコー像を説明できる。</w:t>
      </w:r>
    </w:p>
    <w:p>
      <w:pPr>
        <w:numPr>
          <w:ilvl w:val="0"/>
          <w:numId w:val="1048"/>
        </w:numPr>
        <w:pStyle w:val="Compact"/>
      </w:pPr>
      <w:r>
        <w:t xml:space="preserve">削除:術中迅速診断の利点、欠点を説明できる。</w:t>
      </w:r>
    </w:p>
    <w:p>
      <w:pPr>
        <w:numPr>
          <w:ilvl w:val="0"/>
          <w:numId w:val="1048"/>
        </w:numPr>
        <w:pStyle w:val="Compact"/>
      </w:pPr>
      <w:r>
        <w:t xml:space="preserve">削除:デジタル画像を用いた病理診断（遠隔診断を含む）の利点、欠点を説明できる。</w:t>
      </w:r>
    </w:p>
    <w:p>
      <w:pPr>
        <w:numPr>
          <w:ilvl w:val="0"/>
          <w:numId w:val="1048"/>
        </w:numPr>
        <w:pStyle w:val="Compact"/>
      </w:pPr>
      <w:r>
        <w:t xml:space="preserve">削除:病理解剖の医療における位置付けと法的事項、手続等を説明できる。</w:t>
      </w:r>
    </w:p>
    <w:p>
      <w:pPr>
        <w:numPr>
          <w:ilvl w:val="0"/>
          <w:numId w:val="1048"/>
        </w:numPr>
        <w:pStyle w:val="Compact"/>
      </w:pPr>
      <w:r>
        <w:t xml:space="preserve">エックス線撮影、コンピュータ断層撮影</w:t>
      </w:r>
      <w:r>
        <w:t xml:space="preserve">、磁気共鳴画像法</w:t>
      </w:r>
      <w:r>
        <w:t xml:space="preserve">と核医学検査の適応を説明できる。</w:t>
      </w:r>
    </w:p>
    <w:p>
      <w:pPr>
        <w:numPr>
          <w:ilvl w:val="0"/>
          <w:numId w:val="1048"/>
        </w:numPr>
        <w:pStyle w:val="Compact"/>
      </w:pPr>
      <w:r>
        <w:t xml:space="preserve">エックス線撮影、コンピュータ断層撮影</w:t>
      </w:r>
      <w:r>
        <w:t xml:space="preserve">、磁気共鳴画像法</w:t>
      </w:r>
      <w:r>
        <w:t xml:space="preserve">と核医学検査の基本的な読影ができる。</w:t>
      </w:r>
    </w:p>
    <w:p>
      <w:pPr>
        <w:numPr>
          <w:ilvl w:val="0"/>
          <w:numId w:val="1048"/>
        </w:numPr>
        <w:pStyle w:val="Compact"/>
      </w:pPr>
      <w:r>
        <w:t xml:space="preserve">内視鏡検査の適応を説明できる</w:t>
      </w:r>
    </w:p>
    <w:p>
      <w:pPr>
        <w:numPr>
          <w:ilvl w:val="0"/>
          <w:numId w:val="1048"/>
        </w:numPr>
        <w:pStyle w:val="Compact"/>
      </w:pPr>
      <w:r>
        <w:t xml:space="preserve">削除:臨床疫学的指標（感度・特異度、尤度比等）を考慮して、検査計画を立てられる。</w:t>
      </w:r>
    </w:p>
    <w:bookmarkEnd w:id="85"/>
    <w:bookmarkStart w:id="86" w:name="治療計画経過の評価"/>
    <w:p>
      <w:pPr>
        <w:pStyle w:val="Heading3"/>
      </w:pPr>
      <w:r>
        <w:rPr>
          <w:rStyle w:val="SectionNumber"/>
        </w:rPr>
        <w:t xml:space="preserve">5.2.4</w:t>
      </w:r>
      <w:r>
        <w:tab/>
      </w:r>
      <w:r>
        <w:t xml:space="preserve">治療(計画・経過の評価)</w:t>
      </w:r>
    </w:p>
    <w:p>
      <w:pPr>
        <w:numPr>
          <w:ilvl w:val="0"/>
          <w:numId w:val="1049"/>
        </w:numPr>
        <w:pStyle w:val="Compact"/>
      </w:pPr>
      <w:r>
        <w:t xml:space="preserve">主要症候[^table:主要症候]について初期対応を計画し、専門的治療が必要な状態を説明できる。</w:t>
      </w:r>
    </w:p>
    <w:p>
      <w:pPr>
        <w:numPr>
          <w:ilvl w:val="0"/>
          <w:numId w:val="1049"/>
        </w:numPr>
        <w:pStyle w:val="Compact"/>
      </w:pPr>
      <w:r>
        <w:t xml:space="preserve">患者ケアに関して情報共有や摺り合わせをすることができる。</w:t>
      </w:r>
    </w:p>
    <w:p>
      <w:pPr>
        <w:numPr>
          <w:ilvl w:val="0"/>
          <w:numId w:val="1049"/>
        </w:numPr>
        <w:pStyle w:val="Compact"/>
      </w:pPr>
      <w:r>
        <w:t xml:space="preserve">処方箋の書き方、服薬の基本・アドヒアランスを説明できる。</w:t>
      </w:r>
    </w:p>
    <w:p>
      <w:pPr>
        <w:numPr>
          <w:ilvl w:val="0"/>
          <w:numId w:val="1049"/>
        </w:numPr>
        <w:pStyle w:val="Compact"/>
      </w:pPr>
      <w:r>
        <w:t xml:space="preserve">各臓器系統（中枢・末梢神経、循環器、呼吸器、消化器、腎泌尿器、血液、内分泌等）に作用する薬の薬理作用、適応、有害事象、投与時の注意事項を説明できる。</w:t>
      </w:r>
    </w:p>
    <w:p>
      <w:pPr>
        <w:numPr>
          <w:ilvl w:val="0"/>
          <w:numId w:val="1049"/>
        </w:numPr>
        <w:pStyle w:val="Compact"/>
      </w:pPr>
      <w:r>
        <w:t xml:space="preserve">年齢や臓器障害に応じた薬物動態の特徴を考慮して薬剤投与の注意点を説明できる。</w:t>
      </w:r>
    </w:p>
    <w:p>
      <w:pPr>
        <w:numPr>
          <w:ilvl w:val="0"/>
          <w:numId w:val="1049"/>
        </w:numPr>
        <w:pStyle w:val="Compact"/>
      </w:pPr>
      <w:r>
        <w:t xml:space="preserve">薬物動態的相互作用について例を挙げて説明できる。</w:t>
      </w:r>
    </w:p>
    <w:p>
      <w:pPr>
        <w:numPr>
          <w:ilvl w:val="0"/>
          <w:numId w:val="1049"/>
        </w:numPr>
        <w:pStyle w:val="Compact"/>
      </w:pPr>
      <w:r>
        <w:t xml:space="preserve">ポリファーマシー、使用禁忌、特定条件下での薬物使用（アンチ・ドーピング等）を説明できる。</w:t>
      </w:r>
    </w:p>
    <w:p>
      <w:pPr>
        <w:numPr>
          <w:ilvl w:val="0"/>
          <w:numId w:val="1049"/>
        </w:numPr>
        <w:pStyle w:val="Compact"/>
      </w:pPr>
      <w:r>
        <w:t xml:space="preserve">主な薬物アレルギーの症候、診察、診断を列挙し、予防策と対処法を説明できる。</w:t>
      </w:r>
    </w:p>
    <w:p>
      <w:pPr>
        <w:numPr>
          <w:ilvl w:val="0"/>
          <w:numId w:val="1049"/>
        </w:numPr>
        <w:pStyle w:val="Compact"/>
      </w:pPr>
      <w:r>
        <w:t xml:space="preserve">薬物の蓄積、耐性、タキフィラキシー、依存を説明できる。</w:t>
      </w:r>
    </w:p>
    <w:p>
      <w:pPr>
        <w:numPr>
          <w:ilvl w:val="0"/>
          <w:numId w:val="1049"/>
        </w:numPr>
        <w:pStyle w:val="Compact"/>
      </w:pPr>
      <w:r>
        <w:t xml:space="preserve">抗腫瘍薬の適応、有害事象、投与時の注意事項を説明できる。</w:t>
      </w:r>
    </w:p>
    <w:p>
      <w:pPr>
        <w:numPr>
          <w:ilvl w:val="0"/>
          <w:numId w:val="1049"/>
        </w:numPr>
        <w:pStyle w:val="Compact"/>
      </w:pPr>
      <w:r>
        <w:t xml:space="preserve">抗微生物薬の薬理作用、適応、有害事象、投与時の注意事項を説明できる。</w:t>
      </w:r>
    </w:p>
    <w:p>
      <w:pPr>
        <w:numPr>
          <w:ilvl w:val="0"/>
          <w:numId w:val="1049"/>
        </w:numPr>
        <w:pStyle w:val="Compact"/>
      </w:pPr>
      <w:r>
        <w:t xml:space="preserve">削除:主な薬物の有害事象を説明できる。</w:t>
      </w:r>
    </w:p>
    <w:p>
      <w:pPr>
        <w:numPr>
          <w:ilvl w:val="0"/>
          <w:numId w:val="1049"/>
        </w:numPr>
        <w:pStyle w:val="Compact"/>
      </w:pPr>
      <w:r>
        <w:t xml:space="preserve">麻薬性鎮痛薬・鎮静薬の適応、有害事象、投与時の注意事項を説明できる。</w:t>
      </w:r>
    </w:p>
    <w:p>
      <w:pPr>
        <w:numPr>
          <w:ilvl w:val="0"/>
          <w:numId w:val="1049"/>
        </w:numPr>
        <w:pStyle w:val="Compact"/>
      </w:pPr>
      <w:r>
        <w:t xml:space="preserve">分子標的薬の薬理作用と有害事象を説明できる。</w:t>
      </w:r>
    </w:p>
    <w:p>
      <w:pPr>
        <w:numPr>
          <w:ilvl w:val="0"/>
          <w:numId w:val="1049"/>
        </w:numPr>
        <w:pStyle w:val="Compact"/>
      </w:pPr>
      <w:r>
        <w:t xml:space="preserve">漢方医学の特徴や、主な和漢薬（漢方薬）の適応、薬理作用を説明できる。</w:t>
      </w:r>
    </w:p>
    <w:p>
      <w:pPr>
        <w:numPr>
          <w:ilvl w:val="0"/>
          <w:numId w:val="1049"/>
        </w:numPr>
        <w:pStyle w:val="Compact"/>
      </w:pPr>
      <w:r>
        <w:t xml:space="preserve">主な放射線治療法の適応を説明できる。</w:t>
      </w:r>
    </w:p>
    <w:p>
      <w:pPr>
        <w:numPr>
          <w:ilvl w:val="0"/>
          <w:numId w:val="1049"/>
        </w:numPr>
        <w:pStyle w:val="Compact"/>
      </w:pPr>
      <w:r>
        <w:t xml:space="preserve">削除:放射線診断・治療による利益と不利益を説明できる。</w:t>
      </w:r>
    </w:p>
    <w:p>
      <w:pPr>
        <w:numPr>
          <w:ilvl w:val="0"/>
          <w:numId w:val="1049"/>
        </w:numPr>
        <w:pStyle w:val="Compact"/>
      </w:pPr>
      <w:r>
        <w:t xml:space="preserve">インターベンショナルラジオロジー（画像誘導下治療）を説明できる。</w:t>
      </w:r>
    </w:p>
    <w:p>
      <w:pPr>
        <w:numPr>
          <w:ilvl w:val="0"/>
          <w:numId w:val="1049"/>
        </w:numPr>
        <w:pStyle w:val="Compact"/>
      </w:pPr>
      <w:r>
        <w:t xml:space="preserve">内視鏡を用いる治療を説明できる。</w:t>
      </w:r>
    </w:p>
    <w:p>
      <w:pPr>
        <w:numPr>
          <w:ilvl w:val="0"/>
          <w:numId w:val="1049"/>
        </w:numPr>
        <w:pStyle w:val="Compact"/>
      </w:pPr>
      <w:r>
        <w:t xml:space="preserve">超音波を用いる治療を説明できる。</w:t>
      </w:r>
    </w:p>
    <w:p>
      <w:pPr>
        <w:numPr>
          <w:ilvl w:val="0"/>
          <w:numId w:val="1049"/>
        </w:numPr>
        <w:pStyle w:val="Compact"/>
      </w:pPr>
      <w:r>
        <w:t xml:space="preserve">削除:清潔の概念と必要性を説明できる。</w:t>
      </w:r>
    </w:p>
    <w:p>
      <w:pPr>
        <w:numPr>
          <w:ilvl w:val="0"/>
          <w:numId w:val="1049"/>
        </w:numPr>
        <w:pStyle w:val="Compact"/>
      </w:pPr>
      <w:r>
        <w:t xml:space="preserve">削除:手洗いの意味と手技を説明できる。</w:t>
      </w:r>
    </w:p>
    <w:p>
      <w:pPr>
        <w:numPr>
          <w:ilvl w:val="0"/>
          <w:numId w:val="1049"/>
        </w:numPr>
        <w:pStyle w:val="Compact"/>
      </w:pPr>
      <w:r>
        <w:t xml:space="preserve">削除:ガウンテクニックの必要性と手技を説明できる。</w:t>
      </w:r>
    </w:p>
    <w:p>
      <w:pPr>
        <w:numPr>
          <w:ilvl w:val="0"/>
          <w:numId w:val="1049"/>
        </w:numPr>
        <w:pStyle w:val="Compact"/>
      </w:pPr>
      <w:r>
        <w:t xml:space="preserve">被覆材の種類と適応、効果を説明できる。</w:t>
      </w:r>
    </w:p>
    <w:p>
      <w:pPr>
        <w:numPr>
          <w:ilvl w:val="0"/>
          <w:numId w:val="1049"/>
        </w:numPr>
        <w:pStyle w:val="Compact"/>
      </w:pPr>
      <w:r>
        <w:t xml:space="preserve">削除:創傷治癒のメカニズムを説明できる。</w:t>
      </w:r>
    </w:p>
    <w:p>
      <w:pPr>
        <w:numPr>
          <w:ilvl w:val="0"/>
          <w:numId w:val="1049"/>
        </w:numPr>
        <w:pStyle w:val="Compact"/>
      </w:pPr>
      <w:r>
        <w:t xml:space="preserve">外科的治療の適応と合併症を説明できる。</w:t>
      </w:r>
    </w:p>
    <w:p>
      <w:pPr>
        <w:numPr>
          <w:ilvl w:val="0"/>
          <w:numId w:val="1049"/>
        </w:numPr>
        <w:pStyle w:val="Compact"/>
      </w:pPr>
      <w:r>
        <w:t xml:space="preserve">手術の危険因子を列挙し、その対応の基本を説明できる。</w:t>
      </w:r>
    </w:p>
    <w:p>
      <w:pPr>
        <w:numPr>
          <w:ilvl w:val="0"/>
          <w:numId w:val="1049"/>
        </w:numPr>
        <w:pStyle w:val="Compact"/>
      </w:pPr>
      <w:r>
        <w:t xml:space="preserve">主な術後合併症を列挙し、その予防の基本を説明できる。</w:t>
      </w:r>
    </w:p>
    <w:p>
      <w:pPr>
        <w:numPr>
          <w:ilvl w:val="0"/>
          <w:numId w:val="1049"/>
        </w:numPr>
        <w:pStyle w:val="Compact"/>
      </w:pPr>
      <w:r>
        <w:t xml:space="preserve">手術に関するインフォームド・コンセントの注意点を列挙できる。</w:t>
      </w:r>
    </w:p>
    <w:p>
      <w:pPr>
        <w:numPr>
          <w:ilvl w:val="0"/>
          <w:numId w:val="1049"/>
        </w:numPr>
        <w:pStyle w:val="Compact"/>
      </w:pPr>
      <w:r>
        <w:t xml:space="preserve">周術期における事前のリスク評価を説明できる。</w:t>
      </w:r>
    </w:p>
    <w:p>
      <w:pPr>
        <w:numPr>
          <w:ilvl w:val="0"/>
          <w:numId w:val="1049"/>
        </w:numPr>
        <w:pStyle w:val="Compact"/>
      </w:pPr>
      <w:r>
        <w:t xml:space="preserve">周術期における主な薬剤の服薬管理（継続、中止等）の必要性とそれに伴うリスクの基本を説明できる。</w:t>
      </w:r>
    </w:p>
    <w:p>
      <w:pPr>
        <w:numPr>
          <w:ilvl w:val="0"/>
          <w:numId w:val="1049"/>
        </w:numPr>
        <w:pStyle w:val="Compact"/>
      </w:pPr>
      <w:r>
        <w:t xml:space="preserve">周術期における輸液・輸血の基本を説明できる。</w:t>
      </w:r>
    </w:p>
    <w:p>
      <w:pPr>
        <w:numPr>
          <w:ilvl w:val="0"/>
          <w:numId w:val="1049"/>
        </w:numPr>
        <w:pStyle w:val="Compact"/>
      </w:pPr>
      <w:r>
        <w:t xml:space="preserve">周術期における疼痛の管理を説明できる。</w:t>
      </w:r>
    </w:p>
    <w:p>
      <w:pPr>
        <w:numPr>
          <w:ilvl w:val="0"/>
          <w:numId w:val="1049"/>
        </w:numPr>
        <w:pStyle w:val="Compact"/>
      </w:pPr>
      <w:r>
        <w:t xml:space="preserve">削除:術後回復室の役割を説明できる。</w:t>
      </w:r>
    </w:p>
    <w:p>
      <w:pPr>
        <w:numPr>
          <w:ilvl w:val="0"/>
          <w:numId w:val="1049"/>
        </w:numPr>
        <w:pStyle w:val="Compact"/>
      </w:pPr>
      <w:r>
        <w:t xml:space="preserve">削除:集中治療室の役割を説明できる。</w:t>
      </w:r>
    </w:p>
    <w:p>
      <w:pPr>
        <w:numPr>
          <w:ilvl w:val="0"/>
          <w:numId w:val="1049"/>
        </w:numPr>
        <w:pStyle w:val="Compact"/>
      </w:pPr>
      <w:r>
        <w:t xml:space="preserve">削除:麻酔の概念、種類と麻酔時の生体反応を説明できる。</w:t>
      </w:r>
    </w:p>
    <w:p>
      <w:pPr>
        <w:numPr>
          <w:ilvl w:val="0"/>
          <w:numId w:val="1049"/>
        </w:numPr>
        <w:pStyle w:val="Compact"/>
      </w:pPr>
      <w:r>
        <w:t xml:space="preserve">局所麻酔、末梢神経ブロック、神経叢ブロック、脊髄くも膜下麻酔、硬膜外麻酔の適応、禁忌と合併症を説明できる。</w:t>
      </w:r>
    </w:p>
    <w:p>
      <w:pPr>
        <w:numPr>
          <w:ilvl w:val="0"/>
          <w:numId w:val="1049"/>
        </w:numPr>
        <w:pStyle w:val="Compact"/>
      </w:pPr>
      <w:r>
        <w:t xml:space="preserve">麻酔管理を安全に行うための術前評価を説明できる。</w:t>
      </w:r>
    </w:p>
    <w:p>
      <w:pPr>
        <w:numPr>
          <w:ilvl w:val="0"/>
          <w:numId w:val="1049"/>
        </w:numPr>
        <w:pStyle w:val="Compact"/>
      </w:pPr>
      <w:r>
        <w:t xml:space="preserve">安全な麻酔のためのモニタリングの方法、重要な異常所見と対処法を説明できる。</w:t>
      </w:r>
    </w:p>
    <w:p>
      <w:pPr>
        <w:numPr>
          <w:ilvl w:val="0"/>
          <w:numId w:val="1049"/>
        </w:numPr>
        <w:pStyle w:val="Compact"/>
      </w:pPr>
      <w:r>
        <w:t xml:space="preserve">麻酔薬と筋弛緩薬の種類と使用上の原則を説明できる。</w:t>
      </w:r>
    </w:p>
    <w:p>
      <w:pPr>
        <w:numPr>
          <w:ilvl w:val="0"/>
          <w:numId w:val="1049"/>
        </w:numPr>
        <w:pStyle w:val="Compact"/>
      </w:pPr>
      <w:r>
        <w:t xml:space="preserve">吸入麻酔と静脈麻酔の適応、禁忌、方法、事故と合併症を説明できる。</w:t>
      </w:r>
    </w:p>
    <w:p>
      <w:pPr>
        <w:numPr>
          <w:ilvl w:val="0"/>
          <w:numId w:val="1049"/>
        </w:numPr>
        <w:pStyle w:val="Compact"/>
      </w:pPr>
      <w:r>
        <w:t xml:space="preserve">削除:悪性高熱症や神経筋疾患患者における麻酔管理上の注意点を説明できる。</w:t>
      </w:r>
    </w:p>
    <w:p>
      <w:pPr>
        <w:numPr>
          <w:ilvl w:val="0"/>
          <w:numId w:val="1049"/>
        </w:numPr>
        <w:pStyle w:val="Compact"/>
      </w:pPr>
      <w:r>
        <w:t xml:space="preserve">食行動、食事摂取基準、食事バランス、日本食品標準成分表、補助食品、食物繊維・プロバイオティクス・プレバイオティクスを説明できる。</w:t>
      </w:r>
    </w:p>
    <w:p>
      <w:pPr>
        <w:numPr>
          <w:ilvl w:val="0"/>
          <w:numId w:val="1049"/>
        </w:numPr>
        <w:pStyle w:val="Compact"/>
      </w:pPr>
      <w:r>
        <w:t xml:space="preserve">栄養アセスメント、栄養ケア・マネジメント、栄養サポートチーム(nutrition support team</w:t>
      </w:r>
      <w:r>
        <w:t xml:space="preserve"> </w:t>
      </w:r>
      <w:r>
        <w:t xml:space="preserve">)、疾患別の栄養療法を説明できる。</w:t>
      </w:r>
    </w:p>
    <w:p>
      <w:pPr>
        <w:numPr>
          <w:ilvl w:val="0"/>
          <w:numId w:val="1049"/>
        </w:numPr>
        <w:pStyle w:val="Compact"/>
      </w:pPr>
      <w:r>
        <w:t xml:space="preserve">削除:各種補液製剤（ビタミン、微量元素を含む）の特徴と病態に合わせた適応、投与時の注意事項を説明できる。</w:t>
      </w:r>
    </w:p>
    <w:p>
      <w:pPr>
        <w:numPr>
          <w:ilvl w:val="0"/>
          <w:numId w:val="1049"/>
        </w:numPr>
        <w:pStyle w:val="Compact"/>
      </w:pPr>
      <w:r>
        <w:t xml:space="preserve">経静脈栄養と経管・経腸栄養の適応、方法と合併症、長期投与時の注意事項を説明できる。</w:t>
      </w:r>
    </w:p>
    <w:p>
      <w:pPr>
        <w:numPr>
          <w:ilvl w:val="0"/>
          <w:numId w:val="1049"/>
        </w:numPr>
        <w:pStyle w:val="Compact"/>
      </w:pPr>
      <w:r>
        <w:t xml:space="preserve">削除:乳幼児と小児の輸液療法を説明できる。</w:t>
      </w:r>
    </w:p>
    <w:p>
      <w:pPr>
        <w:numPr>
          <w:ilvl w:val="0"/>
          <w:numId w:val="1049"/>
        </w:numPr>
        <w:pStyle w:val="Compact"/>
      </w:pPr>
      <w:r>
        <w:t xml:space="preserve">主な医療機器の説明ができる。</w:t>
      </w:r>
    </w:p>
    <w:p>
      <w:pPr>
        <w:numPr>
          <w:ilvl w:val="0"/>
          <w:numId w:val="1049"/>
        </w:numPr>
        <w:pStyle w:val="Compact"/>
      </w:pPr>
      <w:r>
        <w:t xml:space="preserve">主な人工臓器の種類と原理を説明できる。</w:t>
      </w:r>
    </w:p>
    <w:p>
      <w:pPr>
        <w:numPr>
          <w:ilvl w:val="0"/>
          <w:numId w:val="1049"/>
        </w:numPr>
        <w:pStyle w:val="Compact"/>
      </w:pPr>
      <w:r>
        <w:t xml:space="preserve">血液製剤及び血漿分画製剤の種類と適応を説明できる。</w:t>
      </w:r>
    </w:p>
    <w:p>
      <w:pPr>
        <w:numPr>
          <w:ilvl w:val="0"/>
          <w:numId w:val="1049"/>
        </w:numPr>
        <w:pStyle w:val="Compact"/>
      </w:pPr>
      <w:r>
        <w:t xml:space="preserve">輸血副反応、輸血使用記録保管義務、不適合輸血の防止手順を説明できる。</w:t>
      </w:r>
    </w:p>
    <w:p>
      <w:pPr>
        <w:numPr>
          <w:ilvl w:val="0"/>
          <w:numId w:val="1049"/>
        </w:numPr>
        <w:pStyle w:val="Compact"/>
      </w:pPr>
      <w:r>
        <w:t xml:space="preserve">輸血の適正使用、成分輸血、自己血輸血、緊急時の輸血を説明できる。</w:t>
      </w:r>
    </w:p>
    <w:p>
      <w:pPr>
        <w:numPr>
          <w:ilvl w:val="0"/>
          <w:numId w:val="1049"/>
        </w:numPr>
        <w:pStyle w:val="Compact"/>
      </w:pPr>
      <w:r>
        <w:t xml:space="preserve">移植医療（臓器移植、組織移植、造血幹細胞移植を含む）の我が国と世界の状況を説明できる</w:t>
      </w:r>
    </w:p>
    <w:p>
      <w:pPr>
        <w:numPr>
          <w:ilvl w:val="0"/>
          <w:numId w:val="1049"/>
        </w:numPr>
        <w:pStyle w:val="Compact"/>
      </w:pPr>
      <w:r>
        <w:t xml:space="preserve">終末期医療における臓器・組織提供選択提示の意義について説明できる</w:t>
      </w:r>
    </w:p>
    <w:p>
      <w:pPr>
        <w:numPr>
          <w:ilvl w:val="0"/>
          <w:numId w:val="1049"/>
        </w:numPr>
        <w:pStyle w:val="Compact"/>
      </w:pPr>
      <w:r>
        <w:t xml:space="preserve">移植における免疫応答（拒絶反応、移植片対宿主病）について説明できる</w:t>
      </w:r>
    </w:p>
    <w:p>
      <w:pPr>
        <w:numPr>
          <w:ilvl w:val="0"/>
          <w:numId w:val="1049"/>
        </w:numPr>
        <w:pStyle w:val="Compact"/>
      </w:pPr>
      <w:r>
        <w:t xml:space="preserve">移植後の免疫抑制について説明できる</w:t>
      </w:r>
    </w:p>
    <w:p>
      <w:pPr>
        <w:numPr>
          <w:ilvl w:val="0"/>
          <w:numId w:val="1049"/>
        </w:numPr>
        <w:pStyle w:val="Compact"/>
      </w:pPr>
      <w:r>
        <w:t xml:space="preserve">リハビリテーションの概念と適応を説明できる。</w:t>
      </w:r>
    </w:p>
    <w:p>
      <w:pPr>
        <w:numPr>
          <w:ilvl w:val="0"/>
          <w:numId w:val="1049"/>
        </w:numPr>
        <w:pStyle w:val="Compact"/>
      </w:pPr>
      <w:r>
        <w:t xml:space="preserve">削除:福祉・介護との連携におけるリハビリテーションの役割を説明できる。</w:t>
      </w:r>
    </w:p>
    <w:p>
      <w:pPr>
        <w:numPr>
          <w:ilvl w:val="0"/>
          <w:numId w:val="1049"/>
        </w:numPr>
        <w:pStyle w:val="Compact"/>
      </w:pPr>
      <w:r>
        <w:t xml:space="preserve">機能障害と日常生活動作(activities of daily living</w:t>
      </w:r>
      <w:r>
        <w:t xml:space="preserve"> </w:t>
      </w:r>
      <w:r>
        <w:t xml:space="preserve">)の評価ができる。</w:t>
      </w:r>
    </w:p>
    <w:p>
      <w:pPr>
        <w:numPr>
          <w:ilvl w:val="0"/>
          <w:numId w:val="1049"/>
        </w:numPr>
        <w:pStyle w:val="Compact"/>
      </w:pPr>
      <w:r>
        <w:t xml:space="preserve">理学療法、作業療法と言語聴覚療法を説明できる。</w:t>
      </w:r>
    </w:p>
    <w:p>
      <w:pPr>
        <w:numPr>
          <w:ilvl w:val="0"/>
          <w:numId w:val="1049"/>
        </w:numPr>
        <w:pStyle w:val="Compact"/>
      </w:pPr>
      <w:r>
        <w:t xml:space="preserve">主な歩行補助具、車椅子、義肢（義手、義足）と装具を説明できる。</w:t>
      </w:r>
    </w:p>
    <w:p>
      <w:pPr>
        <w:numPr>
          <w:ilvl w:val="0"/>
          <w:numId w:val="1049"/>
        </w:numPr>
        <w:pStyle w:val="Compact"/>
      </w:pPr>
      <w:r>
        <w:t xml:space="preserve">削除:在宅医療の在り方、今後の必要性と課題を説明できる。</w:t>
      </w:r>
    </w:p>
    <w:p>
      <w:pPr>
        <w:numPr>
          <w:ilvl w:val="0"/>
          <w:numId w:val="1049"/>
        </w:numPr>
        <w:pStyle w:val="Compact"/>
      </w:pPr>
      <w:r>
        <w:t xml:space="preserve">削除:在宅における人生の最終段階における医療、看取りの在り方と課題を説明できる。</w:t>
      </w:r>
    </w:p>
    <w:p>
      <w:pPr>
        <w:numPr>
          <w:ilvl w:val="0"/>
          <w:numId w:val="1049"/>
        </w:numPr>
        <w:pStyle w:val="Compact"/>
      </w:pPr>
      <w:r>
        <w:t xml:space="preserve">削除:介護の定義と種類を説明できる。</w:t>
      </w:r>
    </w:p>
    <w:p>
      <w:pPr>
        <w:numPr>
          <w:ilvl w:val="0"/>
          <w:numId w:val="1049"/>
        </w:numPr>
        <w:pStyle w:val="Compact"/>
      </w:pPr>
      <w:r>
        <w:t xml:space="preserve">削除:日常生活動作</w:t>
      </w:r>
      <w:r>
        <w:t xml:space="preserve">（排泄、摂食、入浴等）に応じた介護と環境整備の要点を説明できる。</w:t>
      </w:r>
    </w:p>
    <w:p>
      <w:pPr>
        <w:numPr>
          <w:ilvl w:val="0"/>
          <w:numId w:val="1049"/>
        </w:numPr>
        <w:pStyle w:val="Compact"/>
      </w:pPr>
      <w:r>
        <w:t xml:space="preserve">削除:地域包括ケアシステムと介護保険制度、障害者総合支援法等の医療保健福祉制度を説明できる。</w:t>
      </w:r>
    </w:p>
    <w:p>
      <w:pPr>
        <w:numPr>
          <w:ilvl w:val="0"/>
          <w:numId w:val="1049"/>
        </w:numPr>
        <w:pStyle w:val="Compact"/>
      </w:pPr>
      <w:r>
        <w:t xml:space="preserve">削除:全人的苦痛を説明できる。</w:t>
      </w:r>
    </w:p>
    <w:p>
      <w:pPr>
        <w:numPr>
          <w:ilvl w:val="0"/>
          <w:numId w:val="1049"/>
        </w:numPr>
        <w:pStyle w:val="Compact"/>
      </w:pPr>
      <w:r>
        <w:t xml:space="preserve">緩和ケアにおいて頻度の高い身体的苦痛、心理社会的苦痛を列挙することができる。</w:t>
      </w:r>
    </w:p>
    <w:p>
      <w:pPr>
        <w:numPr>
          <w:ilvl w:val="0"/>
          <w:numId w:val="1049"/>
        </w:numPr>
        <w:pStyle w:val="Compact"/>
      </w:pPr>
      <w:r>
        <w:t xml:space="preserve">疼痛のアセスメント、疼痛緩和の薬物療法、癌疼痛治療法を説明できる。</w:t>
      </w:r>
    </w:p>
    <w:p>
      <w:pPr>
        <w:numPr>
          <w:ilvl w:val="0"/>
          <w:numId w:val="1049"/>
        </w:numPr>
        <w:pStyle w:val="Compact"/>
      </w:pPr>
      <w:r>
        <w:t xml:space="preserve">削除:オピオイドの適応と課題を説明できる。</w:t>
      </w:r>
    </w:p>
    <w:p>
      <w:pPr>
        <w:numPr>
          <w:ilvl w:val="0"/>
          <w:numId w:val="1049"/>
        </w:numPr>
        <w:pStyle w:val="Compact"/>
      </w:pPr>
      <w:r>
        <w:t xml:space="preserve">削除:緩和ケアにおける患者・家族の心理を説明できる。</w:t>
      </w:r>
    </w:p>
    <w:p>
      <w:pPr>
        <w:numPr>
          <w:ilvl w:val="0"/>
          <w:numId w:val="1049"/>
        </w:numPr>
        <w:pStyle w:val="Compact"/>
      </w:pPr>
      <w:r>
        <w:t xml:space="preserve">削除:科学的根拠に基づいた治療法を述べることができる。</w:t>
      </w:r>
    </w:p>
    <w:p>
      <w:pPr>
        <w:numPr>
          <w:ilvl w:val="0"/>
          <w:numId w:val="1049"/>
        </w:numPr>
        <w:pStyle w:val="Compact"/>
      </w:pPr>
      <w:r>
        <w:t xml:space="preserve">削除:基本的な治療の立案・実施ができる。</w:t>
      </w:r>
    </w:p>
    <w:p>
      <w:pPr>
        <w:numPr>
          <w:ilvl w:val="0"/>
          <w:numId w:val="1049"/>
        </w:numPr>
        <w:pStyle w:val="Compact"/>
      </w:pPr>
      <w:r>
        <w:t xml:space="preserve">削除:手術計画の立案に参加する。</w:t>
      </w:r>
    </w:p>
    <w:p>
      <w:pPr>
        <w:numPr>
          <w:ilvl w:val="0"/>
          <w:numId w:val="1049"/>
        </w:numPr>
        <w:pStyle w:val="Compact"/>
      </w:pPr>
      <w:r>
        <w:t xml:space="preserve">削除:周術期管理に参加する。</w:t>
      </w:r>
    </w:p>
    <w:p>
      <w:pPr>
        <w:numPr>
          <w:ilvl w:val="0"/>
          <w:numId w:val="1049"/>
        </w:numPr>
        <w:pStyle w:val="Compact"/>
      </w:pPr>
      <w:r>
        <w:t xml:space="preserve">削除:手術を含めた婦人科的治療に参加する。</w:t>
      </w:r>
    </w:p>
    <w:p>
      <w:pPr>
        <w:numPr>
          <w:ilvl w:val="0"/>
          <w:numId w:val="1049"/>
        </w:numPr>
        <w:pStyle w:val="Compact"/>
      </w:pPr>
      <w:r>
        <w:t xml:space="preserve">削除:健康問題に対する包括的アプローチ（複数の健康問題の相互作用等）を理解できる。</w:t>
      </w:r>
    </w:p>
    <w:p>
      <w:pPr>
        <w:numPr>
          <w:ilvl w:val="0"/>
          <w:numId w:val="1049"/>
        </w:numPr>
        <w:pStyle w:val="Compact"/>
      </w:pPr>
      <w:r>
        <w:t xml:space="preserve">削除:家族や地域といった視点をもち、心理・社会的背景を配慮した診療ができる。</w:t>
      </w:r>
    </w:p>
    <w:p>
      <w:pPr>
        <w:numPr>
          <w:ilvl w:val="0"/>
          <w:numId w:val="1049"/>
        </w:numPr>
        <w:pStyle w:val="Compact"/>
      </w:pPr>
      <w:r>
        <w:t xml:space="preserve">削除:在宅医療の適応を説明できる。</w:t>
      </w:r>
    </w:p>
    <w:p>
      <w:pPr>
        <w:numPr>
          <w:ilvl w:val="0"/>
          <w:numId w:val="1049"/>
        </w:numPr>
        <w:pStyle w:val="Compact"/>
      </w:pPr>
      <w:r>
        <w:t xml:space="preserve">主要診療科[^table:主要診療科]の基本的な治療を実施できる。</w:t>
      </w:r>
    </w:p>
    <w:bookmarkEnd w:id="86"/>
    <w:bookmarkStart w:id="87" w:name="教育計画"/>
    <w:p>
      <w:pPr>
        <w:pStyle w:val="Heading3"/>
      </w:pPr>
      <w:r>
        <w:rPr>
          <w:rStyle w:val="SectionNumber"/>
        </w:rPr>
        <w:t xml:space="preserve">5.2.5</w:t>
      </w:r>
      <w:r>
        <w:tab/>
      </w:r>
      <w:r>
        <w:t xml:space="preserve">教育計画</w:t>
      </w:r>
    </w:p>
    <w:p>
      <w:pPr>
        <w:numPr>
          <w:ilvl w:val="0"/>
          <w:numId w:val="1050"/>
        </w:numPr>
        <w:pStyle w:val="Compact"/>
      </w:pPr>
      <w:r>
        <w:t xml:space="preserve">代表的な疾患における患者指導が計画できる</w:t>
      </w:r>
    </w:p>
    <w:bookmarkEnd w:id="87"/>
    <w:bookmarkStart w:id="88" w:name="患者ケアに必要な連携"/>
    <w:p>
      <w:pPr>
        <w:pStyle w:val="Heading3"/>
      </w:pPr>
      <w:r>
        <w:rPr>
          <w:rStyle w:val="SectionNumber"/>
        </w:rPr>
        <w:t xml:space="preserve">5.2.6</w:t>
      </w:r>
      <w:r>
        <w:tab/>
      </w:r>
      <w:r>
        <w:t xml:space="preserve">患者ケアに必要な連携</w:t>
      </w:r>
    </w:p>
    <w:p>
      <w:pPr>
        <w:numPr>
          <w:ilvl w:val="0"/>
          <w:numId w:val="1051"/>
        </w:numPr>
        <w:pStyle w:val="Compact"/>
      </w:pPr>
      <w:r>
        <w:t xml:space="preserve">他の医療従事者に診断に必要な臨床情報の適切な提供ができる。</w:t>
      </w:r>
    </w:p>
    <w:bookmarkEnd w:id="88"/>
    <w:bookmarkEnd w:id="89"/>
    <w:bookmarkStart w:id="96" w:name="治療を含む対応の実施"/>
    <w:p>
      <w:pPr>
        <w:pStyle w:val="Heading2"/>
      </w:pPr>
      <w:r>
        <w:rPr>
          <w:rStyle w:val="SectionNumber"/>
        </w:rPr>
        <w:t xml:space="preserve">5.3</w:t>
      </w:r>
      <w:r>
        <w:tab/>
      </w:r>
      <w:r>
        <w:t xml:space="preserve">治療を含む対応の実施</w:t>
      </w:r>
    </w:p>
    <w:p>
      <w:pPr>
        <w:pStyle w:val="FirstParagraph"/>
      </w:pPr>
      <w:r>
        <w:t xml:space="preserve">患者の状態の評価に基づいて患者本人、家族、医療スタッフと連携し、必要な医療を提案または実施できる。</w:t>
      </w:r>
    </w:p>
    <w:bookmarkStart w:id="90" w:name="検査手技"/>
    <w:p>
      <w:pPr>
        <w:pStyle w:val="Heading3"/>
      </w:pPr>
      <w:r>
        <w:rPr>
          <w:rStyle w:val="SectionNumber"/>
        </w:rPr>
        <w:t xml:space="preserve">5.3.1</w:t>
      </w:r>
      <w:r>
        <w:tab/>
      </w:r>
      <w:r>
        <w:t xml:space="preserve">検査手技</w:t>
      </w:r>
    </w:p>
    <w:p>
      <w:pPr>
        <w:numPr>
          <w:ilvl w:val="0"/>
          <w:numId w:val="1052"/>
        </w:numPr>
        <w:pStyle w:val="Compact"/>
      </w:pPr>
      <w:r>
        <w:t xml:space="preserve">検査に関する基本的臨床手技[^table:基本的臨床手技]に関して定められた目標を達成できる。</w:t>
      </w:r>
    </w:p>
    <w:bookmarkEnd w:id="90"/>
    <w:bookmarkStart w:id="91" w:name="治療手技"/>
    <w:p>
      <w:pPr>
        <w:pStyle w:val="Heading3"/>
      </w:pPr>
      <w:r>
        <w:rPr>
          <w:rStyle w:val="SectionNumber"/>
        </w:rPr>
        <w:t xml:space="preserve">5.3.2</w:t>
      </w:r>
      <w:r>
        <w:tab/>
      </w:r>
      <w:r>
        <w:t xml:space="preserve">治療手技</w:t>
      </w:r>
    </w:p>
    <w:p>
      <w:pPr>
        <w:numPr>
          <w:ilvl w:val="0"/>
          <w:numId w:val="1053"/>
        </w:numPr>
        <w:pStyle w:val="Compact"/>
      </w:pPr>
      <w:r>
        <w:t xml:space="preserve">治療に関する基本的臨床手技[^table:基本的臨床手技]に関して定められた目標を達成できる。</w:t>
      </w:r>
    </w:p>
    <w:bookmarkEnd w:id="91"/>
    <w:bookmarkStart w:id="92" w:name="救急初期対応"/>
    <w:p>
      <w:pPr>
        <w:pStyle w:val="Heading3"/>
      </w:pPr>
      <w:r>
        <w:rPr>
          <w:rStyle w:val="SectionNumber"/>
        </w:rPr>
        <w:t xml:space="preserve">5.3.3</w:t>
      </w:r>
      <w:r>
        <w:tab/>
      </w:r>
      <w:r>
        <w:t xml:space="preserve">救急・初期対応</w:t>
      </w:r>
    </w:p>
    <w:p>
      <w:pPr>
        <w:numPr>
          <w:ilvl w:val="0"/>
          <w:numId w:val="1054"/>
        </w:numPr>
        <w:pStyle w:val="Compact"/>
      </w:pPr>
      <w:r>
        <w:t xml:space="preserve">削除:緊急性の高い状況を判断できる。</w:t>
      </w:r>
    </w:p>
    <w:p>
      <w:pPr>
        <w:numPr>
          <w:ilvl w:val="0"/>
          <w:numId w:val="1054"/>
        </w:numPr>
        <w:pStyle w:val="Compact"/>
      </w:pPr>
      <w:r>
        <w:t xml:space="preserve">バイタルサインや身体徴候から緊急性の高い状態にある患者を認識（識別）できる。</w:t>
      </w:r>
    </w:p>
    <w:p>
      <w:pPr>
        <w:numPr>
          <w:ilvl w:val="0"/>
          <w:numId w:val="1054"/>
        </w:numPr>
        <w:pStyle w:val="Compact"/>
      </w:pPr>
      <w:r>
        <w:t xml:space="preserve">一次救命処置を実施できる。</w:t>
      </w:r>
    </w:p>
    <w:p>
      <w:pPr>
        <w:numPr>
          <w:ilvl w:val="0"/>
          <w:numId w:val="1054"/>
        </w:numPr>
        <w:pStyle w:val="Compact"/>
      </w:pPr>
      <w:r>
        <w:t xml:space="preserve">二次救命処置を含む頻度の高い緊急性の高い患者の初期対応を実演できる。</w:t>
      </w:r>
    </w:p>
    <w:p>
      <w:pPr>
        <w:numPr>
          <w:ilvl w:val="0"/>
          <w:numId w:val="1054"/>
        </w:numPr>
        <w:pStyle w:val="Compact"/>
      </w:pPr>
      <w:r>
        <w:t xml:space="preserve">削除:気管挿管を含む各種の気道確保法を実演できる。</w:t>
      </w:r>
    </w:p>
    <w:p>
      <w:pPr>
        <w:numPr>
          <w:ilvl w:val="0"/>
          <w:numId w:val="1054"/>
        </w:numPr>
        <w:pStyle w:val="Compact"/>
      </w:pPr>
      <w:r>
        <w:t xml:space="preserve">外傷の病態生理と診断の要点を説明できる。</w:t>
      </w:r>
    </w:p>
    <w:p>
      <w:pPr>
        <w:numPr>
          <w:ilvl w:val="0"/>
          <w:numId w:val="1054"/>
        </w:numPr>
        <w:pStyle w:val="Compact"/>
      </w:pPr>
      <w:r>
        <w:t xml:space="preserve">外傷の場合に適切な鑑別(頭部外傷, 骨折, 外傷性気胸, 脊髄損傷, 熱傷, 急性大動脈解離, 脳出血, くも膜下出血, 頭蓋内血腫など)を検討しながら初期対応できる。</w:t>
      </w:r>
    </w:p>
    <w:p>
      <w:pPr>
        <w:numPr>
          <w:ilvl w:val="0"/>
          <w:numId w:val="1054"/>
        </w:numPr>
        <w:pStyle w:val="Compact"/>
      </w:pPr>
      <w:r>
        <w:t xml:space="preserve">薬物によるアナフィラキシーショックの対処を実演できる。</w:t>
      </w:r>
    </w:p>
    <w:bookmarkEnd w:id="92"/>
    <w:bookmarkStart w:id="93" w:name="書類の作成"/>
    <w:p>
      <w:pPr>
        <w:pStyle w:val="Heading3"/>
      </w:pPr>
      <w:r>
        <w:rPr>
          <w:rStyle w:val="SectionNumber"/>
        </w:rPr>
        <w:t xml:space="preserve">5.3.4</w:t>
      </w:r>
      <w:r>
        <w:tab/>
      </w:r>
      <w:r>
        <w:t xml:space="preserve">書類の作成</w:t>
      </w:r>
    </w:p>
    <w:p>
      <w:pPr>
        <w:numPr>
          <w:ilvl w:val="0"/>
          <w:numId w:val="1055"/>
        </w:numPr>
        <w:pStyle w:val="Compact"/>
      </w:pPr>
      <w:r>
        <w:t xml:space="preserve">各種診断書・証明書の下書きを作成できる。</w:t>
      </w:r>
    </w:p>
    <w:p>
      <w:pPr>
        <w:numPr>
          <w:ilvl w:val="0"/>
          <w:numId w:val="1055"/>
        </w:numPr>
        <w:pStyle w:val="Compact"/>
      </w:pPr>
      <w:r>
        <w:t xml:space="preserve">各種検案書の作成を実演できる</w:t>
      </w:r>
    </w:p>
    <w:p>
      <w:pPr>
        <w:numPr>
          <w:ilvl w:val="0"/>
          <w:numId w:val="1055"/>
        </w:numPr>
        <w:pStyle w:val="Compact"/>
      </w:pPr>
      <w:r>
        <w:t xml:space="preserve">各種同意書を用いた説明を実演できる</w:t>
      </w:r>
    </w:p>
    <w:bookmarkEnd w:id="93"/>
    <w:bookmarkStart w:id="94" w:name="患者ケアに必要な連携-1"/>
    <w:p>
      <w:pPr>
        <w:pStyle w:val="Heading3"/>
      </w:pPr>
      <w:r>
        <w:rPr>
          <w:rStyle w:val="SectionNumber"/>
        </w:rPr>
        <w:t xml:space="preserve">5.3.5</w:t>
      </w:r>
      <w:r>
        <w:tab/>
      </w:r>
      <w:r>
        <w:t xml:space="preserve">患者ケアに必要な連携</w:t>
      </w:r>
    </w:p>
    <w:p>
      <w:pPr>
        <w:numPr>
          <w:ilvl w:val="0"/>
          <w:numId w:val="1056"/>
        </w:numPr>
        <w:pStyle w:val="Compact"/>
      </w:pPr>
      <w:r>
        <w:t xml:space="preserve">削除:障害を国際生活機能分類の心身機能・身体構造、活動、参加に分けて説明できる。</w:t>
      </w:r>
    </w:p>
    <w:p>
      <w:pPr>
        <w:numPr>
          <w:ilvl w:val="0"/>
          <w:numId w:val="1056"/>
        </w:numPr>
        <w:pStyle w:val="Compact"/>
      </w:pPr>
      <w:r>
        <w:t xml:space="preserve">削除:コンサルテーションや紹介の必要な状況を説明できる。</w:t>
      </w:r>
    </w:p>
    <w:p>
      <w:pPr>
        <w:numPr>
          <w:ilvl w:val="0"/>
          <w:numId w:val="1056"/>
        </w:numPr>
        <w:pStyle w:val="Compact"/>
      </w:pPr>
      <w:r>
        <w:t xml:space="preserve">削除:多職種連携を体験してその重要性を認識する。</w:t>
      </w:r>
    </w:p>
    <w:p>
      <w:pPr>
        <w:numPr>
          <w:ilvl w:val="0"/>
          <w:numId w:val="1056"/>
        </w:numPr>
        <w:pStyle w:val="Compact"/>
      </w:pPr>
      <w:r>
        <w:t xml:space="preserve">削除:臨床現場において、保健・医療・福祉・介護に関する制度に触れる。</w:t>
      </w:r>
    </w:p>
    <w:p>
      <w:pPr>
        <w:numPr>
          <w:ilvl w:val="0"/>
          <w:numId w:val="1056"/>
        </w:numPr>
        <w:pStyle w:val="Compact"/>
      </w:pPr>
      <w:r>
        <w:t xml:space="preserve">チーム医療の一員として良好なコミュニケーションを実践できる。</w:t>
      </w:r>
    </w:p>
    <w:p>
      <w:pPr>
        <w:numPr>
          <w:ilvl w:val="0"/>
          <w:numId w:val="1056"/>
        </w:numPr>
        <w:pStyle w:val="Compact"/>
      </w:pPr>
      <w:r>
        <w:t xml:space="preserve">保健・医療・福祉・介護との連携を実演できる。</w:t>
      </w:r>
    </w:p>
    <w:p>
      <w:pPr>
        <w:numPr>
          <w:ilvl w:val="0"/>
          <w:numId w:val="1056"/>
        </w:numPr>
        <w:pStyle w:val="Compact"/>
      </w:pPr>
      <w:r>
        <w:t xml:space="preserve">削除:病院前救護体制とメディカルコントロールについて説明できる。</w:t>
      </w:r>
    </w:p>
    <w:p>
      <w:pPr>
        <w:numPr>
          <w:ilvl w:val="0"/>
          <w:numId w:val="1056"/>
        </w:numPr>
        <w:pStyle w:val="Compact"/>
      </w:pPr>
      <w:r>
        <w:t xml:space="preserve">地域の災害医療体制について説明できる。</w:t>
      </w:r>
    </w:p>
    <w:p>
      <w:pPr>
        <w:numPr>
          <w:ilvl w:val="0"/>
          <w:numId w:val="1056"/>
        </w:numPr>
        <w:pStyle w:val="Compact"/>
      </w:pPr>
      <w:r>
        <w:t xml:space="preserve">主要診療科[^table:主要診療科]にどのようにコンサルテーションすればよいか説明できる。</w:t>
      </w:r>
    </w:p>
    <w:p>
      <w:pPr>
        <w:numPr>
          <w:ilvl w:val="0"/>
          <w:numId w:val="1056"/>
        </w:numPr>
        <w:pStyle w:val="Compact"/>
      </w:pPr>
      <w:r>
        <w:t xml:space="preserve">削除:学外の臨床研修病院等の地域病院や診療所、さらに保健所や社会福祉施設等の協力を得る。</w:t>
      </w:r>
    </w:p>
    <w:p>
      <w:pPr>
        <w:numPr>
          <w:ilvl w:val="0"/>
          <w:numId w:val="1056"/>
        </w:numPr>
        <w:pStyle w:val="Compact"/>
      </w:pPr>
      <w:r>
        <w:t xml:space="preserve">削除:必要に応じて臨床教授制度等を利用する。</w:t>
      </w:r>
    </w:p>
    <w:p>
      <w:pPr>
        <w:numPr>
          <w:ilvl w:val="0"/>
          <w:numId w:val="1056"/>
        </w:numPr>
        <w:pStyle w:val="Compact"/>
      </w:pPr>
      <w:r>
        <w:t xml:space="preserve">削除:早期臨床体験実習を拡充し、低学年から継続的に地域医療の現場に接する機会を設ける。</w:t>
      </w:r>
    </w:p>
    <w:p>
      <w:pPr>
        <w:numPr>
          <w:ilvl w:val="0"/>
          <w:numId w:val="1056"/>
        </w:numPr>
        <w:pStyle w:val="Compact"/>
      </w:pPr>
      <w:r>
        <w:t xml:space="preserve">削除:衛生学・公衆衛生学実習等と連携し、社会医学的（主に量的）な視点から地域を診る学習機会を作る。</w:t>
      </w:r>
    </w:p>
    <w:p>
      <w:pPr>
        <w:numPr>
          <w:ilvl w:val="0"/>
          <w:numId w:val="1056"/>
        </w:numPr>
        <w:pStyle w:val="Compact"/>
      </w:pPr>
      <w:r>
        <w:t xml:space="preserve">削除:人類学・社会学・心理学・哲学・教育学等と連携し、行動科学・社会科学的（主に質的）な視点から地域における生活の中での医療を知り体験する学習機会を作る。</w:t>
      </w:r>
    </w:p>
    <w:p>
      <w:pPr>
        <w:numPr>
          <w:ilvl w:val="0"/>
          <w:numId w:val="1056"/>
        </w:numPr>
        <w:pStyle w:val="Compact"/>
      </w:pPr>
      <w:r>
        <w:t xml:space="preserve">削除:チームトレーニングによって、チーム医療の実践能力を高める。</w:t>
      </w:r>
    </w:p>
    <w:p>
      <w:pPr>
        <w:numPr>
          <w:ilvl w:val="0"/>
          <w:numId w:val="1056"/>
        </w:numPr>
        <w:pStyle w:val="Compact"/>
      </w:pPr>
      <w:r>
        <w:t xml:space="preserve">削除:リハビリテーション・チームの構成を理解し、医師の役割を説明できる。</w:t>
      </w:r>
    </w:p>
    <w:p>
      <w:pPr>
        <w:numPr>
          <w:ilvl w:val="0"/>
          <w:numId w:val="1056"/>
        </w:numPr>
        <w:pStyle w:val="Compact"/>
      </w:pPr>
      <w:r>
        <w:t xml:space="preserve">削除:在宅医療における多職種連携の重要性を説明できる。</w:t>
      </w:r>
    </w:p>
    <w:p>
      <w:pPr>
        <w:numPr>
          <w:ilvl w:val="0"/>
          <w:numId w:val="1056"/>
        </w:numPr>
        <w:pStyle w:val="Compact"/>
      </w:pPr>
      <w:r>
        <w:t xml:space="preserve">褥瘡の予防、評価、処置・治療及びチーム医療の重要性を説明できる。</w:t>
      </w:r>
    </w:p>
    <w:p>
      <w:pPr>
        <w:numPr>
          <w:ilvl w:val="0"/>
          <w:numId w:val="1056"/>
        </w:numPr>
        <w:pStyle w:val="Compact"/>
      </w:pPr>
      <w:r>
        <w:t xml:space="preserve">緩和ケア（緩和ケアチーム、ホスピス、緩和ケア病棟、在宅緩和ケアを含む）を説明できる。</w:t>
      </w:r>
    </w:p>
    <w:bookmarkEnd w:id="94"/>
    <w:bookmarkStart w:id="95" w:name="診療計画カンファレンス"/>
    <w:p>
      <w:pPr>
        <w:pStyle w:val="Heading3"/>
      </w:pPr>
      <w:r>
        <w:rPr>
          <w:rStyle w:val="SectionNumber"/>
        </w:rPr>
        <w:t xml:space="preserve">5.3.6</w:t>
      </w:r>
      <w:r>
        <w:tab/>
      </w:r>
      <w:r>
        <w:t xml:space="preserve">診療計画カンファレンス</w:t>
      </w:r>
    </w:p>
    <w:p>
      <w:pPr>
        <w:numPr>
          <w:ilvl w:val="0"/>
          <w:numId w:val="1057"/>
        </w:numPr>
        <w:pStyle w:val="Compact"/>
      </w:pPr>
      <w:r>
        <w:t xml:space="preserve">医師カンファレンスにおいて症例を適切に要約し提示できる。</w:t>
      </w:r>
    </w:p>
    <w:p>
      <w:pPr>
        <w:numPr>
          <w:ilvl w:val="0"/>
          <w:numId w:val="1057"/>
        </w:numPr>
        <w:pStyle w:val="Compact"/>
      </w:pPr>
      <w:r>
        <w:t xml:space="preserve">多職種カンファレンスに参加し発言することができる。</w:t>
      </w:r>
    </w:p>
    <w:p>
      <w:pPr>
        <w:numPr>
          <w:ilvl w:val="0"/>
          <w:numId w:val="1057"/>
        </w:numPr>
        <w:pStyle w:val="Compact"/>
      </w:pPr>
      <w:r>
        <w:t xml:space="preserve">診察で得た所見、診断、必要な検査を上級医に説明、報告できる。</w:t>
      </w:r>
    </w:p>
    <w:bookmarkEnd w:id="95"/>
    <w:bookmarkEnd w:id="96"/>
    <w:bookmarkStart w:id="100" w:name="診療経過の振り返りと改善"/>
    <w:p>
      <w:pPr>
        <w:pStyle w:val="Heading2"/>
      </w:pPr>
      <w:r>
        <w:rPr>
          <w:rStyle w:val="SectionNumber"/>
        </w:rPr>
        <w:t xml:space="preserve">5.4</w:t>
      </w:r>
      <w:r>
        <w:tab/>
      </w:r>
      <w:r>
        <w:t xml:space="preserve">診療経過の振り返りと改善</w:t>
      </w:r>
    </w:p>
    <w:p>
      <w:pPr>
        <w:pStyle w:val="FirstParagraph"/>
      </w:pPr>
      <w:r>
        <w:t xml:space="preserve">実施された医療を省察し、言語化して他者に説明し、次回に向けて改善につなげることができる。</w:t>
      </w:r>
    </w:p>
    <w:bookmarkStart w:id="97" w:name="振り返りカンファレンス"/>
    <w:p>
      <w:pPr>
        <w:pStyle w:val="Heading3"/>
      </w:pPr>
      <w:r>
        <w:rPr>
          <w:rStyle w:val="SectionNumber"/>
        </w:rPr>
        <w:t xml:space="preserve">5.4.1</w:t>
      </w:r>
      <w:r>
        <w:tab/>
      </w:r>
      <w:r>
        <w:t xml:space="preserve">振り返りカンファレンス</w:t>
      </w:r>
    </w:p>
    <w:p>
      <w:pPr>
        <w:numPr>
          <w:ilvl w:val="0"/>
          <w:numId w:val="1058"/>
        </w:numPr>
        <w:pStyle w:val="Compact"/>
      </w:pPr>
      <w:r>
        <w:t xml:space="preserve">M&amp;Mカンファレンスに参加し発言することができる</w:t>
      </w:r>
    </w:p>
    <w:p>
      <w:pPr>
        <w:numPr>
          <w:ilvl w:val="0"/>
          <w:numId w:val="1058"/>
        </w:numPr>
        <w:pStyle w:val="Compact"/>
      </w:pPr>
      <w:r>
        <w:t xml:space="preserve">CPCカンファレンスに参加し発言することができる</w:t>
      </w:r>
    </w:p>
    <w:bookmarkEnd w:id="97"/>
    <w:bookmarkStart w:id="98" w:name="自己省察とメタ認知"/>
    <w:p>
      <w:pPr>
        <w:pStyle w:val="Heading3"/>
      </w:pPr>
      <w:r>
        <w:rPr>
          <w:rStyle w:val="SectionNumber"/>
        </w:rPr>
        <w:t xml:space="preserve">5.4.2</w:t>
      </w:r>
      <w:r>
        <w:tab/>
      </w:r>
      <w:r>
        <w:t xml:space="preserve">自己省察とメタ認知</w:t>
      </w:r>
    </w:p>
    <w:p>
      <w:pPr>
        <w:numPr>
          <w:ilvl w:val="0"/>
          <w:numId w:val="1059"/>
        </w:numPr>
        <w:pStyle w:val="Compact"/>
      </w:pPr>
      <w:r>
        <w:t xml:space="preserve">診療中に自分が行っている診療を振り返ることができる</w:t>
      </w:r>
    </w:p>
    <w:p>
      <w:pPr>
        <w:numPr>
          <w:ilvl w:val="0"/>
          <w:numId w:val="1059"/>
        </w:numPr>
        <w:pStyle w:val="Compact"/>
      </w:pPr>
      <w:r>
        <w:t xml:space="preserve">診療後に自分が行った診療を振り返ることができる</w:t>
      </w:r>
    </w:p>
    <w:bookmarkEnd w:id="98"/>
    <w:bookmarkStart w:id="99" w:name="患者安全の配慮と促進-1"/>
    <w:p>
      <w:pPr>
        <w:pStyle w:val="Heading3"/>
      </w:pPr>
      <w:r>
        <w:rPr>
          <w:rStyle w:val="SectionNumber"/>
        </w:rPr>
        <w:t xml:space="preserve">5.4.3</w:t>
      </w:r>
      <w:r>
        <w:tab/>
      </w:r>
      <w:r>
        <w:t xml:space="preserve">患者安全の配慮と促進</w:t>
      </w:r>
    </w:p>
    <w:p>
      <w:pPr>
        <w:numPr>
          <w:ilvl w:val="0"/>
          <w:numId w:val="1060"/>
        </w:numPr>
        <w:pStyle w:val="Compact"/>
      </w:pPr>
      <w:r>
        <w:t xml:space="preserve">削除：診断エラーの原因とその防止法を説明できる。</w:t>
      </w:r>
    </w:p>
    <w:p>
      <w:pPr>
        <w:numPr>
          <w:ilvl w:val="0"/>
          <w:numId w:val="1060"/>
        </w:numPr>
        <w:pStyle w:val="Compact"/>
      </w:pPr>
      <w:r>
        <w:t xml:space="preserve">削除:プライバシー保護とセキュリティーに充分配慮できる。</w:t>
      </w:r>
    </w:p>
    <w:p>
      <w:pPr>
        <w:numPr>
          <w:ilvl w:val="0"/>
          <w:numId w:val="1060"/>
        </w:numPr>
        <w:pStyle w:val="Compact"/>
      </w:pPr>
      <w:r>
        <w:t xml:space="preserve">削除:患者の安全を重視し、有害事象が生じた場合は適切に対応ができる。</w:t>
      </w:r>
    </w:p>
    <w:p>
      <w:pPr>
        <w:numPr>
          <w:ilvl w:val="0"/>
          <w:numId w:val="1060"/>
        </w:numPr>
        <w:pStyle w:val="Compact"/>
      </w:pPr>
      <w:r>
        <w:t xml:space="preserve">削除:患者のプライバシー、羞恥心、苦痛に配慮し、個人情報等を守秘できる。</w:t>
      </w:r>
    </w:p>
    <w:p>
      <w:pPr>
        <w:numPr>
          <w:ilvl w:val="0"/>
          <w:numId w:val="1060"/>
        </w:numPr>
        <w:pStyle w:val="Compact"/>
      </w:pPr>
      <w:r>
        <w:t xml:space="preserve">削除：感染を予防するため、診察前後の標準予防策(standard precautions)ができる。</w:t>
      </w:r>
    </w:p>
    <w:p>
      <w:pPr>
        <w:numPr>
          <w:ilvl w:val="0"/>
          <w:numId w:val="1060"/>
        </w:numPr>
        <w:pStyle w:val="Compact"/>
      </w:pPr>
      <w:r>
        <w:t xml:space="preserve">削除:手指衛生等の標準予防策(standard precautions)を実施できる。</w:t>
      </w:r>
    </w:p>
    <w:bookmarkEnd w:id="99"/>
    <w:bookmarkEnd w:id="100"/>
    <w:bookmarkEnd w:id="101"/>
    <w:bookmarkStart w:id="115" w:name="コミュニケーション能力"/>
    <w:p>
      <w:pPr>
        <w:pStyle w:val="Heading1"/>
      </w:pPr>
      <w:r>
        <w:rPr>
          <w:rStyle w:val="SectionNumber"/>
        </w:rPr>
        <w:t xml:space="preserve">6</w:t>
      </w:r>
      <w:r>
        <w:tab/>
      </w:r>
      <w:r>
        <w:t xml:space="preserve">コミュニケーション能力</w:t>
      </w:r>
    </w:p>
    <w:p>
      <w:pPr>
        <w:pStyle w:val="FirstParagraph"/>
      </w:pPr>
      <w:r>
        <w:t xml:space="preserve">患者及び患者に関わる全ての人と、相手の状況を考慮した上で良好なコミュニケーションをとり、患者の意思決定を支援して、安全で質の高い医療を実践する。</w:t>
      </w:r>
    </w:p>
    <w:bookmarkStart w:id="106" w:name="患者に接する言葉遣い態度身だしなみ配慮"/>
    <w:p>
      <w:pPr>
        <w:pStyle w:val="Heading2"/>
      </w:pPr>
      <w:r>
        <w:rPr>
          <w:rStyle w:val="SectionNumber"/>
        </w:rPr>
        <w:t xml:space="preserve">6.1</w:t>
      </w:r>
      <w:r>
        <w:tab/>
      </w:r>
      <w:r>
        <w:t xml:space="preserve">患者に接する言葉遣い・態度・身だしなみ・配慮</w:t>
      </w:r>
    </w:p>
    <w:p>
      <w:pPr>
        <w:pStyle w:val="FirstParagraph"/>
      </w:pPr>
      <w:r>
        <w:t xml:space="preserve">患者のプライバシー、苦痛などに配慮し、非言語コミュニケーションを含めた適切なコミュニケーションスキルにより良好な人間関係を築くことができる。</w:t>
      </w:r>
    </w:p>
    <w:bookmarkStart w:id="102" w:name="非言語コミュニケーションの重要性を理解した実践"/>
    <w:p>
      <w:pPr>
        <w:pStyle w:val="Heading3"/>
      </w:pPr>
      <w:r>
        <w:rPr>
          <w:rStyle w:val="SectionNumber"/>
        </w:rPr>
        <w:t xml:space="preserve">6.1.1</w:t>
      </w:r>
      <w:r>
        <w:tab/>
      </w:r>
      <w:r>
        <w:t xml:space="preserve">非言語コミュニケーションの重要性を理解した実践</w:t>
      </w:r>
    </w:p>
    <w:p>
      <w:pPr>
        <w:numPr>
          <w:ilvl w:val="0"/>
          <w:numId w:val="1061"/>
        </w:numPr>
        <w:pStyle w:val="Compact"/>
      </w:pPr>
      <w:r>
        <w:t xml:space="preserve">患者に接するときの身だしなみに配慮できる。</w:t>
      </w:r>
    </w:p>
    <w:p>
      <w:pPr>
        <w:numPr>
          <w:ilvl w:val="0"/>
          <w:numId w:val="1061"/>
        </w:numPr>
        <w:pStyle w:val="Compact"/>
      </w:pPr>
      <w:r>
        <w:t xml:space="preserve">患者に接するときの視線、表情、ジェスチャーに配慮できる</w:t>
      </w:r>
    </w:p>
    <w:bookmarkEnd w:id="102"/>
    <w:bookmarkStart w:id="103" w:name="患者のプライバシーへの配慮"/>
    <w:p>
      <w:pPr>
        <w:pStyle w:val="Heading3"/>
      </w:pPr>
      <w:r>
        <w:rPr>
          <w:rStyle w:val="SectionNumber"/>
        </w:rPr>
        <w:t xml:space="preserve">6.1.2</w:t>
      </w:r>
      <w:r>
        <w:tab/>
      </w:r>
      <w:r>
        <w:t xml:space="preserve">患者のプライバシーへの配慮</w:t>
      </w:r>
    </w:p>
    <w:p>
      <w:pPr>
        <w:numPr>
          <w:ilvl w:val="0"/>
          <w:numId w:val="1062"/>
        </w:numPr>
        <w:pStyle w:val="Compact"/>
      </w:pPr>
      <w:r>
        <w:t xml:space="preserve">患者のプライバシー、羞恥心、苦痛に配慮し、個人情報等を守秘できる。</w:t>
      </w:r>
    </w:p>
    <w:p>
      <w:pPr>
        <w:numPr>
          <w:ilvl w:val="0"/>
          <w:numId w:val="1062"/>
        </w:numPr>
        <w:pStyle w:val="Compact"/>
      </w:pPr>
      <w:r>
        <w:t xml:space="preserve">患者情報の守秘義務と患者等への情報提供の重要性を理解し、適切な取扱いができる。</w:t>
      </w:r>
    </w:p>
    <w:bookmarkEnd w:id="103"/>
    <w:bookmarkStart w:id="104" w:name="患者家族への適切なコミュニケーションスキルの活用"/>
    <w:p>
      <w:pPr>
        <w:pStyle w:val="Heading3"/>
      </w:pPr>
      <w:r>
        <w:rPr>
          <w:rStyle w:val="SectionNumber"/>
        </w:rPr>
        <w:t xml:space="preserve">6.1.3</w:t>
      </w:r>
      <w:r>
        <w:tab/>
      </w:r>
      <w:r>
        <w:t xml:space="preserve">患者・家族への適切なコミュニケーションスキルの活用</w:t>
      </w:r>
    </w:p>
    <w:p>
      <w:pPr>
        <w:numPr>
          <w:ilvl w:val="0"/>
          <w:numId w:val="1063"/>
        </w:numPr>
        <w:pStyle w:val="Compact"/>
      </w:pPr>
      <w:r>
        <w:t xml:space="preserve">医療面接における基本的コミュニケーションスキルを用いることができる。</w:t>
      </w:r>
    </w:p>
    <w:p>
      <w:pPr>
        <w:numPr>
          <w:ilvl w:val="0"/>
          <w:numId w:val="1063"/>
        </w:numPr>
        <w:pStyle w:val="Compact"/>
      </w:pPr>
      <w:r>
        <w:t xml:space="preserve">コミュニケーションが患者-医師間の互いの態度・行動や役割に及ぼす影響を考慮し、言語的および非言語的コミュニケーションスキルを発揮して、良好な人間関係を築くことができる。コミュニケーションの方法と技能（言語的と非言語的）を理解（説明）し、コミュニケーションが態度あるいは行動に及ぼす影響を活用できる。</w:t>
      </w:r>
    </w:p>
    <w:p>
      <w:pPr>
        <w:numPr>
          <w:ilvl w:val="0"/>
          <w:numId w:val="1063"/>
        </w:numPr>
        <w:pStyle w:val="Compact"/>
      </w:pPr>
      <w:r>
        <w:t xml:space="preserve">削除：コミュニケーションを通じて良好な人間関係を築くことができる。</w:t>
      </w:r>
    </w:p>
    <w:p>
      <w:pPr>
        <w:numPr>
          <w:ilvl w:val="0"/>
          <w:numId w:val="1063"/>
        </w:numPr>
        <w:pStyle w:val="Compact"/>
      </w:pPr>
      <w:r>
        <w:t xml:space="preserve">話し手と聞き手の役割を理解（説明）でき、適切なコミュニケーションスキルが使える。</w:t>
      </w:r>
    </w:p>
    <w:p>
      <w:pPr>
        <w:numPr>
          <w:ilvl w:val="0"/>
          <w:numId w:val="1063"/>
        </w:numPr>
        <w:pStyle w:val="Compact"/>
      </w:pPr>
      <w:r>
        <w:t xml:space="preserve">対人関係にかかわる心理的要因を理解し活用できる。心理学の知識を用い、医療における対人関係に関わる心理的要因（陽性感情・陰性感情など）を理解し活用できる</w:t>
      </w:r>
    </w:p>
    <w:p>
      <w:pPr>
        <w:numPr>
          <w:ilvl w:val="0"/>
          <w:numId w:val="1063"/>
        </w:numPr>
        <w:pStyle w:val="Compact"/>
      </w:pPr>
      <w:r>
        <w:t xml:space="preserve">患者・家族に敬意を持った言葉遣いや態度で接することができる</w:t>
      </w:r>
    </w:p>
    <w:bookmarkEnd w:id="104"/>
    <w:bookmarkStart w:id="105" w:name="患者の立場の尊重と苦痛への配慮"/>
    <w:p>
      <w:pPr>
        <w:pStyle w:val="Heading3"/>
      </w:pPr>
      <w:r>
        <w:rPr>
          <w:rStyle w:val="SectionNumber"/>
        </w:rPr>
        <w:t xml:space="preserve">6.1.4</w:t>
      </w:r>
      <w:r>
        <w:tab/>
      </w:r>
      <w:r>
        <w:t xml:space="preserve">患者の立場の尊重と苦痛への配慮</w:t>
      </w:r>
    </w:p>
    <w:p>
      <w:pPr>
        <w:numPr>
          <w:ilvl w:val="0"/>
          <w:numId w:val="1064"/>
        </w:numPr>
        <w:pStyle w:val="Compact"/>
      </w:pPr>
      <w:r>
        <w:t xml:space="preserve">患者の立場を尊重し、信頼を得ることができる。</w:t>
      </w:r>
    </w:p>
    <w:p>
      <w:pPr>
        <w:numPr>
          <w:ilvl w:val="0"/>
          <w:numId w:val="1064"/>
        </w:numPr>
        <w:pStyle w:val="Compact"/>
      </w:pPr>
      <w:r>
        <w:t xml:space="preserve">患者と家族の精神的・身体的・社会的苦痛に十分配慮できる。</w:t>
      </w:r>
    </w:p>
    <w:p>
      <w:pPr>
        <w:numPr>
          <w:ilvl w:val="0"/>
          <w:numId w:val="1064"/>
        </w:numPr>
        <w:pStyle w:val="Compact"/>
      </w:pPr>
      <w:r>
        <w:t xml:space="preserve">患者と家族が感じる放射線特有災害時の精神的・社会的苦痛に対して十分に配慮できる。</w:t>
      </w:r>
    </w:p>
    <w:p>
      <w:pPr>
        <w:numPr>
          <w:ilvl w:val="0"/>
          <w:numId w:val="1064"/>
        </w:numPr>
        <w:pStyle w:val="Compact"/>
      </w:pPr>
      <w:r>
        <w:t xml:space="preserve">患者・家族の話を傾聴し、共感することができる。</w:t>
      </w:r>
    </w:p>
    <w:bookmarkEnd w:id="105"/>
    <w:bookmarkEnd w:id="106"/>
    <w:bookmarkStart w:id="111" w:name="患者の意思決定の支援とそのための情報収集わかりやすい説明"/>
    <w:p>
      <w:pPr>
        <w:pStyle w:val="Heading2"/>
      </w:pPr>
      <w:r>
        <w:rPr>
          <w:rStyle w:val="SectionNumber"/>
        </w:rPr>
        <w:t xml:space="preserve">6.2</w:t>
      </w:r>
      <w:r>
        <w:tab/>
      </w:r>
      <w:r>
        <w:t xml:space="preserve">患者の意思決定の支援とそのための情報収集・わかりやすい説明</w:t>
      </w:r>
    </w:p>
    <w:p>
      <w:pPr>
        <w:pStyle w:val="FirstParagraph"/>
      </w:pPr>
      <w:r>
        <w:t xml:space="preserve">患者や家族の多様性に配慮し、必要な情報についてわかりやすく説明を行い、患者の主体的な治療やマネジメントに関する最善の意思決定を支援することができる。</w:t>
      </w:r>
    </w:p>
    <w:bookmarkStart w:id="107" w:name="患者へのわかりやすい言葉の説明"/>
    <w:p>
      <w:pPr>
        <w:pStyle w:val="Heading3"/>
      </w:pPr>
      <w:r>
        <w:rPr>
          <w:rStyle w:val="SectionNumber"/>
        </w:rPr>
        <w:t xml:space="preserve">6.2.1</w:t>
      </w:r>
      <w:r>
        <w:tab/>
      </w:r>
      <w:r>
        <w:t xml:space="preserve">患者へのわかりやすい言葉の説明</w:t>
      </w:r>
    </w:p>
    <w:p>
      <w:pPr>
        <w:numPr>
          <w:ilvl w:val="0"/>
          <w:numId w:val="1065"/>
        </w:numPr>
        <w:pStyle w:val="Compact"/>
      </w:pPr>
      <w:r>
        <w:t xml:space="preserve">患者の多様性に配慮し分かりやすい言葉で説明できる。(例：高齢者、小児、障害者、LGBTQ?（確認中）、文化・言語・慣習の違い）</w:t>
      </w:r>
    </w:p>
    <w:p>
      <w:pPr>
        <w:numPr>
          <w:ilvl w:val="0"/>
          <w:numId w:val="1065"/>
        </w:numPr>
        <w:pStyle w:val="Compact"/>
      </w:pPr>
      <w:r>
        <w:t xml:space="preserve">患者の漠然とした不安を受け止め、不安を軽減するためにわかりやすい言葉で説明でき、や対話ができる。</w:t>
      </w:r>
    </w:p>
    <w:bookmarkEnd w:id="107"/>
    <w:bookmarkStart w:id="108" w:name="患者への行動変容の促し"/>
    <w:p>
      <w:pPr>
        <w:pStyle w:val="Heading3"/>
      </w:pPr>
      <w:r>
        <w:rPr>
          <w:rStyle w:val="SectionNumber"/>
        </w:rPr>
        <w:t xml:space="preserve">6.2.2</w:t>
      </w:r>
      <w:r>
        <w:tab/>
      </w:r>
      <w:r>
        <w:t xml:space="preserve">患者への行動変容の促し</w:t>
      </w:r>
    </w:p>
    <w:p>
      <w:pPr>
        <w:numPr>
          <w:ilvl w:val="0"/>
          <w:numId w:val="1066"/>
        </w:numPr>
        <w:pStyle w:val="Compact"/>
      </w:pPr>
      <w:r>
        <w:t xml:space="preserve">削除：健康行動や行動変容を行う動機付けを理解し活用できる。</w:t>
      </w:r>
    </w:p>
    <w:p>
      <w:pPr>
        <w:numPr>
          <w:ilvl w:val="0"/>
          <w:numId w:val="1066"/>
        </w:numPr>
        <w:pStyle w:val="Compact"/>
      </w:pPr>
      <w:r>
        <w:t xml:space="preserve">削除：生活習慣病における患者支援（自律性支援）や保健指導を活用できる。</w:t>
      </w:r>
    </w:p>
    <w:bookmarkEnd w:id="108"/>
    <w:bookmarkStart w:id="109" w:name="診断仮説に基づいた情報収集の実施"/>
    <w:p>
      <w:pPr>
        <w:pStyle w:val="Heading3"/>
      </w:pPr>
      <w:r>
        <w:rPr>
          <w:rStyle w:val="SectionNumber"/>
        </w:rPr>
        <w:t xml:space="preserve">6.2.3</w:t>
      </w:r>
      <w:r>
        <w:tab/>
      </w:r>
      <w:r>
        <w:t xml:space="preserve">診断仮説に基づいた情報収集の実施</w:t>
      </w:r>
    </w:p>
    <w:p>
      <w:pPr>
        <w:numPr>
          <w:ilvl w:val="0"/>
          <w:numId w:val="1067"/>
        </w:numPr>
        <w:pStyle w:val="Compact"/>
      </w:pPr>
      <w:r>
        <w:t xml:space="preserve">削除：診断仮説を検証するために、診断仮説に基づいた情報収集を実施できる。</w:t>
      </w:r>
    </w:p>
    <w:bookmarkEnd w:id="109"/>
    <w:bookmarkStart w:id="110" w:name="インフォームドコンセントの取得"/>
    <w:p>
      <w:pPr>
        <w:pStyle w:val="Heading3"/>
      </w:pPr>
      <w:r>
        <w:rPr>
          <w:rStyle w:val="SectionNumber"/>
        </w:rPr>
        <w:t xml:space="preserve">6.2.4</w:t>
      </w:r>
      <w:r>
        <w:tab/>
      </w:r>
      <w:r>
        <w:t xml:space="preserve">インフォームド・コンセントの取得</w:t>
      </w:r>
    </w:p>
    <w:p>
      <w:pPr>
        <w:numPr>
          <w:ilvl w:val="0"/>
          <w:numId w:val="1068"/>
        </w:numPr>
        <w:pStyle w:val="Compact"/>
      </w:pPr>
      <w:r>
        <w:t xml:space="preserve">医療を提供するに当たり、患者が理解し同意するよう適切に説明を行うことができる。</w:t>
      </w:r>
    </w:p>
    <w:p>
      <w:pPr>
        <w:numPr>
          <w:ilvl w:val="0"/>
          <w:numId w:val="1068"/>
        </w:numPr>
        <w:pStyle w:val="Compact"/>
      </w:pPr>
      <w:r>
        <w:t xml:space="preserve">治療やマネジメントに関し、患者や家族との情報共有や意見の摺り合わせを行い、患者や家族の理解と同意を踏まえた意思決定を支援することができる。治療やマネジメントに関して意思決定するために、患者側と情報共有や摺り合わせをすることができる。</w:t>
      </w:r>
    </w:p>
    <w:p>
      <w:pPr>
        <w:numPr>
          <w:ilvl w:val="0"/>
          <w:numId w:val="1068"/>
        </w:numPr>
        <w:pStyle w:val="Compact"/>
      </w:pPr>
      <w:r>
        <w:t xml:space="preserve">削除：人生の最終段階における医療（エンド・オブ・ライフ・ケア）での患者とのコミュニケーション、頻度の高い苦痛とその対処法・ケアを計画できる。</w:t>
      </w:r>
    </w:p>
    <w:bookmarkEnd w:id="110"/>
    <w:bookmarkEnd w:id="111"/>
    <w:bookmarkStart w:id="114" w:name="患者や家族のニーズの把握と配慮"/>
    <w:p>
      <w:pPr>
        <w:pStyle w:val="Heading2"/>
      </w:pPr>
      <w:r>
        <w:rPr>
          <w:rStyle w:val="SectionNumber"/>
        </w:rPr>
        <w:t xml:space="preserve">6.3</w:t>
      </w:r>
      <w:r>
        <w:tab/>
      </w:r>
      <w:r>
        <w:t xml:space="preserve">患者や家族のニーズの把握と配慮</w:t>
      </w:r>
    </w:p>
    <w:p>
      <w:pPr>
        <w:pStyle w:val="FirstParagraph"/>
      </w:pPr>
      <w:r>
        <w:t xml:space="preserve">患者や家族の心理的、社会的背景を広い視野で捉える姿勢を持ち、患者の持つ困難や必要な情報提供に対応することができる。</w:t>
      </w:r>
    </w:p>
    <w:bookmarkStart w:id="112" w:name="患者や家族の課題を把握し必要な情報を得ることができる"/>
    <w:p>
      <w:pPr>
        <w:pStyle w:val="Heading3"/>
      </w:pPr>
      <w:r>
        <w:rPr>
          <w:rStyle w:val="SectionNumber"/>
        </w:rPr>
        <w:t xml:space="preserve">6.3.1</w:t>
      </w:r>
      <w:r>
        <w:tab/>
      </w:r>
      <w:r>
        <w:t xml:space="preserve">患者や家族の課題を把握し、必要な情報を得ることができる</w:t>
      </w:r>
    </w:p>
    <w:p>
      <w:pPr>
        <w:numPr>
          <w:ilvl w:val="0"/>
          <w:numId w:val="1069"/>
        </w:numPr>
        <w:pStyle w:val="Compact"/>
      </w:pPr>
      <w:r>
        <w:t xml:space="preserve">患者の心理的及び社会的背景や自立した生活を送るための課題を把握し、抱える問題点を抽出・整理できる。</w:t>
      </w:r>
    </w:p>
    <w:p>
      <w:pPr>
        <w:numPr>
          <w:ilvl w:val="0"/>
          <w:numId w:val="1069"/>
        </w:numPr>
        <w:pStyle w:val="Compact"/>
      </w:pPr>
      <w:r>
        <w:t xml:space="preserve">保護者から必要な情報を得ることができる。患者自身から情報が得られない場合、代理人や保護者などから必要な情報を得ることができる。</w:t>
      </w:r>
    </w:p>
    <w:p>
      <w:pPr>
        <w:numPr>
          <w:ilvl w:val="0"/>
          <w:numId w:val="1069"/>
        </w:numPr>
        <w:pStyle w:val="Compact"/>
      </w:pPr>
      <w:r>
        <w:t xml:space="preserve">削除：情報収集として医療面接、身体診察、検査の３つの方法を活用できる。</w:t>
      </w:r>
    </w:p>
    <w:bookmarkEnd w:id="112"/>
    <w:bookmarkStart w:id="113" w:name="患者や家族の視点から心理社会的背景に配慮した診療を行うことができる"/>
    <w:p>
      <w:pPr>
        <w:pStyle w:val="Heading3"/>
      </w:pPr>
      <w:r>
        <w:rPr>
          <w:rStyle w:val="SectionNumber"/>
        </w:rPr>
        <w:t xml:space="preserve">6.3.2</w:t>
      </w:r>
      <w:r>
        <w:tab/>
      </w:r>
      <w:r>
        <w:t xml:space="preserve">患者や家族の視点から、心理・社会的背景に配慮した診療を行うことができる</w:t>
      </w:r>
    </w:p>
    <w:p>
      <w:pPr>
        <w:numPr>
          <w:ilvl w:val="0"/>
          <w:numId w:val="1070"/>
        </w:numPr>
        <w:pStyle w:val="Compact"/>
      </w:pPr>
      <w:r>
        <w:t xml:space="preserve">家族や地域といった視点をもち、保健・医療・福祉・介護との連携に参加する。</w:t>
      </w:r>
    </w:p>
    <w:p>
      <w:pPr>
        <w:numPr>
          <w:ilvl w:val="0"/>
          <w:numId w:val="1070"/>
        </w:numPr>
        <w:pStyle w:val="Compact"/>
      </w:pPr>
      <w:r>
        <w:t xml:space="preserve">患者の要望（診察・転医・紹介）への対処の仕方を理解し実践できる。</w:t>
      </w:r>
    </w:p>
    <w:p>
      <w:pPr>
        <w:numPr>
          <w:ilvl w:val="0"/>
          <w:numId w:val="1070"/>
        </w:numPr>
        <w:pStyle w:val="Compact"/>
      </w:pPr>
      <w:r>
        <w:t xml:space="preserve">患者・家族の怒りや悲しみなどの感情を理解し、対応することができる。</w:t>
      </w:r>
    </w:p>
    <w:p>
      <w:pPr>
        <w:numPr>
          <w:ilvl w:val="0"/>
          <w:numId w:val="1070"/>
        </w:numPr>
        <w:pStyle w:val="Compact"/>
      </w:pPr>
      <w:r>
        <w:t xml:space="preserve">不確実な状況や医学的に説明困難な症状に配慮した対応がを説明できる。</w:t>
      </w:r>
    </w:p>
    <w:p>
      <w:pPr>
        <w:numPr>
          <w:ilvl w:val="0"/>
          <w:numId w:val="1070"/>
        </w:numPr>
        <w:pStyle w:val="Compact"/>
      </w:pPr>
      <w:r>
        <w:t xml:space="preserve">削除：遠隔診療におけるコミュニケーションと対面コミュニケーションの違いについて概説できる。</w:t>
      </w:r>
    </w:p>
    <w:bookmarkEnd w:id="113"/>
    <w:bookmarkEnd w:id="114"/>
    <w:bookmarkEnd w:id="115"/>
    <w:bookmarkStart w:id="140" w:name="社会における医療の役割の理解"/>
    <w:p>
      <w:pPr>
        <w:pStyle w:val="Heading1"/>
      </w:pPr>
      <w:r>
        <w:rPr>
          <w:rStyle w:val="SectionNumber"/>
        </w:rPr>
        <w:t xml:space="preserve">7</w:t>
      </w:r>
      <w:r>
        <w:tab/>
      </w:r>
      <w:r>
        <w:t xml:space="preserve">社会における医療の役割の理解</w:t>
      </w:r>
    </w:p>
    <w:p>
      <w:pPr>
        <w:pStyle w:val="FirstParagraph"/>
      </w:pPr>
      <w:r>
        <w:t xml:space="preserve">医療は社会の一部であるという認識を持ち、経済的な観点・地域性の視点・国際的な視野も持ちながら、公正な医療を提供し、健康の代弁者として公衆衛生の向上に努める。</w:t>
      </w:r>
    </w:p>
    <w:bookmarkStart w:id="121" w:name="社会保障"/>
    <w:p>
      <w:pPr>
        <w:pStyle w:val="Heading2"/>
      </w:pPr>
      <w:r>
        <w:rPr>
          <w:rStyle w:val="SectionNumber"/>
        </w:rPr>
        <w:t xml:space="preserve">7.1</w:t>
      </w:r>
      <w:r>
        <w:tab/>
      </w:r>
      <w:r>
        <w:t xml:space="preserve">社会保障</w:t>
      </w:r>
    </w:p>
    <w:p>
      <w:pPr>
        <w:pStyle w:val="FirstParagraph"/>
      </w:pPr>
      <w:r>
        <w:t xml:space="preserve">憲法で定められた「生存権」を守る社会保障制度、公衆衛生とは何か、地域保健、産業保健、健康危機管理を理解する。保健統計の意義・利用法を学ぶ。</w:t>
      </w:r>
    </w:p>
    <w:bookmarkStart w:id="116" w:name="公衆衛生"/>
    <w:p>
      <w:pPr>
        <w:pStyle w:val="Heading3"/>
      </w:pPr>
      <w:r>
        <w:rPr>
          <w:rStyle w:val="SectionNumber"/>
        </w:rPr>
        <w:t xml:space="preserve">7.1.1</w:t>
      </w:r>
      <w:r>
        <w:tab/>
      </w:r>
      <w:r>
        <w:t xml:space="preserve">公衆衛生</w:t>
      </w:r>
    </w:p>
    <w:p>
      <w:pPr>
        <w:numPr>
          <w:ilvl w:val="0"/>
          <w:numId w:val="1071"/>
        </w:numPr>
        <w:pStyle w:val="Compact"/>
      </w:pPr>
      <w:r>
        <w:t xml:space="preserve">公衆衛生（地域共生社会含む）の概念を説明できる。</w:t>
      </w:r>
    </w:p>
    <w:p>
      <w:pPr>
        <w:numPr>
          <w:ilvl w:val="0"/>
          <w:numId w:val="1071"/>
        </w:numPr>
        <w:pStyle w:val="Compact"/>
      </w:pPr>
      <w:r>
        <w:t xml:space="preserve">予防の段階と戦略を説明できる。</w:t>
      </w:r>
    </w:p>
    <w:p>
      <w:pPr>
        <w:numPr>
          <w:ilvl w:val="0"/>
          <w:numId w:val="1071"/>
        </w:numPr>
        <w:pStyle w:val="Compact"/>
      </w:pPr>
      <w:r>
        <w:t xml:space="preserve">公衆衛生活動（健診、健康づくりイベントなど）の意義を理解し、役割の一部を担うことができる。</w:t>
      </w:r>
    </w:p>
    <w:bookmarkEnd w:id="116"/>
    <w:bookmarkStart w:id="117" w:name="社会保険公的扶助社会福祉"/>
    <w:p>
      <w:pPr>
        <w:pStyle w:val="Heading3"/>
      </w:pPr>
      <w:r>
        <w:rPr>
          <w:rStyle w:val="SectionNumber"/>
        </w:rPr>
        <w:t xml:space="preserve">7.1.2</w:t>
      </w:r>
      <w:r>
        <w:tab/>
      </w:r>
      <w:r>
        <w:t xml:space="preserve">社会保険、公的扶助、社会福祉</w:t>
      </w:r>
    </w:p>
    <w:p>
      <w:pPr>
        <w:numPr>
          <w:ilvl w:val="0"/>
          <w:numId w:val="1072"/>
        </w:numPr>
        <w:pStyle w:val="Compact"/>
      </w:pPr>
      <w:r>
        <w:t xml:space="preserve">生存権などの健康に関する基本的人権と社会保障（社会保険、社会福祉、公的扶助）を説明できる。</w:t>
      </w:r>
    </w:p>
    <w:p>
      <w:pPr>
        <w:numPr>
          <w:ilvl w:val="0"/>
          <w:numId w:val="1072"/>
        </w:numPr>
        <w:pStyle w:val="Compact"/>
      </w:pPr>
      <w:r>
        <w:t xml:space="preserve">削除：社会保険の財源と支払い方式を説明できる。</w:t>
      </w:r>
    </w:p>
    <w:p>
      <w:pPr>
        <w:numPr>
          <w:ilvl w:val="0"/>
          <w:numId w:val="1072"/>
        </w:numPr>
        <w:pStyle w:val="Compact"/>
      </w:pPr>
      <w:r>
        <w:t xml:space="preserve">国民皆保険としての医療保険、介護保険、年金保険を含む社会保険を説明できる。</w:t>
      </w:r>
    </w:p>
    <w:p>
      <w:pPr>
        <w:numPr>
          <w:ilvl w:val="0"/>
          <w:numId w:val="1072"/>
        </w:numPr>
        <w:pStyle w:val="Compact"/>
      </w:pPr>
      <w:r>
        <w:t xml:space="preserve">障害者の日常生活及び社会生活を総合的に支援するための法律（障害者総合支援法）など障害者福祉を説明できる。</w:t>
      </w:r>
    </w:p>
    <w:bookmarkEnd w:id="117"/>
    <w:bookmarkStart w:id="118" w:name="地域保健"/>
    <w:p>
      <w:pPr>
        <w:pStyle w:val="Heading3"/>
      </w:pPr>
      <w:r>
        <w:rPr>
          <w:rStyle w:val="SectionNumber"/>
        </w:rPr>
        <w:t xml:space="preserve">7.1.3</w:t>
      </w:r>
      <w:r>
        <w:tab/>
      </w:r>
      <w:r>
        <w:t xml:space="preserve">地域保健</w:t>
      </w:r>
    </w:p>
    <w:p>
      <w:pPr>
        <w:numPr>
          <w:ilvl w:val="0"/>
          <w:numId w:val="1073"/>
        </w:numPr>
      </w:pPr>
      <w:r>
        <w:t xml:space="preserve">保健所・市町村保健センター・地方衛生研究所の役割、地域保健法等、地域保健体制を理解できる。</w:t>
      </w:r>
    </w:p>
    <w:p>
      <w:pPr>
        <w:numPr>
          <w:ilvl w:val="0"/>
          <w:numId w:val="1073"/>
        </w:numPr>
      </w:pPr>
      <w:r>
        <w:t xml:space="preserve">健康増進法、栄養、身体活動、休養等、健康増進施策を説明できる。</w:t>
      </w:r>
    </w:p>
    <w:p>
      <w:pPr>
        <w:numPr>
          <w:ilvl w:val="0"/>
          <w:numId w:val="1073"/>
        </w:numPr>
      </w:pPr>
      <w:r>
        <w:t xml:space="preserve">地域保健に関連する基本的な制度や法律を説明できる。</w:t>
      </w:r>
    </w:p>
    <w:p>
      <w:pPr>
        <w:numPr>
          <w:ilvl w:val="0"/>
          <w:numId w:val="1073"/>
        </w:numPr>
      </w:pPr>
      <w:r>
        <w:t xml:space="preserve">削除：学校医、学校感染症、学校保健安全法等、学校保健を説明できる</w:t>
      </w:r>
    </w:p>
    <w:p>
      <w:pPr>
        <w:numPr>
          <w:ilvl w:val="0"/>
          <w:numId w:val="1073"/>
        </w:numPr>
      </w:pPr>
      <w:r>
        <w:t xml:space="preserve">削除:特定健康診査・特定保健指導、高齢者の医療の確保に関する法律（高齢者医療確保法）等、成人及び高齢者保健施策（介護予防含む）を説明できる。</w:t>
      </w:r>
    </w:p>
    <w:p>
      <w:pPr>
        <w:numPr>
          <w:ilvl w:val="0"/>
          <w:numId w:val="1073"/>
        </w:numPr>
      </w:pPr>
      <w:r>
        <w:t xml:space="preserve">削除：がん対策基本法、がん登録等の推進に関する法律等、がん対策を説明できる。</w:t>
      </w:r>
    </w:p>
    <w:p>
      <w:pPr>
        <w:numPr>
          <w:ilvl w:val="0"/>
          <w:numId w:val="1073"/>
        </w:numPr>
      </w:pPr>
      <w:r>
        <w:t xml:space="preserve">削除:自殺対策基本法、精神保健福祉法等、精神衛生・心の健康に関する施策を説明できる。</w:t>
      </w:r>
    </w:p>
    <w:p>
      <w:pPr>
        <w:numPr>
          <w:ilvl w:val="0"/>
          <w:numId w:val="1073"/>
        </w:numPr>
      </w:pPr>
      <w:r>
        <w:t xml:space="preserve">削除:8020、フッ化物の利用、全身の健康との関連等、歯科保健施策を説明できる。</w:t>
      </w:r>
    </w:p>
    <w:bookmarkEnd w:id="118"/>
    <w:bookmarkStart w:id="119" w:name="産業保健環境保健"/>
    <w:p>
      <w:pPr>
        <w:pStyle w:val="Heading3"/>
      </w:pPr>
      <w:r>
        <w:rPr>
          <w:rStyle w:val="SectionNumber"/>
        </w:rPr>
        <w:t xml:space="preserve">7.1.4</w:t>
      </w:r>
      <w:r>
        <w:tab/>
      </w:r>
      <w:r>
        <w:t xml:space="preserve">産業保健・環境保健</w:t>
      </w:r>
    </w:p>
    <w:p>
      <w:pPr>
        <w:numPr>
          <w:ilvl w:val="0"/>
          <w:numId w:val="1074"/>
        </w:numPr>
        <w:pStyle w:val="Compact"/>
      </w:pPr>
      <w:r>
        <w:t xml:space="preserve">産業保健の意義、労働衛生の3管理など、産業保健の基本的な考え方を説明できる。</w:t>
      </w:r>
    </w:p>
    <w:p>
      <w:pPr>
        <w:numPr>
          <w:ilvl w:val="0"/>
          <w:numId w:val="1074"/>
        </w:numPr>
        <w:pStyle w:val="Compact"/>
      </w:pPr>
      <w:r>
        <w:t xml:space="preserve">産業保健・環境保健に関連する基本的な制度や法律を説明できる。</w:t>
      </w:r>
    </w:p>
    <w:p>
      <w:pPr>
        <w:numPr>
          <w:ilvl w:val="0"/>
          <w:numId w:val="1074"/>
        </w:numPr>
        <w:pStyle w:val="Compact"/>
      </w:pPr>
      <w:r>
        <w:t xml:space="preserve">労働災害及び職業性疾病とのその対策を説明できる。</w:t>
      </w:r>
    </w:p>
    <w:p>
      <w:pPr>
        <w:numPr>
          <w:ilvl w:val="0"/>
          <w:numId w:val="1074"/>
        </w:numPr>
        <w:pStyle w:val="Compact"/>
      </w:pPr>
      <w:r>
        <w:t xml:space="preserve">有害物質による産業中毒とその対策を説明できる。</w:t>
      </w:r>
    </w:p>
    <w:p>
      <w:pPr>
        <w:numPr>
          <w:ilvl w:val="0"/>
          <w:numId w:val="1074"/>
        </w:numPr>
        <w:pStyle w:val="Compact"/>
      </w:pPr>
      <w:r>
        <w:t xml:space="preserve">削除:水道、建築物における衛生的環境の確保に関する法律（建築物衛生法）、住宅環境等、生活環境衛生施策を説明できる。</w:t>
      </w:r>
    </w:p>
    <w:p>
      <w:pPr>
        <w:numPr>
          <w:ilvl w:val="0"/>
          <w:numId w:val="1074"/>
        </w:numPr>
        <w:pStyle w:val="Compact"/>
      </w:pPr>
      <w:r>
        <w:t xml:space="preserve">削除:環境基本法、公害、廃棄物の処理及び清掃に関する法律（廃棄物処理法）等、環境保全施策を説明できる。</w:t>
      </w:r>
    </w:p>
    <w:bookmarkEnd w:id="119"/>
    <w:bookmarkStart w:id="120" w:name="健康危機管理"/>
    <w:p>
      <w:pPr>
        <w:pStyle w:val="Heading3"/>
      </w:pPr>
      <w:r>
        <w:rPr>
          <w:rStyle w:val="SectionNumber"/>
        </w:rPr>
        <w:t xml:space="preserve">7.1.5</w:t>
      </w:r>
      <w:r>
        <w:tab/>
      </w:r>
      <w:r>
        <w:t xml:space="preserve">健康危機管理</w:t>
      </w:r>
    </w:p>
    <w:p>
      <w:pPr>
        <w:numPr>
          <w:ilvl w:val="0"/>
          <w:numId w:val="1075"/>
        </w:numPr>
        <w:pStyle w:val="Compact"/>
      </w:pPr>
      <w:r>
        <w:t xml:space="preserve">健康危機の概念と種類、それらへの対応(リスクコミュニケーションを含む）を説明できる</w:t>
      </w:r>
    </w:p>
    <w:p>
      <w:pPr>
        <w:numPr>
          <w:ilvl w:val="0"/>
          <w:numId w:val="1075"/>
        </w:numPr>
        <w:pStyle w:val="Compact"/>
      </w:pPr>
      <w:r>
        <w:t xml:space="preserve">削除：健康危機時のリスクコミュニケーションを説明できる。</w:t>
      </w:r>
    </w:p>
    <w:p>
      <w:pPr>
        <w:numPr>
          <w:ilvl w:val="0"/>
          <w:numId w:val="1075"/>
        </w:numPr>
        <w:pStyle w:val="Compact"/>
      </w:pPr>
      <w:r>
        <w:t xml:space="preserve">健康危機管理（食品感染症、放射線事故、災害などさまざまな有事）に関連する基本的な制度や法律を説明できる。</w:t>
      </w:r>
    </w:p>
    <w:p>
      <w:pPr>
        <w:numPr>
          <w:ilvl w:val="0"/>
          <w:numId w:val="1075"/>
        </w:numPr>
        <w:pStyle w:val="Compact"/>
      </w:pPr>
      <w:r>
        <w:t xml:space="preserve">削除：感染症の予防及び感染症の患者に対する医療に関する法律（感染症法）、検疫法、予防接種法、新型インフルエンザ等対策特別措置法等、感染症対策を説明できる</w:t>
      </w:r>
    </w:p>
    <w:p>
      <w:pPr>
        <w:numPr>
          <w:ilvl w:val="0"/>
          <w:numId w:val="1075"/>
        </w:numPr>
        <w:pStyle w:val="Compact"/>
      </w:pPr>
      <w:r>
        <w:t xml:space="preserve">削除：災害対策基本法、災害救助法等、自然災害の対応を説明できる。</w:t>
      </w:r>
    </w:p>
    <w:p>
      <w:pPr>
        <w:numPr>
          <w:ilvl w:val="0"/>
          <w:numId w:val="1075"/>
        </w:numPr>
        <w:pStyle w:val="Compact"/>
      </w:pPr>
      <w:r>
        <w:t xml:space="preserve">災害拠点病院、種々の活動チーム等、災害保健医療の意義を理解できる。</w:t>
      </w:r>
    </w:p>
    <w:p>
      <w:pPr>
        <w:numPr>
          <w:ilvl w:val="0"/>
          <w:numId w:val="1075"/>
        </w:numPr>
        <w:pStyle w:val="Compact"/>
      </w:pPr>
      <w:r>
        <w:t xml:space="preserve">削除：放射線事故、テロリズム、国民保護法の適用事象等、種々の健康危機の種類別の対応を説明できる。</w:t>
      </w:r>
    </w:p>
    <w:bookmarkEnd w:id="120"/>
    <w:bookmarkEnd w:id="121"/>
    <w:bookmarkStart w:id="125" w:name="疫学医学統計"/>
    <w:p>
      <w:pPr>
        <w:pStyle w:val="Heading2"/>
      </w:pPr>
      <w:r>
        <w:rPr>
          <w:rStyle w:val="SectionNumber"/>
        </w:rPr>
        <w:t xml:space="preserve">7.2</w:t>
      </w:r>
      <w:r>
        <w:tab/>
      </w:r>
      <w:r>
        <w:t xml:space="preserve">疫学・医学統計</w:t>
      </w:r>
    </w:p>
    <w:p>
      <w:pPr>
        <w:pStyle w:val="FirstParagraph"/>
      </w:pPr>
      <w:r>
        <w:t xml:space="preserve">人間集団を対象とする研究法である疫学の考え方と意義、主な研究デザインを学ぶ。医学、生物学における統計手法の基本的な考え方を理解する。</w:t>
      </w:r>
    </w:p>
    <w:bookmarkStart w:id="122" w:name="保健統計"/>
    <w:p>
      <w:pPr>
        <w:pStyle w:val="Heading3"/>
      </w:pPr>
      <w:r>
        <w:rPr>
          <w:rStyle w:val="SectionNumber"/>
        </w:rPr>
        <w:t xml:space="preserve">7.2.1</w:t>
      </w:r>
      <w:r>
        <w:tab/>
      </w:r>
      <w:r>
        <w:t xml:space="preserve">保健統計</w:t>
      </w:r>
    </w:p>
    <w:p>
      <w:pPr>
        <w:numPr>
          <w:ilvl w:val="0"/>
          <w:numId w:val="1076"/>
        </w:numPr>
        <w:pStyle w:val="Compact"/>
      </w:pPr>
      <w:r>
        <w:t xml:space="preserve">主な人口統計（人口静態と人口動態）、疾病・障害の分類・統計（ICD等）を説明できる。</w:t>
      </w:r>
    </w:p>
    <w:p>
      <w:pPr>
        <w:numPr>
          <w:ilvl w:val="0"/>
          <w:numId w:val="1076"/>
        </w:numPr>
        <w:pStyle w:val="Compact"/>
      </w:pPr>
      <w:r>
        <w:t xml:space="preserve">平均寿命、健康寿命を説明できる。</w:t>
      </w:r>
    </w:p>
    <w:p>
      <w:pPr>
        <w:numPr>
          <w:ilvl w:val="0"/>
          <w:numId w:val="1076"/>
        </w:numPr>
        <w:pStyle w:val="Compact"/>
      </w:pPr>
      <w:r>
        <w:t xml:space="preserve">削除：e-Stat（政府統計の窓口）を利用できる。</w:t>
      </w:r>
    </w:p>
    <w:bookmarkEnd w:id="122"/>
    <w:bookmarkStart w:id="123" w:name="疫学"/>
    <w:p>
      <w:pPr>
        <w:pStyle w:val="Heading3"/>
      </w:pPr>
      <w:r>
        <w:rPr>
          <w:rStyle w:val="SectionNumber"/>
        </w:rPr>
        <w:t xml:space="preserve">7.2.2</w:t>
      </w:r>
      <w:r>
        <w:tab/>
      </w:r>
      <w:r>
        <w:t xml:space="preserve">疫学</w:t>
      </w:r>
    </w:p>
    <w:p>
      <w:pPr>
        <w:numPr>
          <w:ilvl w:val="0"/>
          <w:numId w:val="1077"/>
        </w:numPr>
        <w:pStyle w:val="Compact"/>
      </w:pPr>
      <w:r>
        <w:t xml:space="preserve">疫学の役割を公衆衛生と臨床の視点で説明できる。</w:t>
      </w:r>
    </w:p>
    <w:p>
      <w:pPr>
        <w:numPr>
          <w:ilvl w:val="0"/>
          <w:numId w:val="1077"/>
        </w:numPr>
        <w:pStyle w:val="Compact"/>
      </w:pPr>
      <w:r>
        <w:t xml:space="preserve">割合・比・率の違いを理解し、代表的な疫学指標（有病割合、リスク比、罹患率等）を説明できる。</w:t>
      </w:r>
    </w:p>
    <w:p>
      <w:pPr>
        <w:numPr>
          <w:ilvl w:val="0"/>
          <w:numId w:val="1077"/>
        </w:numPr>
        <w:pStyle w:val="Compact"/>
      </w:pPr>
      <w:r>
        <w:t xml:space="preserve">主なバイアス・交絡を（例をあげて）説明できる。</w:t>
      </w:r>
    </w:p>
    <w:p>
      <w:pPr>
        <w:numPr>
          <w:ilvl w:val="0"/>
          <w:numId w:val="1077"/>
        </w:numPr>
        <w:pStyle w:val="Compact"/>
      </w:pPr>
      <w:r>
        <w:t xml:space="preserve">年齢調整における直接法と間接法の違いを説明できる。</w:t>
      </w:r>
    </w:p>
    <w:p>
      <w:pPr>
        <w:numPr>
          <w:ilvl w:val="0"/>
          <w:numId w:val="1077"/>
        </w:numPr>
        <w:pStyle w:val="Compact"/>
      </w:pPr>
      <w:r>
        <w:t xml:space="preserve">主な疫学の研究デザイン（観察研究［記述研究、横断研究、症例対照研究、コホート研究］、介入研究（ランダム化比較試験等）を説明できる。</w:t>
      </w:r>
    </w:p>
    <w:p>
      <w:pPr>
        <w:numPr>
          <w:ilvl w:val="0"/>
          <w:numId w:val="1077"/>
        </w:numPr>
        <w:pStyle w:val="Compact"/>
      </w:pPr>
      <w:r>
        <w:t xml:space="preserve">急性感染症に特異的な疫学的アプローチを説明できる。</w:t>
      </w:r>
    </w:p>
    <w:p>
      <w:pPr>
        <w:numPr>
          <w:ilvl w:val="0"/>
          <w:numId w:val="1077"/>
        </w:numPr>
        <w:pStyle w:val="Compact"/>
      </w:pPr>
      <w:r>
        <w:t xml:space="preserve">エビデンスの限界を踏まえて、集団に影響する意思決定の重要性を説明できる。</w:t>
      </w:r>
    </w:p>
    <w:bookmarkEnd w:id="123"/>
    <w:bookmarkStart w:id="124" w:name="データ解析と統計手法"/>
    <w:p>
      <w:pPr>
        <w:pStyle w:val="Heading3"/>
      </w:pPr>
      <w:r>
        <w:rPr>
          <w:rStyle w:val="SectionNumber"/>
        </w:rPr>
        <w:t xml:space="preserve">7.2.3</w:t>
      </w:r>
      <w:r>
        <w:tab/>
      </w:r>
      <w:r>
        <w:t xml:space="preserve">データ解析と統計手法</w:t>
      </w:r>
    </w:p>
    <w:p>
      <w:pPr>
        <w:numPr>
          <w:ilvl w:val="0"/>
          <w:numId w:val="1078"/>
        </w:numPr>
        <w:pStyle w:val="Compact"/>
      </w:pPr>
      <w:r>
        <w:t xml:space="preserve">尺度（間隔、比、順序、名義）を説明できる。</w:t>
      </w:r>
    </w:p>
    <w:p>
      <w:pPr>
        <w:numPr>
          <w:ilvl w:val="0"/>
          <w:numId w:val="1078"/>
        </w:numPr>
        <w:pStyle w:val="Compact"/>
      </w:pPr>
      <w:r>
        <w:t xml:space="preserve">データの分布（欠損値を含む）を記述できる。</w:t>
      </w:r>
    </w:p>
    <w:p>
      <w:pPr>
        <w:numPr>
          <w:ilvl w:val="0"/>
          <w:numId w:val="1078"/>
        </w:numPr>
        <w:pStyle w:val="Compact"/>
      </w:pPr>
      <w:r>
        <w:t xml:space="preserve">正規分布の母平均の信頼区間を説明できる。</w:t>
      </w:r>
    </w:p>
    <w:p>
      <w:pPr>
        <w:numPr>
          <w:ilvl w:val="0"/>
          <w:numId w:val="1078"/>
        </w:numPr>
        <w:pStyle w:val="Compact"/>
      </w:pPr>
      <w:r>
        <w:t xml:space="preserve">相関分析、平均値と割合の検定等を実施できる。</w:t>
      </w:r>
    </w:p>
    <w:p>
      <w:pPr>
        <w:numPr>
          <w:ilvl w:val="0"/>
          <w:numId w:val="1078"/>
        </w:numPr>
        <w:pStyle w:val="Compact"/>
      </w:pPr>
      <w:r>
        <w:t xml:space="preserve">多変量解析の意義を説明できる。</w:t>
      </w:r>
    </w:p>
    <w:bookmarkEnd w:id="124"/>
    <w:bookmarkEnd w:id="125"/>
    <w:bookmarkStart w:id="127" w:name="法医学"/>
    <w:p>
      <w:pPr>
        <w:pStyle w:val="Heading2"/>
      </w:pPr>
      <w:r>
        <w:rPr>
          <w:rStyle w:val="SectionNumber"/>
        </w:rPr>
        <w:t xml:space="preserve">7.3</w:t>
      </w:r>
      <w:r>
        <w:tab/>
      </w:r>
      <w:r>
        <w:t xml:space="preserve">法医学</w:t>
      </w:r>
    </w:p>
    <w:p>
      <w:pPr>
        <w:pStyle w:val="FirstParagraph"/>
      </w:pPr>
      <w:r>
        <w:t xml:space="preserve">死の判定や死亡診断と死体検案を理解する。</w:t>
      </w:r>
    </w:p>
    <w:bookmarkStart w:id="126" w:name="死と法"/>
    <w:p>
      <w:pPr>
        <w:pStyle w:val="Heading3"/>
      </w:pPr>
      <w:r>
        <w:rPr>
          <w:rStyle w:val="SectionNumber"/>
        </w:rPr>
        <w:t xml:space="preserve">7.3.1</w:t>
      </w:r>
      <w:r>
        <w:tab/>
      </w:r>
      <w:r>
        <w:t xml:space="preserve">死と法</w:t>
      </w:r>
    </w:p>
    <w:p>
      <w:pPr>
        <w:numPr>
          <w:ilvl w:val="0"/>
          <w:numId w:val="1079"/>
        </w:numPr>
        <w:pStyle w:val="Compact"/>
      </w:pPr>
      <w:r>
        <w:t xml:space="preserve">植物状態、脳死、心臓死及び脳死判定を説明できる。</w:t>
      </w:r>
    </w:p>
    <w:p>
      <w:pPr>
        <w:numPr>
          <w:ilvl w:val="0"/>
          <w:numId w:val="1079"/>
        </w:numPr>
        <w:pStyle w:val="Compact"/>
      </w:pPr>
      <w:r>
        <w:t xml:space="preserve">異状死・異状死体の取扱いと死体検案を説明できる。</w:t>
      </w:r>
    </w:p>
    <w:p>
      <w:pPr>
        <w:numPr>
          <w:ilvl w:val="0"/>
          <w:numId w:val="1079"/>
        </w:numPr>
        <w:pStyle w:val="Compact"/>
      </w:pPr>
      <w:r>
        <w:t xml:space="preserve">死亡診断書と死体検案書を作成できる。</w:t>
      </w:r>
    </w:p>
    <w:p>
      <w:pPr>
        <w:numPr>
          <w:ilvl w:val="0"/>
          <w:numId w:val="1079"/>
        </w:numPr>
        <w:pStyle w:val="Compact"/>
      </w:pPr>
      <w:r>
        <w:t xml:space="preserve">個人識別の方法を説明できる。</w:t>
      </w:r>
    </w:p>
    <w:p>
      <w:pPr>
        <w:numPr>
          <w:ilvl w:val="0"/>
          <w:numId w:val="1079"/>
        </w:numPr>
        <w:pStyle w:val="Compact"/>
      </w:pPr>
      <w:r>
        <w:t xml:space="preserve">病理解剖、法医解剖（司法解剖、行政解剖、死因・身元調査法解剖、承諾解剖）を説明できる。</w:t>
      </w:r>
    </w:p>
    <w:bookmarkEnd w:id="126"/>
    <w:bookmarkEnd w:id="127"/>
    <w:bookmarkStart w:id="134" w:name="社会の構造や変化から捉える医療"/>
    <w:p>
      <w:pPr>
        <w:pStyle w:val="Heading2"/>
      </w:pPr>
      <w:r>
        <w:rPr>
          <w:rStyle w:val="SectionNumber"/>
        </w:rPr>
        <w:t xml:space="preserve">7.4</w:t>
      </w:r>
      <w:r>
        <w:tab/>
      </w:r>
      <w:r>
        <w:t xml:space="preserve">社会の構造や変化から捉える医療</w:t>
      </w:r>
    </w:p>
    <w:p>
      <w:pPr>
        <w:pStyle w:val="FirstParagraph"/>
      </w:pPr>
      <w:r>
        <w:t xml:space="preserve">患者の抱える健康に関する問題の背景にある社会的な課題を適切に捉え、その解決のために積極的に行動する。</w:t>
      </w:r>
    </w:p>
    <w:bookmarkStart w:id="128" w:name="社会格差と医療"/>
    <w:p>
      <w:pPr>
        <w:pStyle w:val="Heading3"/>
      </w:pPr>
      <w:r>
        <w:rPr>
          <w:rStyle w:val="SectionNumber"/>
        </w:rPr>
        <w:t xml:space="preserve">7.4.1</w:t>
      </w:r>
      <w:r>
        <w:tab/>
      </w:r>
      <w:r>
        <w:t xml:space="preserve">社会格差と医療</w:t>
      </w:r>
    </w:p>
    <w:p>
      <w:pPr>
        <w:numPr>
          <w:ilvl w:val="0"/>
          <w:numId w:val="1080"/>
        </w:numPr>
        <w:pStyle w:val="Compact"/>
      </w:pPr>
      <w:r>
        <w:t xml:space="preserve">削除：社会的弱者の立場にある患者の代弁者となることができる</w:t>
      </w:r>
    </w:p>
    <w:p>
      <w:pPr>
        <w:numPr>
          <w:ilvl w:val="0"/>
          <w:numId w:val="1080"/>
        </w:numPr>
        <w:pStyle w:val="Compact"/>
      </w:pPr>
      <w:r>
        <w:t xml:space="preserve">社会格差を解消するために社会に対して行動できる</w:t>
      </w:r>
    </w:p>
    <w:bookmarkEnd w:id="128"/>
    <w:bookmarkStart w:id="129" w:name="健康と医療"/>
    <w:p>
      <w:pPr>
        <w:pStyle w:val="Heading3"/>
      </w:pPr>
      <w:r>
        <w:rPr>
          <w:rStyle w:val="SectionNumber"/>
        </w:rPr>
        <w:t xml:space="preserve">7.4.2</w:t>
      </w:r>
      <w:r>
        <w:tab/>
      </w:r>
      <w:r>
        <w:t xml:space="preserve">健康と医療</w:t>
      </w:r>
    </w:p>
    <w:p>
      <w:pPr>
        <w:numPr>
          <w:ilvl w:val="0"/>
          <w:numId w:val="1081"/>
        </w:numPr>
        <w:pStyle w:val="Compact"/>
      </w:pPr>
      <w:r>
        <w:t xml:space="preserve">健康寿命を延ばすために生活者への積極的な働きかけを行うことができる</w:t>
      </w:r>
    </w:p>
    <w:p>
      <w:pPr>
        <w:numPr>
          <w:ilvl w:val="0"/>
          <w:numId w:val="1081"/>
        </w:numPr>
        <w:pStyle w:val="Compact"/>
      </w:pPr>
      <w:r>
        <w:t xml:space="preserve">バリアフリーなどの障害と社会環境に関連する概念を理解した行動をとることができる</w:t>
      </w:r>
    </w:p>
    <w:bookmarkEnd w:id="129"/>
    <w:bookmarkStart w:id="130" w:name="ジェンダーと医療"/>
    <w:p>
      <w:pPr>
        <w:pStyle w:val="Heading3"/>
      </w:pPr>
      <w:r>
        <w:rPr>
          <w:rStyle w:val="SectionNumber"/>
        </w:rPr>
        <w:t xml:space="preserve">7.4.3</w:t>
      </w:r>
      <w:r>
        <w:tab/>
      </w:r>
      <w:r>
        <w:t xml:space="preserve">ジェンダーと医療</w:t>
      </w:r>
    </w:p>
    <w:p>
      <w:pPr>
        <w:numPr>
          <w:ilvl w:val="0"/>
          <w:numId w:val="1082"/>
        </w:numPr>
        <w:pStyle w:val="Compact"/>
      </w:pPr>
      <w:r>
        <w:t xml:space="preserve">女性やLGBTQに対する差別などのジェンダー不平等をなくすために積極的な行動をとることができる</w:t>
      </w:r>
    </w:p>
    <w:bookmarkEnd w:id="130"/>
    <w:bookmarkStart w:id="131" w:name="気候変動と医療"/>
    <w:p>
      <w:pPr>
        <w:pStyle w:val="Heading3"/>
      </w:pPr>
      <w:r>
        <w:rPr>
          <w:rStyle w:val="SectionNumber"/>
        </w:rPr>
        <w:t xml:space="preserve">7.4.4</w:t>
      </w:r>
      <w:r>
        <w:tab/>
      </w:r>
      <w:r>
        <w:t xml:space="preserve">気候変動と医療</w:t>
      </w:r>
    </w:p>
    <w:p>
      <w:pPr>
        <w:numPr>
          <w:ilvl w:val="0"/>
          <w:numId w:val="1083"/>
        </w:numPr>
        <w:pStyle w:val="Compact"/>
      </w:pPr>
      <w:r>
        <w:t xml:space="preserve">気候変動と医療との関係性を理解できる</w:t>
      </w:r>
    </w:p>
    <w:p>
      <w:pPr>
        <w:numPr>
          <w:ilvl w:val="0"/>
          <w:numId w:val="1083"/>
        </w:numPr>
        <w:pStyle w:val="Compact"/>
      </w:pPr>
      <w:r>
        <w:t xml:space="preserve">患者が抱える健康に関する課題と気候変動との関係を想像できる</w:t>
      </w:r>
    </w:p>
    <w:p>
      <w:pPr>
        <w:numPr>
          <w:ilvl w:val="0"/>
          <w:numId w:val="1083"/>
        </w:numPr>
        <w:pStyle w:val="Compact"/>
      </w:pPr>
      <w:r>
        <w:t xml:space="preserve">地球環境が抱える諸課題を認識し、その解決のために行動できる</w:t>
      </w:r>
    </w:p>
    <w:bookmarkEnd w:id="131"/>
    <w:bookmarkStart w:id="132" w:name="哲学倫理と医療"/>
    <w:p>
      <w:pPr>
        <w:pStyle w:val="Heading3"/>
      </w:pPr>
      <w:r>
        <w:rPr>
          <w:rStyle w:val="SectionNumber"/>
        </w:rPr>
        <w:t xml:space="preserve">7.4.5</w:t>
      </w:r>
      <w:r>
        <w:tab/>
      </w:r>
      <w:r>
        <w:t xml:space="preserve">哲学・倫理と医療</w:t>
      </w:r>
    </w:p>
    <w:p>
      <w:pPr>
        <w:numPr>
          <w:ilvl w:val="0"/>
          <w:numId w:val="1084"/>
        </w:numPr>
        <w:pStyle w:val="Compact"/>
      </w:pPr>
      <w:r>
        <w:t xml:space="preserve">現代思想・哲学の語彙を概説することができる</w:t>
      </w:r>
    </w:p>
    <w:p>
      <w:pPr>
        <w:numPr>
          <w:ilvl w:val="0"/>
          <w:numId w:val="1084"/>
        </w:numPr>
        <w:pStyle w:val="Compact"/>
      </w:pPr>
      <w:r>
        <w:t xml:space="preserve">診療現場における倫理的問題について倫理学の考え方に依拠し分析し考えを述べることができる。</w:t>
      </w:r>
    </w:p>
    <w:bookmarkEnd w:id="132"/>
    <w:bookmarkStart w:id="133" w:name="歴史と医学医療"/>
    <w:p>
      <w:pPr>
        <w:pStyle w:val="Heading3"/>
      </w:pPr>
      <w:r>
        <w:rPr>
          <w:rStyle w:val="SectionNumber"/>
        </w:rPr>
        <w:t xml:space="preserve">7.4.6</w:t>
      </w:r>
      <w:r>
        <w:tab/>
      </w:r>
      <w:r>
        <w:t xml:space="preserve">歴史と医学・医療</w:t>
      </w:r>
    </w:p>
    <w:p>
      <w:pPr>
        <w:numPr>
          <w:ilvl w:val="0"/>
          <w:numId w:val="1085"/>
        </w:numPr>
        <w:pStyle w:val="Compact"/>
      </w:pPr>
      <w:r>
        <w:t xml:space="preserve">医学・医療の歴史的変遷を踏まえ現代の医学的問題を相対化できる</w:t>
      </w:r>
    </w:p>
    <w:p>
      <w:pPr>
        <w:numPr>
          <w:ilvl w:val="0"/>
          <w:numId w:val="1085"/>
        </w:numPr>
        <w:pStyle w:val="Compact"/>
      </w:pPr>
      <w:r>
        <w:t xml:space="preserve">削除：医学・医療の歴史的変遷を概説できる。</w:t>
      </w:r>
    </w:p>
    <w:p>
      <w:pPr>
        <w:numPr>
          <w:ilvl w:val="0"/>
          <w:numId w:val="1085"/>
        </w:numPr>
        <w:pStyle w:val="Compact"/>
      </w:pPr>
      <w:r>
        <w:t xml:space="preserve">削除：現代の医学的問題を過去の歴史を用いて相対化できる。</w:t>
      </w:r>
    </w:p>
    <w:bookmarkEnd w:id="133"/>
    <w:bookmarkEnd w:id="134"/>
    <w:bookmarkStart w:id="137" w:name="国内外の視点から捉える医療"/>
    <w:p>
      <w:pPr>
        <w:pStyle w:val="Heading2"/>
      </w:pPr>
      <w:r>
        <w:rPr>
          <w:rStyle w:val="SectionNumber"/>
        </w:rPr>
        <w:t xml:space="preserve">7.5</w:t>
      </w:r>
      <w:r>
        <w:tab/>
      </w:r>
      <w:r>
        <w:t xml:space="preserve">国内外の視点から捉える医療</w:t>
      </w:r>
    </w:p>
    <w:p>
      <w:pPr>
        <w:pStyle w:val="FirstParagraph"/>
      </w:pPr>
      <w:r>
        <w:t xml:space="preserve">国内、及び、国際社会の中で規定される医療の役割と医療体制について概説できる。</w:t>
      </w:r>
    </w:p>
    <w:bookmarkStart w:id="135" w:name="国内の医療職の役割や医療体制"/>
    <w:p>
      <w:pPr>
        <w:pStyle w:val="Heading3"/>
      </w:pPr>
      <w:r>
        <w:rPr>
          <w:rStyle w:val="SectionNumber"/>
        </w:rPr>
        <w:t xml:space="preserve">7.5.1</w:t>
      </w:r>
      <w:r>
        <w:tab/>
      </w:r>
      <w:r>
        <w:t xml:space="preserve">国内の医療職の役割や医療体制</w:t>
      </w:r>
    </w:p>
    <w:p>
      <w:pPr>
        <w:numPr>
          <w:ilvl w:val="0"/>
          <w:numId w:val="1086"/>
        </w:numPr>
        <w:pStyle w:val="Compact"/>
      </w:pPr>
      <w:r>
        <w:t xml:space="preserve">医師法が定める医師の職権と義務を説明できる。</w:t>
      </w:r>
    </w:p>
    <w:p>
      <w:pPr>
        <w:numPr>
          <w:ilvl w:val="0"/>
          <w:numId w:val="1086"/>
        </w:numPr>
        <w:pStyle w:val="Compact"/>
      </w:pPr>
      <w:r>
        <w:t xml:space="preserve">医療職を規定する法律・制度を概説できる。</w:t>
      </w:r>
    </w:p>
    <w:p>
      <w:pPr>
        <w:numPr>
          <w:ilvl w:val="0"/>
          <w:numId w:val="1086"/>
        </w:numPr>
        <w:pStyle w:val="Compact"/>
      </w:pPr>
      <w:r>
        <w:t xml:space="preserve">医療法が定める医療施設を概説できる。</w:t>
      </w:r>
    </w:p>
    <w:p>
      <w:pPr>
        <w:numPr>
          <w:ilvl w:val="0"/>
          <w:numId w:val="1086"/>
        </w:numPr>
        <w:pStyle w:val="Compact"/>
      </w:pPr>
      <w:r>
        <w:t xml:space="preserve">医療計画を説明できる。</w:t>
      </w:r>
    </w:p>
    <w:p>
      <w:pPr>
        <w:numPr>
          <w:ilvl w:val="0"/>
          <w:numId w:val="1086"/>
        </w:numPr>
        <w:pStyle w:val="Compact"/>
      </w:pPr>
      <w:r>
        <w:t xml:space="preserve">地域医療提供体制に関する諸課題の相互関連性を構造的に説明できる。</w:t>
      </w:r>
    </w:p>
    <w:p>
      <w:pPr>
        <w:numPr>
          <w:ilvl w:val="0"/>
          <w:numId w:val="1086"/>
        </w:numPr>
        <w:pStyle w:val="Compact"/>
      </w:pPr>
      <w:r>
        <w:t xml:space="preserve">医療提供体制と医師の働き方について考え方を述べることができる。</w:t>
      </w:r>
    </w:p>
    <w:bookmarkEnd w:id="135"/>
    <w:bookmarkStart w:id="136" w:name="グルーバルヘルスの役割や医療体制"/>
    <w:p>
      <w:pPr>
        <w:pStyle w:val="Heading3"/>
      </w:pPr>
      <w:r>
        <w:rPr>
          <w:rStyle w:val="SectionNumber"/>
        </w:rPr>
        <w:t xml:space="preserve">7.5.2</w:t>
      </w:r>
      <w:r>
        <w:tab/>
      </w:r>
      <w:r>
        <w:t xml:space="preserve">グルーバルヘルスの役割や医療体制</w:t>
      </w:r>
    </w:p>
    <w:p>
      <w:pPr>
        <w:numPr>
          <w:ilvl w:val="0"/>
          <w:numId w:val="1087"/>
        </w:numPr>
        <w:pStyle w:val="Compact"/>
      </w:pPr>
      <w:r>
        <w:t xml:space="preserve">国際的に取り組む必要のある医療・健康課題を歴史・社会的背景を踏まえて、説明できる。</w:t>
      </w:r>
    </w:p>
    <w:p>
      <w:pPr>
        <w:numPr>
          <w:ilvl w:val="0"/>
          <w:numId w:val="1087"/>
        </w:numPr>
        <w:pStyle w:val="Compact"/>
      </w:pPr>
      <w:r>
        <w:t xml:space="preserve">削除：グローバルヘルス領域での母子に関わる医療・健康問題を挙げることができる。</w:t>
      </w:r>
    </w:p>
    <w:p>
      <w:pPr>
        <w:numPr>
          <w:ilvl w:val="0"/>
          <w:numId w:val="1087"/>
        </w:numPr>
        <w:pStyle w:val="Compact"/>
      </w:pPr>
      <w:r>
        <w:t xml:space="preserve">削除：国際的に問題となっている感染症・非感染性疾患とその対策を概説できる。</w:t>
      </w:r>
    </w:p>
    <w:p>
      <w:pPr>
        <w:numPr>
          <w:ilvl w:val="0"/>
          <w:numId w:val="1087"/>
        </w:numPr>
        <w:pStyle w:val="Compact"/>
      </w:pPr>
      <w:r>
        <w:t xml:space="preserve">UHC(Universal health coverage)とは何かを概説し、各国の医療制度が抱える問題を例示できる。</w:t>
      </w:r>
    </w:p>
    <w:p>
      <w:pPr>
        <w:numPr>
          <w:ilvl w:val="0"/>
          <w:numId w:val="1087"/>
        </w:numPr>
        <w:pStyle w:val="Compact"/>
      </w:pPr>
      <w:r>
        <w:t xml:space="preserve">保健関連の国連開発目標や国際機関・国際協力に関わる組織・団体について概説できる。</w:t>
      </w:r>
    </w:p>
    <w:bookmarkEnd w:id="136"/>
    <w:bookmarkEnd w:id="137"/>
    <w:bookmarkStart w:id="139" w:name="社会科学の視点から捉える医療"/>
    <w:p>
      <w:pPr>
        <w:pStyle w:val="Heading2"/>
      </w:pPr>
      <w:r>
        <w:rPr>
          <w:rStyle w:val="SectionNumber"/>
        </w:rPr>
        <w:t xml:space="preserve">7.6</w:t>
      </w:r>
      <w:r>
        <w:tab/>
      </w:r>
      <w:r>
        <w:t xml:space="preserve">社会科学の視点から捉える医療</w:t>
      </w:r>
    </w:p>
    <w:p>
      <w:pPr>
        <w:pStyle w:val="FirstParagraph"/>
      </w:pPr>
      <w:r>
        <w:t xml:space="preserve">医学的・文化的・社会的文脈のなかで生成される健康観や人びとの言動・関係性を理解し、社会科学 (主に医療人類学・医療社会学)の視点から、それを臨床実践に活用することができる。</w:t>
      </w:r>
    </w:p>
    <w:bookmarkStart w:id="138" w:name="社会科学と医療との関係"/>
    <w:p>
      <w:pPr>
        <w:pStyle w:val="Heading3"/>
      </w:pPr>
      <w:r>
        <w:rPr>
          <w:rStyle w:val="SectionNumber"/>
        </w:rPr>
        <w:t xml:space="preserve">7.6.1</w:t>
      </w:r>
      <w:r>
        <w:tab/>
      </w:r>
      <w:r>
        <w:t xml:space="preserve">社会科学と医療との関係</w:t>
      </w:r>
    </w:p>
    <w:p>
      <w:pPr>
        <w:numPr>
          <w:ilvl w:val="0"/>
          <w:numId w:val="1088"/>
        </w:numPr>
        <w:pStyle w:val="Compact"/>
      </w:pPr>
      <w:r>
        <w:t xml:space="preserve">日常生活や外来診療・在宅療養・入院・施設入所等において、健康・病気・死の捉え方を探索できる。</w:t>
      </w:r>
    </w:p>
    <w:p>
      <w:pPr>
        <w:numPr>
          <w:ilvl w:val="0"/>
          <w:numId w:val="1088"/>
        </w:numPr>
        <w:pStyle w:val="Compact"/>
      </w:pPr>
      <w:r>
        <w:t xml:space="preserve">時代の流れ、社会の状況や諸制度との関わりのなかで医療に関する諸事象を捉え、構造的に説明できる。</w:t>
      </w:r>
    </w:p>
    <w:p>
      <w:pPr>
        <w:numPr>
          <w:ilvl w:val="0"/>
          <w:numId w:val="1088"/>
        </w:numPr>
        <w:pStyle w:val="Compact"/>
      </w:pPr>
      <w:r>
        <w:t xml:space="preserve">削除：人びとの生活の場において健康・病気・死とそれらをめぐる医療がどのようにとらえられているかを探索することを通じて、予防医学や健康維持増進、在宅療養・入院・施設入所等の関係を総合的に考察できる。</w:t>
      </w:r>
    </w:p>
    <w:p>
      <w:pPr>
        <w:numPr>
          <w:ilvl w:val="0"/>
          <w:numId w:val="1088"/>
        </w:numPr>
        <w:pStyle w:val="Compact"/>
      </w:pPr>
      <w:r>
        <w:t xml:space="preserve">個や集団に及ぼす文化・慣習による影響（コミュニケーションのあり方等）を説明できる。</w:t>
      </w:r>
    </w:p>
    <w:bookmarkEnd w:id="138"/>
    <w:bookmarkEnd w:id="139"/>
    <w:bookmarkEnd w:id="140"/>
    <w:bookmarkStart w:id="141" w:name="別表"/>
    <w:p>
      <w:pPr>
        <w:pStyle w:val="Heading1"/>
      </w:pPr>
      <w:r>
        <w:rPr>
          <w:rStyle w:val="SectionNumber"/>
        </w:rPr>
        <w:t xml:space="preserve">8</w:t>
      </w:r>
      <w:r>
        <w:tab/>
      </w:r>
      <w:r>
        <w:t xml:space="preserve">別表</w:t>
      </w:r>
    </w:p>
    <w:bookmarkEnd w:id="141"/>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r="http://schemas.openxmlformats.org/officeDocument/2006/relationships" xmlns:w="http://schemas.openxmlformats.org/wordprocessingml/2006/main">
  <w:font w:name="Symbol">
    <w:panose1 w:val="02000500000000000000"/>
    <w:charset w:val="02"/>
    <w:family w:val="auto"/>
    <w:pitch w:val="variable"/>
    <w:sig w:usb0="00000000" w:usb1="00000000" w:usb2="00010000" w:usb3="00000000" w:csb0="80000000" w:csb1="00000000"/>
  </w:font>
  <w:font w:name="Times New Roman">
    <w:panose1 w:val="02020603050405020304"/>
    <w:charset w:val="00"/>
    <w:family w:val="auto"/>
    <w:pitch w:val="variable"/>
    <w:sig w:usb0="00000003" w:usb1="00000000" w:usb2="00000000" w:usb3="00000000" w:csb0="00000001" w:csb1="00000000"/>
  </w:font>
  <w:font w:name="Courier New">
    <w:panose1 w:val="02070309020205020404"/>
    <w:charset w:val="00"/>
    <w:family w:val="auto"/>
    <w:pitch w:val="variable"/>
    <w:sig w:usb0="00000003" w:usb1="00000000" w:usb2="00000000" w:usb3="00000000" w:csb0="00000001" w:csb1="00000000"/>
  </w:font>
  <w:font w:name="Wingdings">
    <w:panose1 w:val="05020102010804080708"/>
    <w:charset w:val="02"/>
    <w:family w:val="auto"/>
    <w:pitch w:val="variable"/>
    <w:sig w:usb0="00000000" w:usb1="00000000" w:usb2="00010000" w:usb3="00000000" w:csb0="80000000" w:csb1="00000000"/>
  </w:font>
  <w:font w:name="Cambria">
    <w:panose1 w:val="02040503050406030204"/>
    <w:charset w:val="00"/>
    <w:family w:val="auto"/>
    <w:pitch w:val="variable"/>
    <w:sig w:usb0="00000003" w:usb1="00000000" w:usb2="00000000" w:usb3="00000000" w:csb0="00000001" w:csb1="00000000"/>
  </w:font>
  <w:font w:name="Calibri">
    <w:panose1 w:val="020F0502020204030204"/>
    <w:charset w:val="00"/>
    <w:family w:val="auto"/>
    <w:pitch w:val="variable"/>
    <w:sig w:usb0="00000003" w:usb1="00000000" w:usb2="00000000" w:usb3="00000000" w:csb0="00000001" w:csb1="00000000"/>
  </w:font>
  <w:font w:name="Arial">
    <w:panose1 w:val="020B0604020202020204"/>
    <w:charset w:val="00"/>
    <w:family w:val="auto"/>
    <w:pitch w:val="variable"/>
    <w:sig w:usb0="00000003" w:usb1="00000000" w:usb2="00000000" w:usb3="00000000" w:csb0="00000001"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http://schemas.openxmlformats.org/wordprocessingml/2006/main">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numId="1000">
    <w:abstractNumId w:val="990"/>
  </w:num>
  <w:num w:numId="100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1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2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3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4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5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6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79">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0">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1">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8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oNotTrackMoves/>
  <w:defaultTabStop w:val="720"/>
  <w:drawingGridHorizontalSpacing w:val="360"/>
  <w:drawingGridVerticalSpacing w:val="360"/>
  <w:displayHorizontalDrawingGridEvery w:val="0"/>
  <w:displayVerticalDrawingGridEvery w:val="0"/>
  <w:characterSpacingControl w:val="doNotCompress"/>
  <w:savePreviewPicture/>
  <m:mathPr>
    <m:mathFont m:val="Cambria Math"/>
    <m:brkBin m:val="before"/>
    <m:brkBinSub m:val="--"/>
    <m:smallFrac m:val="0"/>
    <m:dispDef/>
    <m:lMargin m:val="0"/>
    <m:rMargin m:val="0"/>
    <m:wrapRight/>
    <m:intLim m:val="subSup"/>
    <m:naryLim m:val="undOvr"/>
  </m:mathPr>
  <w:themeFontLang w:val="en-U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276" w:defLockedState="0" w:defQFormat="0" w:defSemiHidden="0" w:defUIPriority="0" w:defUnhideWhenUsed="0"/>
  <w:style w:default="1" w:styleId="Normal" w:type="paragraph">
    <w:name w:val="Normal"/>
    <w:qFormat/>
  </w:style>
  <w:style w:styleId="BodyText" w:type="paragraph">
    <w:name w:val="Body Text"/>
    <w:basedOn w:val="Normal"/>
    <w:link w:val="BodyTextChar"/>
    <w:pPr>
      <w:spacing w:after="180" w:before="180"/>
    </w:pPr>
    <w:qFormat/>
  </w:style>
  <w:style w:customStyle="1" w:styleId="FirstParagraph" w:type="paragraph">
    <w:name w:val="First Paragraph"/>
    <w:basedOn w:val="BodyText"/>
    <w:next w:val="BodyText"/>
    <w:qFormat/>
  </w:style>
  <w:style w:customStyle="1" w:styleId="Compact" w:type="paragraph">
    <w:name w:val="Compact"/>
    <w:basedOn w:val="BodyText"/>
    <w:qFormat/>
    <w:pPr>
      <w:spacing w:after="36" w:before="36"/>
    </w:pPr>
  </w:style>
  <w:style w:styleId="Title" w:type="paragraph">
    <w:name w:val="Title"/>
    <w:basedOn w:val="Normal"/>
    <w:next w:val="BodyText"/>
    <w:qFormat/>
    <w:pPr>
      <w:keepNext/>
      <w:keepLines/>
      <w:spacing w:after="240" w:before="480"/>
      <w:jc w:val="center"/>
    </w:pPr>
    <w:rPr>
      <w:rFonts w:asciiTheme="majorHAnsi" w:cstheme="majorBidi" w:eastAsiaTheme="majorEastAsia" w:hAnsiTheme="majorHAnsi"/>
      <w:b/>
      <w:bCs/>
      <w:color w:themeColor="accent1" w:themeShade="B5" w:val="345A8A"/>
      <w:sz w:val="36"/>
      <w:szCs w:val="36"/>
    </w:rPr>
  </w:style>
  <w:style w:styleId="Subtitle" w:type="paragraph">
    <w:name w:val="Subtitle"/>
    <w:basedOn w:val="Title"/>
    <w:next w:val="BodyText"/>
    <w:qFormat/>
    <w:pPr>
      <w:keepNext/>
      <w:keepLines/>
      <w:spacing w:after="240" w:before="240"/>
      <w:jc w:val="center"/>
    </w:pPr>
    <w:rPr>
      <w:sz w:val="30"/>
      <w:szCs w:val="30"/>
    </w:rPr>
  </w:style>
  <w:style w:customStyle="1" w:styleId="Author" w:type="paragraph">
    <w:name w:val="Author"/>
    <w:next w:val="BodyText"/>
    <w:qFormat/>
    <w:pPr>
      <w:keepNext/>
      <w:keepLines/>
      <w:jc w:val="center"/>
    </w:pPr>
  </w:style>
  <w:style w:styleId="Date" w:type="paragraph">
    <w:name w:val="Date"/>
    <w:next w:val="BodyText"/>
    <w:qFormat/>
    <w:pPr>
      <w:keepNext/>
      <w:keepLines/>
      <w:jc w:val="center"/>
    </w:p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next w:val="Bibliography"/>
    <w:qFormat/>
    <w:pPr/>
    <w:rPr/>
  </w:style>
  <w:style w:styleId="Heading1" w:type="paragraph">
    <w:name w:val="Heading 1"/>
    <w:basedOn w:val="Normal"/>
    <w:next w:val="BodyText"/>
    <w:uiPriority w:val="9"/>
    <w:qFormat/>
    <w:pPr>
      <w:keepNext/>
      <w:keepLines/>
      <w:spacing w:after="0" w:before="480"/>
      <w:outlineLvl w:val="0"/>
    </w:pPr>
    <w:rPr>
      <w:rFonts w:asciiTheme="majorHAnsi" w:cstheme="majorBidi" w:eastAsiaTheme="majorEastAsia" w:hAnsiTheme="majorHAnsi"/>
      <w:b/>
      <w:bCs/>
      <w:color w:themeColor="accent1" w:val="4F81BD"/>
      <w:sz w:val="32"/>
      <w:szCs w:val="32"/>
    </w:rPr>
  </w:style>
  <w:style w:styleId="Heading2" w:type="paragraph">
    <w:name w:val="Heading 2"/>
    <w:basedOn w:val="Normal"/>
    <w:next w:val="BodyText"/>
    <w:uiPriority w:val="9"/>
    <w:unhideWhenUsed/>
    <w:qFormat/>
    <w:pPr>
      <w:keepNext/>
      <w:keepLines/>
      <w:spacing w:after="0" w:before="200"/>
      <w:outlineLvl w:val="1"/>
    </w:pPr>
    <w:rPr>
      <w:rFonts w:asciiTheme="majorHAnsi" w:cstheme="majorBidi" w:eastAsiaTheme="majorEastAsia" w:hAnsiTheme="majorHAnsi"/>
      <w:b/>
      <w:bCs/>
      <w:color w:themeColor="accent1" w:val="4F81BD"/>
      <w:sz w:val="28"/>
      <w:szCs w:val="28"/>
    </w:rPr>
  </w:style>
  <w:style w:styleId="Heading3" w:type="paragraph">
    <w:name w:val="Heading 3"/>
    <w:basedOn w:val="Normal"/>
    <w:next w:val="BodyText"/>
    <w:uiPriority w:val="9"/>
    <w:unhideWhenUsed/>
    <w:qFormat/>
    <w:pPr>
      <w:keepNext/>
      <w:keepLines/>
      <w:spacing w:after="0" w:before="200"/>
      <w:outlineLvl w:val="2"/>
    </w:pPr>
    <w:rPr>
      <w:rFonts w:asciiTheme="majorHAnsi" w:cstheme="majorBidi" w:eastAsiaTheme="majorEastAsia" w:hAnsiTheme="majorHAnsi"/>
      <w:b/>
      <w:bCs/>
      <w:color w:themeColor="accent1" w:val="4F81BD"/>
      <w:sz w:val="24"/>
      <w:szCs w:val="24"/>
    </w:rPr>
  </w:style>
  <w:style w:styleId="Heading4" w:type="paragraph">
    <w:name w:val="Heading 4"/>
    <w:basedOn w:val="Normal"/>
    <w:next w:val="BodyText"/>
    <w:uiPriority w:val="9"/>
    <w:unhideWhenUsed/>
    <w:qFormat/>
    <w:pPr>
      <w:keepNext/>
      <w:keepLines/>
      <w:spacing w:after="0" w:before="200"/>
      <w:outlineLvl w:val="3"/>
    </w:pPr>
    <w:rPr>
      <w:rFonts w:asciiTheme="majorHAnsi" w:cstheme="majorBidi" w:eastAsiaTheme="majorEastAsia" w:hAnsiTheme="majorHAnsi"/>
      <w:i/>
      <w:bCs/>
      <w:color w:themeColor="accent1" w:val="4F81BD"/>
      <w:sz w:val="24"/>
      <w:szCs w:val="24"/>
    </w:rPr>
  </w:style>
  <w:style w:styleId="Heading5" w:type="paragraph">
    <w:name w:val="Heading 5"/>
    <w:basedOn w:val="Normal"/>
    <w:next w:val="BodyText"/>
    <w:uiPriority w:val="9"/>
    <w:unhideWhenUsed/>
    <w:qFormat/>
    <w:pPr>
      <w:keepNext/>
      <w:keepLines/>
      <w:spacing w:after="0" w:before="200"/>
      <w:outlineLvl w:val="4"/>
    </w:pPr>
    <w:rPr>
      <w:rFonts w:asciiTheme="majorHAnsi" w:cstheme="majorBidi" w:eastAsiaTheme="majorEastAsia" w:hAnsiTheme="majorHAnsi"/>
      <w:iCs/>
      <w:color w:themeColor="accent1" w:val="4F81BD"/>
      <w:sz w:val="24"/>
      <w:szCs w:val="24"/>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sz w:val="24"/>
      <w:szCs w:val="24"/>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sz w:val="24"/>
      <w:szCs w:val="24"/>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sz w:val="24"/>
      <w:szCs w:val="24"/>
    </w:rPr>
  </w:style>
  <w:style w:styleId="Heading9" w:type="paragraph">
    <w:name w:val="Heading 9"/>
    <w:basedOn w:val="Normal"/>
    <w:next w:val="BodyText"/>
    <w:uiPriority w:val="9"/>
    <w:unhideWhenUsed/>
    <w:qFormat/>
    <w:pPr>
      <w:keepNext/>
      <w:keepLines/>
      <w:spacing w:after="0" w:before="200"/>
      <w:outlineLvl w:val="8"/>
    </w:pPr>
    <w:rPr>
      <w:rFonts w:asciiTheme="majorHAnsi" w:cstheme="majorBidi" w:eastAsiaTheme="majorEastAsia" w:hAnsiTheme="majorHAnsi"/>
      <w:color w:themeColor="accent1" w:val="4F81BD"/>
      <w:sz w:val="24"/>
      <w:szCs w:val="24"/>
    </w:rPr>
  </w:style>
  <w:style w:styleId="BlockText" w:type="paragraph">
    <w:name w:val="Block Text"/>
    <w:basedOn w:val="BodyText"/>
    <w:next w:val="BodyText"/>
    <w:uiPriority w:val="9"/>
    <w:unhideWhenUsed/>
    <w:qFormat/>
    <w:pPr>
      <w:spacing w:after="100" w:before="100"/>
      <w:ind w:firstLine="0" w:left="480" w:right="480"/>
    </w:pPr>
  </w:style>
  <w:style w:styleId="FootnoteText" w:type="paragraph">
    <w:name w:val="Footnote Text"/>
    <w:basedOn w:val="Normal"/>
    <w:next w:val="FootnoteText"/>
    <w:uiPriority w:val="9"/>
    <w:unhideWhenUsed/>
    <w:qFormat/>
  </w:style>
  <w:style w:default="1" w:styleId="DefaultParagraphFont" w:type="character">
    <w:name w:val="Default Paragraph Font"/>
    <w:semiHidden/>
    <w:unhideWhenUsed/>
  </w:style>
  <w:style w:default="1" w:styleId="Table" w:type="table">
    <w:name w:val="Table"/>
    <w:basedOn w:val="TableNormal"/>
    <w:semiHidden/>
    <w:unhideWhenUsed/>
    <w:qFormat/>
    <w:tblPr>
      <w:tblInd w:type="dxa" w:w="0"/>
      <w:tblCellMar>
        <w:top w:type="dxa" w:w="0"/>
        <w:left w:type="dxa" w:w="108"/>
        <w:bottom w:type="dxa" w:w="0"/>
        <w:right w:type="dxa" w:w="108"/>
      </w:tblCellMar>
    </w:tblPr>
    <w:tblStylePr w:type="firstRow">
      <w:tblPr>
        <w:jc w:val="left"/>
        <w:tblInd w:type="dxa" w:w="0"/>
      </w:tblPr>
      <w:trPr>
        <w:jc w:val="left"/>
      </w:trPr>
      <w:tcPr>
        <w:vAlign w:val="bottom"/>
        <w:tcBorders>
          <w:bottom w:val="single"/>
        </w:tcBorders>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BodyTextChar"/>
    <w:pPr>
      <w:spacing w:after="120" w:before="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BodyTextChar" w:type="character">
    <w:name w:val="Body Text Char"/>
    <w:basedOn w:val="DefaultParagraphFont"/>
    <w:link w:val="BodyText"/>
  </w:style>
  <w:style w:customStyle="1" w:styleId="VerbatimChar" w:type="character">
    <w:name w:val="Verbatim Char"/>
    <w:basedOn w:val="BodyTextChar"/>
    <w:rPr>
      <w:rFonts w:ascii="Consolas" w:hAnsi="Consolas"/>
      <w:sz w:val="22"/>
    </w:rPr>
  </w:style>
  <w:style w:customStyle="1" w:styleId="SectionNumber" w:type="character">
    <w:name w:val="Section Number"/>
    <w:basedOn w:val="BodyTextChar"/>
  </w:style>
  <w:style w:styleId="FootnoteReference" w:type="character">
    <w:name w:val="Footnote Reference"/>
    <w:basedOn w:val="BodyTextChar"/>
    <w:rPr>
      <w:vertAlign w:val="superscript"/>
    </w:rPr>
  </w:style>
  <w:style w:styleId="Hyperlink" w:type="character">
    <w:name w:val="Hyperlink"/>
    <w:basedOn w:val="BodyText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rFonts w:asciiTheme="majorHAnsi" w:cstheme="majorBidi" w:eastAsiaTheme="majorEastAsia" w:hAnsiTheme="majorHAnsi"/>
      <w:b w:val="0"/>
      <w:bCs w:val="0"/>
      <w:color w:themeColor="accent1" w:themeShade="BF" w:val="365F91"/>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ns0:webSettings xmlns:ns0="http://schemas.openxmlformats.org/wordprocessingml/2006/main">
  <ns0:allowPNG/>
  <ns0:doNotSaveAsSingleFile/>
</ns0: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Words>83</Words>
  <SharedDoc>false</SharedDoc>
  <HyperlinksChanged>false</HyperlinksChanged>
  <Lines>12</Lines>
  <AppVersion>12.0000</AppVersion>
  <LinksUpToDate>false</LinksUpToDate>
  <Application>Microsoft Word 12.0.0</Application>
  <CharactersWithSpaces>583</CharactersWithSpaces>
  <Template>Normal.dotm</Template>
  <DocSecurity>0</DocSecurity>
  <TotalTime>6</TotalTime>
  <ScaleCrop>false</ScaleCrop>
  <Characters>475</Characters>
  <Paragraphs>8</Paragraphs>
  <Pages>1</Pag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医学教育モデル・コア・カリキュラム</dc:title>
  <dc:creator/>
  <cp:keywords/>
  <dcterms:created xsi:type="dcterms:W3CDTF">2022-03-07T11:06:56Z</dcterms:created>
  <dcterms:modified xsi:type="dcterms:W3CDTF">2022-03-07T11:06:56Z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utoEqnLabels">
    <vt:lpwstr>False</vt:lpwstr>
  </property>
  <property fmtid="{D5CDD505-2E9C-101B-9397-08002B2CF9AE}" pid="3" name="autoSectionLabels">
    <vt:lpwstr>False</vt:lpwstr>
  </property>
  <property fmtid="{D5CDD505-2E9C-101B-9397-08002B2CF9AE}" pid="4" name="ccsDelim">
    <vt:lpwstr>, </vt:lpwstr>
  </property>
  <property fmtid="{D5CDD505-2E9C-101B-9397-08002B2CF9AE}" pid="5" name="ccsLabelSep">
    <vt:lpwstr> — </vt:lpwstr>
  </property>
  <property fmtid="{D5CDD505-2E9C-101B-9397-08002B2CF9AE}" pid="6" name="ccsTemplate">
    <vt:lpwstr>iccsLabelSept</vt:lpwstr>
  </property>
  <property fmtid="{D5CDD505-2E9C-101B-9397-08002B2CF9AE}" pid="7" name="chapDelim">
    <vt:lpwstr>.</vt:lpwstr>
  </property>
  <property fmtid="{D5CDD505-2E9C-101B-9397-08002B2CF9AE}" pid="8" name="chapters">
    <vt:lpwstr>False</vt:lpwstr>
  </property>
  <property fmtid="{D5CDD505-2E9C-101B-9397-08002B2CF9AE}" pid="9" name="chaptersDepth">
    <vt:lpwstr>1</vt:lpwstr>
  </property>
  <property fmtid="{D5CDD505-2E9C-101B-9397-08002B2CF9AE}" pid="10" name="codeBlockCaptions">
    <vt:lpwstr>False</vt:lpwstr>
  </property>
  <property fmtid="{D5CDD505-2E9C-101B-9397-08002B2CF9AE}" pid="11" name="cref">
    <vt:lpwstr>False</vt:lpwstr>
  </property>
  <property fmtid="{D5CDD505-2E9C-101B-9397-08002B2CF9AE}" pid="12" name="crossrefYaml">
    <vt:lpwstr>pandoc-crossref.yaml</vt:lpwstr>
  </property>
  <property fmtid="{D5CDD505-2E9C-101B-9397-08002B2CF9AE}" pid="13" name="eqLabels">
    <vt:lpwstr>arabic</vt:lpwstr>
  </property>
  <property fmtid="{D5CDD505-2E9C-101B-9397-08002B2CF9AE}" pid="14" name="eqnPrefix">
    <vt:lpwstr>式.</vt:lpwstr>
  </property>
  <property fmtid="{D5CDD505-2E9C-101B-9397-08002B2CF9AE}" pid="15" name="eqnPrefixTemplate">
    <vt:lpwstr>p i</vt:lpwstr>
  </property>
  <property fmtid="{D5CDD505-2E9C-101B-9397-08002B2CF9AE}" pid="16" name="equationNumberTeX">
    <vt:lpwstr>qquad</vt:lpwstr>
  </property>
  <property fmtid="{D5CDD505-2E9C-101B-9397-08002B2CF9AE}" pid="17" name="figLabels">
    <vt:lpwstr>arabic</vt:lpwstr>
  </property>
  <property fmtid="{D5CDD505-2E9C-101B-9397-08002B2CF9AE}" pid="18" name="figPrefix">
    <vt:lpwstr>図.</vt:lpwstr>
  </property>
  <property fmtid="{D5CDD505-2E9C-101B-9397-08002B2CF9AE}" pid="19" name="figPrefixTemplate">
    <vt:lpwstr>p i</vt:lpwstr>
  </property>
  <property fmtid="{D5CDD505-2E9C-101B-9397-08002B2CF9AE}" pid="20" name="figureTemplate">
    <vt:lpwstr>figureTitle ititleDelim t</vt:lpwstr>
  </property>
  <property fmtid="{D5CDD505-2E9C-101B-9397-08002B2CF9AE}" pid="21" name="figureTitle">
    <vt:lpwstr>図</vt:lpwstr>
  </property>
  <property fmtid="{D5CDD505-2E9C-101B-9397-08002B2CF9AE}" pid="22" name="header-includes">
    <vt:lpwstr/>
  </property>
  <property fmtid="{D5CDD505-2E9C-101B-9397-08002B2CF9AE}" pid="23" name="lastDelim">
    <vt:lpwstr>, </vt:lpwstr>
  </property>
  <property fmtid="{D5CDD505-2E9C-101B-9397-08002B2CF9AE}" pid="24" name="linkReferences">
    <vt:lpwstr>False</vt:lpwstr>
  </property>
  <property fmtid="{D5CDD505-2E9C-101B-9397-08002B2CF9AE}" pid="25" name="listingTemplate">
    <vt:lpwstr>listingTitle ititleDelim t</vt:lpwstr>
  </property>
  <property fmtid="{D5CDD505-2E9C-101B-9397-08002B2CF9AE}" pid="26" name="listingTitle">
    <vt:lpwstr>コード</vt:lpwstr>
  </property>
  <property fmtid="{D5CDD505-2E9C-101B-9397-08002B2CF9AE}" pid="27" name="listings">
    <vt:lpwstr>False</vt:lpwstr>
  </property>
  <property fmtid="{D5CDD505-2E9C-101B-9397-08002B2CF9AE}" pid="28" name="lofTitle">
    <vt:lpwstr>List of Figures</vt:lpwstr>
  </property>
  <property fmtid="{D5CDD505-2E9C-101B-9397-08002B2CF9AE}" pid="29" name="lolTitle">
    <vt:lpwstr>List of Listings</vt:lpwstr>
  </property>
  <property fmtid="{D5CDD505-2E9C-101B-9397-08002B2CF9AE}" pid="30" name="lotTitle">
    <vt:lpwstr>List of Tables</vt:lpwstr>
  </property>
  <property fmtid="{D5CDD505-2E9C-101B-9397-08002B2CF9AE}" pid="31" name="lstLabels">
    <vt:lpwstr>arabic</vt:lpwstr>
  </property>
  <property fmtid="{D5CDD505-2E9C-101B-9397-08002B2CF9AE}" pid="32" name="lstPrefix">
    <vt:lpwstr>コード.</vt:lpwstr>
  </property>
  <property fmtid="{D5CDD505-2E9C-101B-9397-08002B2CF9AE}" pid="33" name="lstPrefixTemplate">
    <vt:lpwstr>p i</vt:lpwstr>
  </property>
  <property fmtid="{D5CDD505-2E9C-101B-9397-08002B2CF9AE}" pid="34" name="nameInLink">
    <vt:lpwstr>False</vt:lpwstr>
  </property>
  <property fmtid="{D5CDD505-2E9C-101B-9397-08002B2CF9AE}" pid="35" name="numberSections">
    <vt:lpwstr>False</vt:lpwstr>
  </property>
  <property fmtid="{D5CDD505-2E9C-101B-9397-08002B2CF9AE}" pid="36" name="pairDelim">
    <vt:lpwstr>, </vt:lpwstr>
  </property>
  <property fmtid="{D5CDD505-2E9C-101B-9397-08002B2CF9AE}" pid="37" name="rangeDelim">
    <vt:lpwstr>-</vt:lpwstr>
  </property>
  <property fmtid="{D5CDD505-2E9C-101B-9397-08002B2CF9AE}" pid="38" name="refDelim">
    <vt:lpwstr>, </vt:lpwstr>
  </property>
  <property fmtid="{D5CDD505-2E9C-101B-9397-08002B2CF9AE}" pid="39" name="refIndexTemplate">
    <vt:lpwstr>isuf</vt:lpwstr>
  </property>
  <property fmtid="{D5CDD505-2E9C-101B-9397-08002B2CF9AE}" pid="40" name="secHeaderDelim">
    <vt:lpwstr> </vt:lpwstr>
  </property>
  <property fmtid="{D5CDD505-2E9C-101B-9397-08002B2CF9AE}" pid="41" name="secHeaderTemplate">
    <vt:lpwstr>isecHeaderDelim[n]t</vt:lpwstr>
  </property>
  <property fmtid="{D5CDD505-2E9C-101B-9397-08002B2CF9AE}" pid="42" name="secLabels">
    <vt:lpwstr>arabic</vt:lpwstr>
  </property>
  <property fmtid="{D5CDD505-2E9C-101B-9397-08002B2CF9AE}" pid="43" name="secPrefix">
    <vt:lpwstr/>
  </property>
  <property fmtid="{D5CDD505-2E9C-101B-9397-08002B2CF9AE}" pid="44" name="secPrefixTemplate">
    <vt:lpwstr>p i</vt:lpwstr>
  </property>
  <property fmtid="{D5CDD505-2E9C-101B-9397-08002B2CF9AE}" pid="45" name="sectionsDepth">
    <vt:lpwstr>0</vt:lpwstr>
  </property>
  <property fmtid="{D5CDD505-2E9C-101B-9397-08002B2CF9AE}" pid="46" name="subfigGrid">
    <vt:lpwstr>False</vt:lpwstr>
  </property>
  <property fmtid="{D5CDD505-2E9C-101B-9397-08002B2CF9AE}" pid="47" name="subfigLabels">
    <vt:lpwstr>alpha a</vt:lpwstr>
  </property>
  <property fmtid="{D5CDD505-2E9C-101B-9397-08002B2CF9AE}" pid="48" name="subfigureChildTemplate">
    <vt:lpwstr>i</vt:lpwstr>
  </property>
  <property fmtid="{D5CDD505-2E9C-101B-9397-08002B2CF9AE}" pid="49" name="subfigureRefIndexTemplate">
    <vt:lpwstr>isuf (s)</vt:lpwstr>
  </property>
  <property fmtid="{D5CDD505-2E9C-101B-9397-08002B2CF9AE}" pid="50" name="subfigureTemplate">
    <vt:lpwstr>figureTitle ititleDelim t. ccs</vt:lpwstr>
  </property>
  <property fmtid="{D5CDD505-2E9C-101B-9397-08002B2CF9AE}" pid="51" name="tableEqns">
    <vt:lpwstr>False</vt:lpwstr>
  </property>
  <property fmtid="{D5CDD505-2E9C-101B-9397-08002B2CF9AE}" pid="52" name="tableTemplate">
    <vt:lpwstr>tableTitle ititleDelim t</vt:lpwstr>
  </property>
  <property fmtid="{D5CDD505-2E9C-101B-9397-08002B2CF9AE}" pid="53" name="tableTitle">
    <vt:lpwstr>表</vt:lpwstr>
  </property>
  <property fmtid="{D5CDD505-2E9C-101B-9397-08002B2CF9AE}" pid="54" name="tblLabels">
    <vt:lpwstr>arabic</vt:lpwstr>
  </property>
  <property fmtid="{D5CDD505-2E9C-101B-9397-08002B2CF9AE}" pid="55" name="tblPrefix">
    <vt:lpwstr>表.</vt:lpwstr>
  </property>
  <property fmtid="{D5CDD505-2E9C-101B-9397-08002B2CF9AE}" pid="56" name="tblPrefixTemplate">
    <vt:lpwstr>p i</vt:lpwstr>
  </property>
  <property fmtid="{D5CDD505-2E9C-101B-9397-08002B2CF9AE}" pid="57" name="titleDelim">
    <vt:lpwstr>:</vt:lpwstr>
  </property>
</Properties>
</file>