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老年期"/>
    <w:p>
      <w:pPr>
        <w:pStyle w:val="Heading3"/>
      </w:pPr>
      <w:r>
        <w:rPr>
          <w:rStyle w:val="SectionNumber"/>
        </w:rPr>
        <w:t xml:space="preserve">2.3.5</w:t>
      </w:r>
      <w:r>
        <w:tab/>
      </w:r>
      <w:r>
        <w:t xml:space="preserve">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ウイルス、細菌、真菌と寄生虫に対する免疫応答の特徴の概要について理解している。</w:t>
      </w:r>
    </w:p>
    <w:p>
      <w:pPr>
        <w:numPr>
          <w:ilvl w:val="0"/>
          <w:numId w:val="1043"/>
        </w:numPr>
        <w:pStyle w:val="Compact"/>
      </w:pPr>
      <w:r>
        <w:t xml:space="preserve">原発性免疫不全症候群と後天性免疫不全症候群の概要について理解している。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メタボリックシンドロームの病態について概要を理解している。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器系"/>
    <w:p>
      <w:pPr>
        <w:pStyle w:val="Heading3"/>
      </w:pPr>
      <w:r>
        <w:rPr>
          <w:rStyle w:val="SectionNumber"/>
        </w:rPr>
        <w:t xml:space="preserve">5.2.10</w:t>
      </w:r>
      <w:r>
        <w:tab/>
      </w:r>
      <w:r>
        <w:t xml:space="preserve">生殖器系</w:t>
      </w:r>
    </w:p>
    <w:p>
      <w:pPr>
        <w:numPr>
          <w:ilvl w:val="0"/>
          <w:numId w:val="1054"/>
        </w:numPr>
        <w:pStyle w:val="Compact"/>
      </w:pPr>
      <w:r>
        <w:t xml:space="preserve">生殖器系でみられる症候について理解している(表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生殖器系で行う検査方法について基本的事項を理解している(表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生殖器系に関する疾患に特異的な治療法について基本的事項を理解している(表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生殖器系に関する疾患・病態について病因、疫学、症候、検査、診断、治療法を理解している(表</w:t>
      </w:r>
      <w:hyperlink w:anchor="生殖器系">
        <w:r>
          <w:rPr>
            <w:rStyle w:val="Hyperlink"/>
          </w:rPr>
          <w:t xml:space="preserve">生殖器系</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集団遺伝学の基礎としてハーディ・ワインベルグの法則について概要を理解している。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遺伝情報に基づく治療や予防をはじめとする適切な対処法について概要を理解している。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代表的な免疫不全患者の罹患しやすい微生物について概要を理解している(表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腫瘍マーカー、バイオマーカー、がん遺伝子パネル検査等、腫瘍に特化した検査とその所見について概要を理解している。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腫瘍の生検・細胞診や病理検査とその所見について概要を理解している。</w:t>
      </w:r>
    </w:p>
    <w:p>
      <w:pPr>
        <w:numPr>
          <w:ilvl w:val="0"/>
          <w:numId w:val="1065"/>
        </w:numPr>
        <w:pStyle w:val="Compact"/>
      </w:pPr>
      <w:r>
        <w:t xml:space="preserve">腫瘍のTNM分類、ステージについて概要を理解している。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地域の救急医療体制について病院前救護体制、メディカルコントロール、初期・二次・三次救急医療の概念を用いて概要を理解している。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中毒患者への治療としての吸収の阻害、排泄の促進、拮抗薬の適応と禁忌について概要を理解できる(表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気圧、振動、騒音による障害の症候、主な検査・診断、治療法について概要を理解している(表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放射線治療の生物学的原理と、放射線の遺伝子・細胞への作用と放射線による細胞死の機序、局所的・全身的影響について概要を理解している。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2022-04-18T07:11:30Z</dcterms:created>
  <dcterms:modified xsi:type="dcterms:W3CDTF">2022-04-18T07:11:30Z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