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r4_draft</w:t>
      </w:r>
    </w:p>
    <w:bookmarkStart w:id="31"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29"/>
    <w:bookmarkEnd w:id="30"/>
    <w:bookmarkEnd w:id="31"/>
    <w:bookmarkStart w:id="52"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基本的なフレームワーク（解剖学的アプローチ、病態生理学的アプローチ、二重課程理論など）を用いて臨床推論を行うことができる。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臓器に特定されない健康問題や複雑な健康問題に対するアプローチについて説明できる。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医療の継続性（時間性・情報性・関係性など）がもたらす影響について概説できる。</w:t>
      </w:r>
    </w:p>
    <w:bookmarkEnd w:id="34"/>
    <w:bookmarkStart w:id="35"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t xml:space="preserve">行動科学</w:t>
      </w:r>
    </w:p>
    <w:p>
      <w:pPr>
        <w:numPr>
          <w:ilvl w:val="0"/>
          <w:numId w:val="1013"/>
        </w:numPr>
        <w:pStyle w:val="Compact"/>
      </w:pPr>
      <w:r>
        <w:t xml:space="preserve">行動に関する知識や理論、面接法を予防医療、診断、治療、ケアに適用することができる。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動機付けや行動変容に関する理論を踏まえ、行動変容を促す面接の知識を臨床現場で活用できる。</w:t>
      </w:r>
    </w:p>
    <w:p>
      <w:pPr>
        <w:numPr>
          <w:ilvl w:val="0"/>
          <w:numId w:val="1013"/>
        </w:numPr>
        <w:pStyle w:val="Compact"/>
      </w:pPr>
      <w:r>
        <w:t xml:space="preserve">医療における行動経済学の知識を臨床現場で活用できる。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End w:id="37"/>
    <w:bookmarkStart w:id="41"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患者の所属する地域や文化的な背景が健康に関連することを理解できる。</w:t>
      </w:r>
    </w:p>
    <w:p>
      <w:pPr>
        <w:numPr>
          <w:ilvl w:val="0"/>
          <w:numId w:val="1014"/>
        </w:numPr>
        <w:pStyle w:val="Compact"/>
      </w:pPr>
      <w:r>
        <w:t xml:space="preserve">削除：患者の診療において、患者の所属する地域、背景集団に対するケアの視点を取り入れた診療を行うことができる。</w:t>
      </w:r>
    </w:p>
    <w:bookmarkEnd w:id="38"/>
    <w:bookmarkStart w:id="39"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患者の居住する地域の頻度の高い疾病(コモンディジーズ)についての知識を、罹患率、有病率などの指標を用い、臨床推論で活用できる。</w:t>
      </w:r>
    </w:p>
    <w:p>
      <w:pPr>
        <w:numPr>
          <w:ilvl w:val="0"/>
          <w:numId w:val="1015"/>
        </w:numPr>
        <w:pStyle w:val="Compact"/>
      </w:pPr>
      <w:r>
        <w:t xml:space="preserve">医療に限らない客観的指標や観察を通し、患者の居住する地域の健康課題を特定できる。</w:t>
      </w:r>
    </w:p>
    <w:p>
      <w:pPr>
        <w:numPr>
          <w:ilvl w:val="0"/>
          <w:numId w:val="1015"/>
        </w:numPr>
        <w:pStyle w:val="Compact"/>
      </w:pPr>
      <w:r>
        <w:t xml:space="preserve">地域の住民や専門職と協働した地域住民に対する健康増進活動について概説できる。</w:t>
      </w:r>
    </w:p>
    <w:p>
      <w:pPr>
        <w:numPr>
          <w:ilvl w:val="0"/>
          <w:numId w:val="1015"/>
        </w:numPr>
        <w:pStyle w:val="Compact"/>
      </w:pPr>
      <w:r>
        <w:t xml:space="preserve">削除：患者の居住する地域で頻度が高い疾病(コモンディジーズ)についてプライマリ・ケアの対応を説明できる。</w:t>
      </w:r>
    </w:p>
    <w:p>
      <w:pPr>
        <w:numPr>
          <w:ilvl w:val="0"/>
          <w:numId w:val="1015"/>
        </w:numPr>
        <w:pStyle w:val="Compact"/>
      </w:pPr>
      <w:r>
        <w:t xml:space="preserve">新興感染症のような地域全体の医療問題が起きた際に、専門領域を超えた地域で必要な医療について概説できる。</w:t>
      </w:r>
    </w:p>
    <w:bookmarkEnd w:id="39"/>
    <w:bookmarkStart w:id="40"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p>
      <w:pPr>
        <w:numPr>
          <w:ilvl w:val="0"/>
          <w:numId w:val="1016"/>
        </w:numPr>
        <w:pStyle w:val="Compact"/>
      </w:pPr>
      <w:r>
        <w:t xml:space="preserve">削除：離島・へき地や医師不足地域等の医療資源が限られた状況での医療に積極的に貢献することができる。</w:t>
      </w:r>
    </w:p>
    <w:bookmarkEnd w:id="40"/>
    <w:bookmarkEnd w:id="41"/>
    <w:bookmarkStart w:id="48"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家族ライフサイクル・家族成員間関係・家族システムの視点で、患者の課題や家族間の虐待・ネグレクト等を説明できる。</w:t>
      </w:r>
    </w:p>
    <w:bookmarkEnd w:id="42"/>
    <w:bookmarkStart w:id="43"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3"/>
    <w:bookmarkStart w:id="44"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5"/>
    <w:bookmarkStart w:id="46"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p>
      <w:pPr>
        <w:numPr>
          <w:ilvl w:val="0"/>
          <w:numId w:val="1021"/>
        </w:numPr>
        <w:pStyle w:val="Compact"/>
      </w:pPr>
      <w:r>
        <w:t xml:space="preserve">削除：加齢に伴う薬物動態の変化、高齢者に対する薬物療法の注意点を踏まえ、適切な介入が実施できる。</w:t>
      </w:r>
    </w:p>
    <w:bookmarkEnd w:id="46"/>
    <w:bookmarkStart w:id="47"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7"/>
    <w:bookmarkEnd w:id="48"/>
    <w:bookmarkStart w:id="51"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w:t>
      </w:r>
      <w:r>
        <w:t xml:space="preserve"> </w:t>
      </w:r>
      <w:r>
        <w:t xml:space="preserve">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日本人の栄養状態や食生活、健康増進に関する病態生理（栄養素、エネルギー代謝）、基礎調査やガイドラインの知識を活用し、患者の身体計測、Body</w:t>
      </w:r>
      <w:r>
        <w:t xml:space="preserve"> </w:t>
      </w:r>
      <w:r>
        <w:t xml:space="preserve">Mass Index (BMI)の計算および栄養状態の評価ができる。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エスノグラフィ等の質的記述的研究の基本的な視点や方法(参与観察やインタビュー)を用いて、患者やその家族、生活環境、地域社会、そして病院等の組織やその関係性について説明できる。</w:t>
      </w:r>
    </w:p>
    <w:p>
      <w:pPr>
        <w:numPr>
          <w:ilvl w:val="0"/>
          <w:numId w:val="1024"/>
        </w:numPr>
        <w:pStyle w:val="Compact"/>
      </w:pPr>
      <w:r>
        <w:t xml:space="preserve">病人役割等の理論や概念を用いて、予防医学・健康維持増進・受療行動などの患者の行動に関わる諸事象を説明することができる。</w:t>
      </w:r>
    </w:p>
    <w:bookmarkEnd w:id="50"/>
    <w:bookmarkEnd w:id="51"/>
    <w:bookmarkEnd w:id="52"/>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3"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 )、感染対策マニュアル等)を概説できる。</w:t>
      </w:r>
    </w:p>
    <w:bookmarkEnd w:id="53"/>
    <w:bookmarkStart w:id="54"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自身を含む医療者の労働環境の改善の必要性を説明できる。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t xml:space="preserve">医療面接</w:t>
      </w:r>
    </w:p>
    <w:p>
      <w:pPr>
        <w:numPr>
          <w:ilvl w:val="0"/>
          <w:numId w:val="1038"/>
        </w:numPr>
        <w:pStyle w:val="Compact"/>
      </w:pPr>
      <w:r>
        <w:t xml:space="preserve">削除:適切な身だしなみ、言葉遣い及び態度で患者に接することができる。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削除:患者の立場を尊重し、信頼を得ることができる。</w:t>
      </w:r>
    </w:p>
    <w:p>
      <w:pPr>
        <w:numPr>
          <w:ilvl w:val="0"/>
          <w:numId w:val="1038"/>
        </w:numPr>
        <w:pStyle w:val="Compact"/>
      </w:pPr>
      <w:r>
        <w:t xml:space="preserve">患者に関わる人たちから必要な情報を得ることが参加できる。</w:t>
      </w:r>
    </w:p>
    <w:bookmarkEnd w:id="74"/>
    <w:bookmarkStart w:id="75"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削除:身長・体重を測定し、body mass index</w:t>
      </w:r>
      <w:r>
        <w:t xml:space="preserve"> </w:t>
      </w:r>
      <w:r>
        <w:t xml:space="preserve">の算出、栄養状態を評価できる。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バイタルサイン(体温、呼吸数、酸素飽和度、脈拍、血圧)の測定ができる</w:t>
      </w:r>
    </w:p>
    <w:p>
      <w:pPr>
        <w:numPr>
          <w:ilvl w:val="0"/>
          <w:numId w:val="1039"/>
        </w:numPr>
        <w:pStyle w:val="Compact"/>
      </w:pPr>
      <w:r>
        <w:t xml:space="preserve">適切な体位（立位、座位、半座位、臥位、砕石位）で診察できる。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腹部の視診、聴診(腸雑音、血管雑音)、打診、触診ができる。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基本診療科[^table:基本診療科]における診察ができる。</w:t>
      </w:r>
    </w:p>
    <w:bookmarkEnd w:id="75"/>
    <w:bookmarkEnd w:id="76"/>
    <w:bookmarkStart w:id="82"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t xml:space="preserve">カルテ記載</w:t>
      </w:r>
    </w:p>
    <w:p>
      <w:pPr>
        <w:numPr>
          <w:ilvl w:val="0"/>
          <w:numId w:val="1040"/>
        </w:numPr>
        <w:pStyle w:val="Compact"/>
      </w:pPr>
      <w:r>
        <w:t xml:space="preserve">適切に患者の情報を収集し、問題志向型医療記録を作成できる。</w:t>
      </w:r>
    </w:p>
    <w:p>
      <w:pPr>
        <w:numPr>
          <w:ilvl w:val="0"/>
          <w:numId w:val="1040"/>
        </w:numPr>
        <w:pStyle w:val="Compact"/>
      </w:pPr>
      <w:r>
        <w:t xml:space="preserve">診療経過を主観的所見・客観的所見・評価・計画で記載できる。</w:t>
      </w:r>
    </w:p>
    <w:p>
      <w:pPr>
        <w:numPr>
          <w:ilvl w:val="0"/>
          <w:numId w:val="1040"/>
        </w:numPr>
        <w:pStyle w:val="Compact"/>
      </w:pPr>
      <w:r>
        <w:t xml:space="preserve">過去の診療経過をまとめて診療録に記載できる</w:t>
      </w:r>
    </w:p>
    <w:bookmarkEnd w:id="77"/>
    <w:bookmarkStart w:id="78"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削除:診断仮説を検証するために、診断仮説に基づいた情報収集を実施できる。</w:t>
      </w:r>
    </w:p>
    <w:p>
      <w:pPr>
        <w:numPr>
          <w:ilvl w:val="0"/>
          <w:numId w:val="1041"/>
        </w:numPr>
        <w:pStyle w:val="Compact"/>
      </w:pPr>
      <w:r>
        <w:t xml:space="preserve">削除:症例に関する情報を収集・分析できる。</w:t>
      </w:r>
    </w:p>
    <w:p>
      <w:pPr>
        <w:numPr>
          <w:ilvl w:val="0"/>
          <w:numId w:val="1041"/>
        </w:numPr>
        <w:pStyle w:val="Compact"/>
      </w:pPr>
      <w:r>
        <w:t xml:space="preserve">削除:得られた情報を基に、その症例の問題点を抽出できる。</w:t>
      </w:r>
    </w:p>
    <w:p>
      <w:pPr>
        <w:numPr>
          <w:ilvl w:val="0"/>
          <w:numId w:val="1041"/>
        </w:numPr>
        <w:pStyle w:val="Compact"/>
      </w:pPr>
      <w:r>
        <w:t xml:space="preserve">削除:病歴と身体所見等の情報を統合して、鑑別診断ができる。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鑑別を複数の観点(頻度・重症度・緊急度など)で整理することができる</w:t>
      </w:r>
    </w:p>
    <w:p>
      <w:pPr>
        <w:numPr>
          <w:ilvl w:val="0"/>
          <w:numId w:val="1041"/>
        </w:numPr>
        <w:pStyle w:val="Compact"/>
      </w:pPr>
      <w:r>
        <w:t xml:space="preserve">削除:主訴からの診断推論を組み立てる、又はたどる。</w:t>
      </w:r>
    </w:p>
    <w:p>
      <w:pPr>
        <w:numPr>
          <w:ilvl w:val="0"/>
          <w:numId w:val="1041"/>
        </w:numPr>
        <w:pStyle w:val="Compact"/>
      </w:pPr>
      <w:r>
        <w:t xml:space="preserve">削除:女性の健康問題に関する理解を深める。</w:t>
      </w:r>
    </w:p>
    <w:p>
      <w:pPr>
        <w:numPr>
          <w:ilvl w:val="0"/>
          <w:numId w:val="1041"/>
        </w:numPr>
        <w:pStyle w:val="Compact"/>
      </w:pPr>
      <w:r>
        <w:t xml:space="preserve">病歴・身体診察を重視した診断推論（診断がつかない場合を含む）ができる。</w:t>
      </w:r>
    </w:p>
    <w:p>
      <w:pPr>
        <w:numPr>
          <w:ilvl w:val="0"/>
          <w:numId w:val="1041"/>
        </w:numPr>
        <w:pStyle w:val="Compact"/>
      </w:pPr>
      <w:r>
        <w:t xml:space="preserve">削除:呼吸、循環を安定化するための初期治療を学ぶ。</w:t>
      </w:r>
    </w:p>
    <w:p>
      <w:pPr>
        <w:numPr>
          <w:ilvl w:val="0"/>
          <w:numId w:val="1041"/>
        </w:numPr>
        <w:pStyle w:val="Compact"/>
      </w:pPr>
      <w:r>
        <w:t xml:space="preserve">削除:症候をベースとした診断推論を組み立てる、又はたどる。</w:t>
      </w:r>
    </w:p>
    <w:bookmarkEnd w:id="78"/>
    <w:bookmarkStart w:id="79" w:name="検査計画分析評価"/>
    <w:p>
      <w:pPr>
        <w:pStyle w:val="Heading3"/>
      </w:pP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エックス線撮影、コンピュータ断層撮影、磁気共鳴画像法と核医学検査の原理を説明できる。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エックス線撮影、コンピュータ断層撮影、磁気共鳴画像法と核医学検査の読影の基本を説明できる。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移植医療（臓器移植、組織移植、造血幹細胞移植を含む）の我が国と世界の状況を概説できる</w:t>
      </w:r>
    </w:p>
    <w:p>
      <w:pPr>
        <w:numPr>
          <w:ilvl w:val="0"/>
          <w:numId w:val="1043"/>
        </w:numPr>
        <w:pStyle w:val="Compact"/>
      </w:pPr>
      <w:r>
        <w:t xml:space="preserve">終末期医療における臓器・組織提供選択提示の意義について説明できる</w:t>
      </w:r>
    </w:p>
    <w:p>
      <w:pPr>
        <w:numPr>
          <w:ilvl w:val="0"/>
          <w:numId w:val="1043"/>
        </w:numPr>
        <w:pStyle w:val="Compact"/>
      </w:pPr>
      <w:r>
        <w:t xml:space="preserve">移植における免疫応答（拒絶反応、移植片対宿主病）について概説できる</w:t>
      </w:r>
    </w:p>
    <w:p>
      <w:pPr>
        <w:numPr>
          <w:ilvl w:val="0"/>
          <w:numId w:val="1043"/>
        </w:numPr>
        <w:pStyle w:val="Compact"/>
      </w:pPr>
      <w:r>
        <w:t xml:space="preserve">移植後の免疫抑制について概説できる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削除:科学的根拠に基づいた治療法を述べることができる。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7"/>
        </w:numPr>
        <w:pStyle w:val="Compact"/>
      </w:pPr>
      <w:r>
        <w:t xml:space="preserve">薬物によるアナフィラキシーショックの症候、診断、対処法を説明できる。</w:t>
      </w:r>
    </w:p>
    <w:bookmarkEnd w:id="85"/>
    <w:bookmarkStart w:id="86" w:name="書類の作成"/>
    <w:p>
      <w:pPr>
        <w:pStyle w:val="Heading3"/>
      </w:pP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削除：コミュニケーションを通じて良好な人間関係を築くことができる。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6"/>
        </w:numPr>
        <w:pStyle w:val="Compact"/>
      </w:pPr>
      <w:r>
        <w:t xml:space="preserve">患者・家族に敬意を持った言葉遣いや態度で接することができる</w:t>
      </w:r>
    </w:p>
    <w:bookmarkEnd w:id="97"/>
    <w:bookmarkStart w:id="98" w:name="患者の立場の尊重と苦痛への配慮"/>
    <w:p>
      <w:pPr>
        <w:pStyle w:val="Heading3"/>
      </w:pP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患者と家族の精神的・身体的・社会的苦痛に十分配慮できる。</w:t>
      </w:r>
    </w:p>
    <w:p>
      <w:pPr>
        <w:numPr>
          <w:ilvl w:val="0"/>
          <w:numId w:val="1057"/>
        </w:numPr>
        <w:pStyle w:val="Compact"/>
      </w:pPr>
      <w:r>
        <w:t xml:space="preserve">患者と家族が感じる放射線特有災害時の精神的・社会的苦痛に対して十分に配慮できる。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患者の漠然とした不安を受け止め、不安を軽減するためにわかりやすい言葉で説明でき、や対話ができる。</w:t>
      </w:r>
    </w:p>
    <w:bookmarkEnd w:id="100"/>
    <w:bookmarkStart w:id="101" w:name="患者への行動変容の促し"/>
    <w:p>
      <w:pPr>
        <w:pStyle w:val="Heading3"/>
      </w:pPr>
      <w:r>
        <w:t xml:space="preserve">患者への行動変容の促し</w:t>
      </w:r>
    </w:p>
    <w:p>
      <w:pPr>
        <w:numPr>
          <w:ilvl w:val="0"/>
          <w:numId w:val="1059"/>
        </w:numPr>
        <w:pStyle w:val="Compact"/>
      </w:pPr>
      <w:r>
        <w:t xml:space="preserve">削除：健康行動や行動変容を行う動機付けを理解し活用できる。</w:t>
      </w:r>
    </w:p>
    <w:p>
      <w:pPr>
        <w:numPr>
          <w:ilvl w:val="0"/>
          <w:numId w:val="1059"/>
        </w:numPr>
        <w:pStyle w:val="Compact"/>
      </w:pPr>
      <w:r>
        <w:t xml:space="preserve">削除：生活習慣病における患者支援（自律性支援）や保健指導を活用できる。</w:t>
      </w:r>
    </w:p>
    <w:bookmarkEnd w:id="101"/>
    <w:bookmarkStart w:id="102" w:name="診断仮説に基づいた情報収集の実施"/>
    <w:p>
      <w:pPr>
        <w:pStyle w:val="Heading3"/>
      </w:pPr>
      <w:r>
        <w:t xml:space="preserve">診断仮説に基づいた情報収集の実施</w:t>
      </w:r>
    </w:p>
    <w:p>
      <w:pPr>
        <w:numPr>
          <w:ilvl w:val="0"/>
          <w:numId w:val="1060"/>
        </w:numPr>
        <w:pStyle w:val="Compact"/>
      </w:pPr>
      <w:r>
        <w:t xml:space="preserve">削除：診断仮説を検証するために、診断仮説に基づいた情報収集を実施できる。</w:t>
      </w:r>
    </w:p>
    <w:bookmarkEnd w:id="102"/>
    <w:bookmarkStart w:id="103"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1"/>
        </w:numPr>
        <w:pStyle w:val="Compact"/>
      </w:pPr>
      <w:r>
        <w:t xml:space="preserve">削除：人生の最終段階における医療（エンド・オブ・ライフ・ケア）での患者とのコミュニケーション、頻度の高い苦痛とその対処法・ケアを計画できる。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2"/>
        </w:numPr>
        <w:pStyle w:val="Compact"/>
      </w:pPr>
      <w:r>
        <w:t xml:space="preserve">削除：情報収集として医療面接、身体診察、検査の３つの方法を活用できる。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p>
      <w:pPr>
        <w:numPr>
          <w:ilvl w:val="0"/>
          <w:numId w:val="1063"/>
        </w:numPr>
        <w:pStyle w:val="Compact"/>
      </w:pPr>
      <w:r>
        <w:t xml:space="preserve">削除：遠隔診療におけるコミュニケーションと対面コミュニケーションの違いについて概説できる。</w:t>
      </w:r>
    </w:p>
    <w:bookmarkEnd w:id="106"/>
    <w:bookmarkEnd w:id="107"/>
    <w:bookmarkEnd w:id="108"/>
    <w:bookmarkStart w:id="133"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4"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9"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09"/>
    <w:bookmarkStart w:id="110"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0"/>
    <w:bookmarkStart w:id="111"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1"/>
    <w:bookmarkStart w:id="112"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2"/>
    <w:bookmarkStart w:id="113"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3"/>
    <w:bookmarkEnd w:id="114"/>
    <w:bookmarkStart w:id="118"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5"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5"/>
    <w:bookmarkStart w:id="116"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6"/>
    <w:bookmarkStart w:id="117"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7"/>
    <w:bookmarkEnd w:id="118"/>
    <w:bookmarkStart w:id="120" w:name="法医学"/>
    <w:p>
      <w:pPr>
        <w:pStyle w:val="Heading2"/>
      </w:pPr>
      <w:r>
        <w:t xml:space="preserve">法医学</w:t>
      </w:r>
    </w:p>
    <w:p>
      <w:pPr>
        <w:pStyle w:val="FirstParagraph"/>
      </w:pPr>
      <w:r>
        <w:t xml:space="preserve">死の判定や死亡診断と死体検案を理解する。</w:t>
      </w:r>
    </w:p>
    <w:bookmarkStart w:id="119"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19"/>
    <w:bookmarkEnd w:id="120"/>
    <w:bookmarkStart w:id="127"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1"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1"/>
    <w:bookmarkStart w:id="122"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2"/>
    <w:bookmarkStart w:id="123"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3"/>
    <w:bookmarkStart w:id="124"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4"/>
    <w:bookmarkStart w:id="125"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5"/>
    <w:bookmarkStart w:id="126"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6"/>
    <w:bookmarkEnd w:id="127"/>
    <w:bookmarkStart w:id="130"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28"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28"/>
    <w:bookmarkStart w:id="129"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29"/>
    <w:bookmarkEnd w:id="130"/>
    <w:bookmarkStart w:id="132"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1"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日常生活や外来診療・在宅療養・入院・施設入所等における健康・病気・死の捉え方を探索できる。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1"/>
        </w:numPr>
        <w:pStyle w:val="Compact"/>
      </w:pPr>
      <w:r>
        <w:t xml:space="preserve">文化・慣習によって、個や集団に及ぼす影響（コミュニケーションのあり方等）が異なることを例示できる。</w:t>
      </w:r>
    </w:p>
    <w:bookmarkEnd w:id="131"/>
    <w:bookmarkEnd w:id="132"/>
    <w:bookmarkEnd w:id="133"/>
    <w:bookmarkStart w:id="137" w:name="別表"/>
    <w:p>
      <w:pPr>
        <w:pStyle w:val="Heading1"/>
      </w:pPr>
      <w:r>
        <w:t xml:space="preserve">別表</w:t>
      </w:r>
    </w:p>
    <w:bookmarkStart w:id="134"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4"/>
    <w:bookmarkStart w:id="135"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5"/>
    <w:bookmarkStart w:id="136"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r4_draft</dc:title>
  <dc:creator/>
  <dc:language/>
  <cp:keywords/>
  <dcterms:created xsi:type="dcterms:W3CDTF">2022-02-13T09:05:53Z</dcterms:created>
  <dcterms:modified xsi:type="dcterms:W3CDTF">2022-02-13T09:05:53Z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