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医療における情報・科学技術に関連する規制（法律、ガイドライン等）の概要を理解している。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医療法が定める医療施設の種類と機能について概要を理解している。</w:t>
      </w:r>
    </w:p>
    <w:p>
      <w:pPr>
        <w:numPr>
          <w:ilvl w:val="0"/>
          <w:numId w:val="1124"/>
        </w:numPr>
        <w:pStyle w:val="Compact"/>
      </w:pPr>
      <w:r>
        <w:t xml:space="preserve">医療計画について概要を理解している。</w:t>
      </w:r>
    </w:p>
    <w:p>
      <w:pPr>
        <w:numPr>
          <w:ilvl w:val="0"/>
          <w:numId w:val="1124"/>
        </w:numPr>
        <w:pStyle w:val="Compact"/>
      </w:pPr>
      <w:r>
        <w:t xml:space="preserve">地域医療提供体制に関する諸課題の相互関連性を概要を理解している。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国際的に取り組む必要のある医療・健康課題について、歴史・社会的背景を踏まえて、概要を理解している。</w:t>
      </w:r>
    </w:p>
    <w:p>
      <w:pPr>
        <w:numPr>
          <w:ilvl w:val="0"/>
          <w:numId w:val="1125"/>
        </w:numPr>
        <w:pStyle w:val="Compact"/>
      </w:pPr>
      <w:r>
        <w:t xml:space="preserve">ユニバーサル・ヘルス・カバレッジの意義を理解し、世界各国の医療制度が抱える問題を例示できる。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保健関連の国連開発目標や国際機関・国際協力に関わる組織・団体について概要を理解している。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2022-04-17T00:34:05Z</dcterms:created>
  <dcterms:modified xsi:type="dcterms:W3CDTF">2022-04-17T00:34:05Z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