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6"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0"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9"/>
    <w:bookmarkEnd w:id="60"/>
    <w:bookmarkStart w:id="63" w:name="生涯学習"/>
    <w:p>
      <w:pPr>
        <w:pStyle w:val="Heading2"/>
      </w:pPr>
      <w:r>
        <w:t xml:space="preserve">生涯学習</w:t>
      </w:r>
    </w:p>
    <w:p>
      <w:pPr>
        <w:pStyle w:val="FirstParagraph"/>
      </w:pPr>
      <w:r>
        <w:t xml:space="preserve">生涯学び続ける価値観を形成する</w:t>
      </w:r>
    </w:p>
    <w:bookmarkStart w:id="61" w:name="生涯学習の実践"/>
    <w:p>
      <w:pPr>
        <w:pStyle w:val="Heading3"/>
      </w:pPr>
      <w:r>
        <w:t xml:space="preserve">生涯学習の実践</w:t>
      </w:r>
    </w:p>
    <w:p>
      <w:pPr>
        <w:numPr>
          <w:ilvl w:val="0"/>
          <w:numId w:val="1030"/>
        </w:numPr>
      </w:pPr>
      <w:r>
        <w:t xml:space="preserve">医学知識が常に変わりゆくことを認識し、最善の医学情報にアクセスできる。</w:t>
      </w:r>
    </w:p>
    <w:p>
      <w:pPr>
        <w:numPr>
          <w:ilvl w:val="0"/>
          <w:numId w:val="1030"/>
        </w:numPr>
      </w:pPr>
      <w:r>
        <w:t xml:space="preserve">学習・経験したことを省察し、自己の課題を明確にすることが出来る。</w:t>
      </w:r>
    </w:p>
    <w:bookmarkEnd w:id="61"/>
    <w:bookmarkStart w:id="62" w:name="キャリア開発"/>
    <w:p>
      <w:pPr>
        <w:pStyle w:val="Heading3"/>
      </w:pPr>
      <w:r>
        <w:t xml:space="preserve">キャリア開発</w:t>
      </w:r>
    </w:p>
    <w:p>
      <w:pPr>
        <w:numPr>
          <w:ilvl w:val="0"/>
          <w:numId w:val="1031"/>
        </w:numPr>
        <w:pStyle w:val="Compact"/>
      </w:pPr>
      <w:r>
        <w:t xml:space="preserve">主体的なキャリア形成の必要性を理解し、自己の職業観を涵養する。</w:t>
      </w:r>
    </w:p>
    <w:bookmarkEnd w:id="62"/>
    <w:bookmarkEnd w:id="63"/>
    <w:bookmarkStart w:id="65" w:name="医療者教育"/>
    <w:p>
      <w:pPr>
        <w:pStyle w:val="Heading2"/>
      </w:pPr>
      <w:r>
        <w:t xml:space="preserve">医療者教育</w:t>
      </w:r>
    </w:p>
    <w:p>
      <w:pPr>
        <w:pStyle w:val="FirstParagraph"/>
      </w:pPr>
      <w:r>
        <w:t xml:space="preserve">医師・医学生に限らず同僚や後輩を含む医療者への教育に貢献する</w:t>
      </w:r>
    </w:p>
    <w:bookmarkStart w:id="64" w:name="医療者教育の実践"/>
    <w:p>
      <w:pPr>
        <w:pStyle w:val="Heading3"/>
      </w:pPr>
      <w:r>
        <w:t xml:space="preserve">医療者教育の実践</w:t>
      </w:r>
    </w:p>
    <w:p>
      <w:pPr>
        <w:numPr>
          <w:ilvl w:val="0"/>
          <w:numId w:val="1032"/>
        </w:numPr>
        <w:pStyle w:val="Compact"/>
      </w:pPr>
      <w:r>
        <w:t xml:space="preserve">後輩や同僚とともに協働学習を実践できる。</w:t>
      </w:r>
    </w:p>
    <w:p>
      <w:pPr>
        <w:numPr>
          <w:ilvl w:val="0"/>
          <w:numId w:val="1032"/>
        </w:numPr>
        <w:pStyle w:val="Compact"/>
      </w:pPr>
      <w:r>
        <w:t xml:space="preserve">後輩や同僚に対して、適切にフィードバックできる。</w:t>
      </w:r>
    </w:p>
    <w:p>
      <w:pPr>
        <w:numPr>
          <w:ilvl w:val="0"/>
          <w:numId w:val="1032"/>
        </w:numPr>
        <w:pStyle w:val="Compact"/>
      </w:pPr>
      <w:r>
        <w:t xml:space="preserve">成人学習理論を基盤に、後輩や同僚の教育を実践できる。</w:t>
      </w:r>
    </w:p>
    <w:bookmarkEnd w:id="64"/>
    <w:bookmarkEnd w:id="65"/>
    <w:bookmarkEnd w:id="66"/>
    <w:bookmarkStart w:id="76"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9"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7" w:name="情報科学技術に向き合うための準備"/>
    <w:p>
      <w:pPr>
        <w:pStyle w:val="Heading3"/>
      </w:pPr>
      <w:r>
        <w:t xml:space="preserve">情報・科学技術に向き合うための準備</w:t>
      </w:r>
    </w:p>
    <w:p>
      <w:pPr>
        <w:numPr>
          <w:ilvl w:val="0"/>
          <w:numId w:val="1033"/>
        </w:numPr>
        <w:pStyle w:val="Compact"/>
      </w:pPr>
      <w:r>
        <w:t xml:space="preserve">情報・科学技術を医療に活用することの重要性と社会的意義を説明できる。</w:t>
      </w:r>
    </w:p>
    <w:p>
      <w:pPr>
        <w:numPr>
          <w:ilvl w:val="0"/>
          <w:numId w:val="1033"/>
        </w:numPr>
        <w:pStyle w:val="Compact"/>
      </w:pPr>
      <w:r>
        <w:t xml:space="preserve">医療における情報・科学技術に関連する規制（法律・ガイドラインを含む）を説明できる。</w:t>
      </w:r>
    </w:p>
    <w:p>
      <w:pPr>
        <w:numPr>
          <w:ilvl w:val="0"/>
          <w:numId w:val="1033"/>
        </w:numPr>
        <w:pStyle w:val="Compact"/>
      </w:pPr>
      <w:r>
        <w:t xml:space="preserve">デジタルデバイドによる医療格差など、情報・科学技術の医療への活用で起こりうる倫理的問題を議論できる。</w:t>
      </w:r>
    </w:p>
    <w:bookmarkEnd w:id="67"/>
    <w:bookmarkStart w:id="68" w:name="情報科学技術利用にあたっての倫理観とルール"/>
    <w:p>
      <w:pPr>
        <w:pStyle w:val="Heading3"/>
      </w:pPr>
      <w:r>
        <w:t xml:space="preserve">情報・科学技術利用にあたっての倫理観とルール</w:t>
      </w:r>
    </w:p>
    <w:p>
      <w:pPr>
        <w:numPr>
          <w:ilvl w:val="0"/>
          <w:numId w:val="1034"/>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4"/>
        </w:numPr>
        <w:pStyle w:val="Compact"/>
      </w:pPr>
      <w:r>
        <w:t xml:space="preserve">ソーシャルメディア（インターネット、SNSなど）の利用における医療者として相応しい情報発信のあり方を理解し、実践できる。</w:t>
      </w:r>
    </w:p>
    <w:bookmarkEnd w:id="68"/>
    <w:bookmarkEnd w:id="69"/>
    <w:bookmarkStart w:id="72"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0" w:name="情報科学技術を活用した医療"/>
    <w:p>
      <w:pPr>
        <w:pStyle w:val="Heading3"/>
      </w:pPr>
      <w:r>
        <w:t xml:space="preserve">情報・科学技術を活用した医療</w:t>
      </w:r>
    </w:p>
    <w:p>
      <w:pPr>
        <w:numPr>
          <w:ilvl w:val="0"/>
          <w:numId w:val="1035"/>
        </w:numPr>
        <w:pStyle w:val="Compact"/>
      </w:pPr>
      <w:r>
        <w:t xml:space="preserve">情報端末（コンピューター、スマートフォンなど）によるインターネットやアプリ等の医療への活用方法を説明できる。</w:t>
      </w:r>
    </w:p>
    <w:p>
      <w:pPr>
        <w:numPr>
          <w:ilvl w:val="0"/>
          <w:numId w:val="1035"/>
        </w:numPr>
        <w:pStyle w:val="Compact"/>
      </w:pPr>
      <w:r>
        <w:t xml:space="preserve">情報・科学技術を用いて収集した情報およびデータを基に問題解決を図る。</w:t>
      </w:r>
    </w:p>
    <w:bookmarkEnd w:id="70"/>
    <w:bookmarkStart w:id="71" w:name="情報科学技術の先端知識"/>
    <w:p>
      <w:pPr>
        <w:pStyle w:val="Heading3"/>
      </w:pPr>
      <w:r>
        <w:t xml:space="preserve">情報・科学技術の先端知識</w:t>
      </w:r>
    </w:p>
    <w:p>
      <w:pPr>
        <w:numPr>
          <w:ilvl w:val="0"/>
          <w:numId w:val="1036"/>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6"/>
        </w:numPr>
        <w:pStyle w:val="Compact"/>
      </w:pPr>
      <w:r>
        <w:t xml:space="preserve">情報・科学技術の専門家とともに、技術を医療へ応用する際に、医療者に求められる役割を理解する。</w:t>
      </w:r>
    </w:p>
    <w:bookmarkEnd w:id="71"/>
    <w:bookmarkEnd w:id="72"/>
    <w:bookmarkStart w:id="75"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3" w:name="情報科学技術を活用したコミュニケーションスキル"/>
    <w:p>
      <w:pPr>
        <w:pStyle w:val="Heading3"/>
      </w:pPr>
      <w:r>
        <w:t xml:space="preserve">情報・科学技術を活用したコミュニケーションスキル</w:t>
      </w:r>
    </w:p>
    <w:p>
      <w:pPr>
        <w:numPr>
          <w:ilvl w:val="0"/>
          <w:numId w:val="1037"/>
        </w:numPr>
        <w:pStyle w:val="Compact"/>
      </w:pPr>
      <w:r>
        <w:t xml:space="preserve">電子カルテの特性を踏まえた適切な記載や活用ができる。</w:t>
      </w:r>
    </w:p>
    <w:p>
      <w:pPr>
        <w:numPr>
          <w:ilvl w:val="0"/>
          <w:numId w:val="1037"/>
        </w:numPr>
        <w:pStyle w:val="Compact"/>
      </w:pPr>
      <w:r>
        <w:t xml:space="preserve">遠隔コミュニケーションの目的に応じて適切なツール（電子メール、テレビ会議システム、SNSなど）を選択できる。</w:t>
      </w:r>
    </w:p>
    <w:bookmarkEnd w:id="73"/>
    <w:bookmarkStart w:id="74" w:name="情報科学技術を活用した学習スキル"/>
    <w:p>
      <w:pPr>
        <w:pStyle w:val="Heading3"/>
      </w:pPr>
      <w:r>
        <w:t xml:space="preserve">情報・科学技術を活用した学習スキル</w:t>
      </w:r>
    </w:p>
    <w:p>
      <w:pPr>
        <w:numPr>
          <w:ilvl w:val="0"/>
          <w:numId w:val="1038"/>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8"/>
        </w:numPr>
        <w:pStyle w:val="Compact"/>
      </w:pPr>
      <w:r>
        <w:t xml:space="preserve">新たに登場する情報・科学技術を自身の学びおよび医療に活用する柔軟性を有する。</w:t>
      </w:r>
    </w:p>
    <w:bookmarkEnd w:id="74"/>
    <w:bookmarkEnd w:id="75"/>
    <w:bookmarkEnd w:id="76"/>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9"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7" w:name="医療面接"/>
    <w:p>
      <w:pPr>
        <w:pStyle w:val="Heading3"/>
      </w:pPr>
      <w:r>
        <w:t xml:space="preserve">医療面接</w:t>
      </w:r>
    </w:p>
    <w:p>
      <w:pPr>
        <w:numPr>
          <w:ilvl w:val="0"/>
          <w:numId w:val="1039"/>
        </w:numPr>
        <w:pStyle w:val="Compact"/>
      </w:pPr>
      <w:r>
        <w:t xml:space="preserve">医療面接における基本的コミュニケーション技法を用いることができる。</w:t>
      </w:r>
    </w:p>
    <w:p>
      <w:pPr>
        <w:numPr>
          <w:ilvl w:val="0"/>
          <w:numId w:val="1039"/>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9"/>
        </w:numPr>
        <w:pStyle w:val="Compact"/>
      </w:pPr>
      <w:r>
        <w:t xml:space="preserve">患者に関わる人たちから必要な情報を得ることが参加できる。</w:t>
      </w:r>
    </w:p>
    <w:bookmarkEnd w:id="77"/>
    <w:bookmarkStart w:id="78" w:name="身体所見"/>
    <w:p>
      <w:pPr>
        <w:pStyle w:val="Heading3"/>
      </w:pPr>
      <w:r>
        <w:t xml:space="preserve">身体所見</w:t>
      </w:r>
    </w:p>
    <w:p>
      <w:pPr>
        <w:numPr>
          <w:ilvl w:val="0"/>
          <w:numId w:val="1040"/>
        </w:numPr>
        <w:pStyle w:val="Compact"/>
      </w:pPr>
      <w:r>
        <w:t xml:space="preserve">患者の状態から診察が可能かどうかを判断し、状態に応じた診察ができる。</w:t>
      </w:r>
    </w:p>
    <w:p>
      <w:pPr>
        <w:numPr>
          <w:ilvl w:val="0"/>
          <w:numId w:val="1040"/>
        </w:numPr>
        <w:pStyle w:val="Compact"/>
      </w:pPr>
      <w:r>
        <w:t xml:space="preserve">全身の外観（体型、栄養、姿勢、歩行、顔貌、皮膚、発声）を評価できる。</w:t>
      </w:r>
    </w:p>
    <w:p>
      <w:pPr>
        <w:numPr>
          <w:ilvl w:val="0"/>
          <w:numId w:val="1040"/>
        </w:numPr>
        <w:pStyle w:val="Compact"/>
      </w:pPr>
      <w:r>
        <w:t xml:space="preserve">バイタルサイン(体温、呼吸数、酸素飽和度、脈拍、血圧)の測定ができる</w:t>
      </w:r>
    </w:p>
    <w:p>
      <w:pPr>
        <w:numPr>
          <w:ilvl w:val="0"/>
          <w:numId w:val="1040"/>
        </w:numPr>
        <w:pStyle w:val="Compact"/>
      </w:pPr>
      <w:r>
        <w:t xml:space="preserve">適切な体位（立位、座位、半座位、臥位、砕石位）で診察できる。</w:t>
      </w:r>
    </w:p>
    <w:p>
      <w:pPr>
        <w:numPr>
          <w:ilvl w:val="0"/>
          <w:numId w:val="1040"/>
        </w:numPr>
        <w:pStyle w:val="Compact"/>
      </w:pPr>
      <w:r>
        <w:t xml:space="preserve">頭部（顔貌、頭髪、頭皮、頭蓋）の診察ができる。</w:t>
      </w:r>
    </w:p>
    <w:p>
      <w:pPr>
        <w:numPr>
          <w:ilvl w:val="0"/>
          <w:numId w:val="1040"/>
        </w:numPr>
        <w:pStyle w:val="Compact"/>
      </w:pPr>
      <w:r>
        <w:t xml:space="preserve">眼（視野、瞳孔、対光反射、眼球運動・突出、結膜）の診察ができる。</w:t>
      </w:r>
    </w:p>
    <w:p>
      <w:pPr>
        <w:numPr>
          <w:ilvl w:val="0"/>
          <w:numId w:val="1040"/>
        </w:numPr>
        <w:pStyle w:val="Compact"/>
      </w:pPr>
      <w:r>
        <w:t xml:space="preserve">耳（耳介、聴力）の診察ができる。</w:t>
      </w:r>
    </w:p>
    <w:p>
      <w:pPr>
        <w:numPr>
          <w:ilvl w:val="0"/>
          <w:numId w:val="1040"/>
        </w:numPr>
        <w:pStyle w:val="Compact"/>
      </w:pPr>
      <w:r>
        <w:t xml:space="preserve">耳鏡で外耳道、鼓膜を観察できる。</w:t>
      </w:r>
    </w:p>
    <w:p>
      <w:pPr>
        <w:numPr>
          <w:ilvl w:val="0"/>
          <w:numId w:val="1040"/>
        </w:numPr>
        <w:pStyle w:val="Compact"/>
      </w:pPr>
      <w:r>
        <w:t xml:space="preserve">口唇、口腔、咽頭、扁桃の診察ができる。</w:t>
      </w:r>
    </w:p>
    <w:p>
      <w:pPr>
        <w:numPr>
          <w:ilvl w:val="0"/>
          <w:numId w:val="1040"/>
        </w:numPr>
        <w:pStyle w:val="Compact"/>
      </w:pPr>
      <w:r>
        <w:t xml:space="preserve">副鼻腔の診察ができる。</w:t>
      </w:r>
    </w:p>
    <w:p>
      <w:pPr>
        <w:numPr>
          <w:ilvl w:val="0"/>
          <w:numId w:val="1040"/>
        </w:numPr>
        <w:pStyle w:val="Compact"/>
      </w:pPr>
      <w:r>
        <w:t xml:space="preserve">鼻鏡を用いて前鼻腔を観察できる。</w:t>
      </w:r>
    </w:p>
    <w:p>
      <w:pPr>
        <w:numPr>
          <w:ilvl w:val="0"/>
          <w:numId w:val="1040"/>
        </w:numPr>
        <w:pStyle w:val="Compact"/>
      </w:pPr>
      <w:r>
        <w:t xml:space="preserve">甲状腺、頸部血管、気管、唾液腺の診察ができる。</w:t>
      </w:r>
    </w:p>
    <w:p>
      <w:pPr>
        <w:numPr>
          <w:ilvl w:val="0"/>
          <w:numId w:val="1040"/>
        </w:numPr>
        <w:pStyle w:val="Compact"/>
      </w:pPr>
      <w:r>
        <w:t xml:space="preserve">頭頸部リンパ節の診察ができる。</w:t>
      </w:r>
    </w:p>
    <w:p>
      <w:pPr>
        <w:numPr>
          <w:ilvl w:val="0"/>
          <w:numId w:val="1040"/>
        </w:numPr>
        <w:pStyle w:val="Compact"/>
      </w:pPr>
      <w:r>
        <w:t xml:space="preserve">胸部の視診、触診、打診ができる。</w:t>
      </w:r>
    </w:p>
    <w:p>
      <w:pPr>
        <w:numPr>
          <w:ilvl w:val="0"/>
          <w:numId w:val="1040"/>
        </w:numPr>
        <w:pStyle w:val="Compact"/>
      </w:pPr>
      <w:r>
        <w:t xml:space="preserve">呼吸音と副雑音の聴診ができる。</w:t>
      </w:r>
    </w:p>
    <w:p>
      <w:pPr>
        <w:numPr>
          <w:ilvl w:val="0"/>
          <w:numId w:val="1040"/>
        </w:numPr>
        <w:pStyle w:val="Compact"/>
      </w:pPr>
      <w:r>
        <w:t xml:space="preserve">心音と心雑音の聴診ができる。</w:t>
      </w:r>
    </w:p>
    <w:p>
      <w:pPr>
        <w:numPr>
          <w:ilvl w:val="0"/>
          <w:numId w:val="1040"/>
        </w:numPr>
        <w:pStyle w:val="Compact"/>
      </w:pPr>
      <w:r>
        <w:t xml:space="preserve">腹部の視診、聴診(腸雑音、血管雑音)、打診、触診ができる。</w:t>
      </w:r>
    </w:p>
    <w:p>
      <w:pPr>
        <w:numPr>
          <w:ilvl w:val="0"/>
          <w:numId w:val="1040"/>
        </w:numPr>
        <w:pStyle w:val="Compact"/>
      </w:pPr>
      <w:r>
        <w:t xml:space="preserve">背部の叩打痛を確認できる。</w:t>
      </w:r>
    </w:p>
    <w:p>
      <w:pPr>
        <w:numPr>
          <w:ilvl w:val="0"/>
          <w:numId w:val="1040"/>
        </w:numPr>
        <w:pStyle w:val="Compact"/>
      </w:pPr>
      <w:r>
        <w:t xml:space="preserve">直腸（前立腺を含む）指診を実演できる。</w:t>
      </w:r>
    </w:p>
    <w:p>
      <w:pPr>
        <w:numPr>
          <w:ilvl w:val="0"/>
          <w:numId w:val="1040"/>
        </w:numPr>
        <w:pStyle w:val="Compact"/>
      </w:pPr>
      <w:r>
        <w:t xml:space="preserve">乳房の診察を実演できる。</w:t>
      </w:r>
    </w:p>
    <w:p>
      <w:pPr>
        <w:numPr>
          <w:ilvl w:val="0"/>
          <w:numId w:val="1040"/>
        </w:numPr>
        <w:pStyle w:val="Compact"/>
      </w:pPr>
      <w:r>
        <w:t xml:space="preserve">意識レベルを判定できる。</w:t>
      </w:r>
    </w:p>
    <w:p>
      <w:pPr>
        <w:numPr>
          <w:ilvl w:val="0"/>
          <w:numId w:val="1040"/>
        </w:numPr>
        <w:pStyle w:val="Compact"/>
      </w:pPr>
      <w:r>
        <w:t xml:space="preserve">脳神経系の診察ができる（眼底検査を含む）。</w:t>
      </w:r>
    </w:p>
    <w:p>
      <w:pPr>
        <w:numPr>
          <w:ilvl w:val="0"/>
          <w:numId w:val="1040"/>
        </w:numPr>
        <w:pStyle w:val="Compact"/>
      </w:pPr>
      <w:r>
        <w:t xml:space="preserve">腱反射の診察ができる。</w:t>
      </w:r>
    </w:p>
    <w:p>
      <w:pPr>
        <w:numPr>
          <w:ilvl w:val="0"/>
          <w:numId w:val="1040"/>
        </w:numPr>
        <w:pStyle w:val="Compact"/>
      </w:pPr>
      <w:r>
        <w:t xml:space="preserve">小脳機能・運動系の診察ができる。</w:t>
      </w:r>
    </w:p>
    <w:p>
      <w:pPr>
        <w:numPr>
          <w:ilvl w:val="0"/>
          <w:numId w:val="1040"/>
        </w:numPr>
        <w:pStyle w:val="Compact"/>
      </w:pPr>
      <w:r>
        <w:t xml:space="preserve">感覚系（痛覚、温度覚、触覚、深部感覚）の診察ができる。</w:t>
      </w:r>
    </w:p>
    <w:p>
      <w:pPr>
        <w:numPr>
          <w:ilvl w:val="0"/>
          <w:numId w:val="1040"/>
        </w:numPr>
        <w:pStyle w:val="Compact"/>
      </w:pPr>
      <w:r>
        <w:t xml:space="preserve">髄膜刺激所見を確認できる。</w:t>
      </w:r>
    </w:p>
    <w:p>
      <w:pPr>
        <w:numPr>
          <w:ilvl w:val="0"/>
          <w:numId w:val="1040"/>
        </w:numPr>
        <w:pStyle w:val="Compact"/>
      </w:pPr>
      <w:r>
        <w:t xml:space="preserve">四肢と脊柱（弯曲、疼痛）の診察ができる。</w:t>
      </w:r>
    </w:p>
    <w:p>
      <w:pPr>
        <w:numPr>
          <w:ilvl w:val="0"/>
          <w:numId w:val="1040"/>
        </w:numPr>
        <w:pStyle w:val="Compact"/>
      </w:pPr>
      <w:r>
        <w:t xml:space="preserve">関節（可動域、腫脹、疼痛、変形）の診察ができる。</w:t>
      </w:r>
    </w:p>
    <w:p>
      <w:pPr>
        <w:numPr>
          <w:ilvl w:val="0"/>
          <w:numId w:val="1040"/>
        </w:numPr>
        <w:pStyle w:val="Compact"/>
      </w:pPr>
      <w:r>
        <w:t xml:space="preserve">筋骨格系の診察（徒手筋力テスト）ができる。</w:t>
      </w:r>
    </w:p>
    <w:p>
      <w:pPr>
        <w:numPr>
          <w:ilvl w:val="0"/>
          <w:numId w:val="1040"/>
        </w:numPr>
        <w:pStyle w:val="Compact"/>
      </w:pPr>
      <w:r>
        <w:t xml:space="preserve">基本診療科[^table:基本診療科]における診察ができる。</w:t>
      </w:r>
    </w:p>
    <w:bookmarkEnd w:id="78"/>
    <w:bookmarkEnd w:id="79"/>
    <w:bookmarkStart w:id="86"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0" w:name="カルテ記載"/>
    <w:p>
      <w:pPr>
        <w:pStyle w:val="Heading3"/>
      </w:pPr>
      <w:r>
        <w:t xml:space="preserve">カルテ記載</w:t>
      </w:r>
    </w:p>
    <w:p>
      <w:pPr>
        <w:numPr>
          <w:ilvl w:val="0"/>
          <w:numId w:val="1041"/>
        </w:numPr>
        <w:pStyle w:val="Compact"/>
      </w:pPr>
      <w:r>
        <w:t xml:space="preserve">適切に患者の情報を収集し、問題志向型医療記録を作成できる。</w:t>
      </w:r>
    </w:p>
    <w:p>
      <w:pPr>
        <w:numPr>
          <w:ilvl w:val="0"/>
          <w:numId w:val="1041"/>
        </w:numPr>
        <w:pStyle w:val="Compact"/>
      </w:pPr>
      <w:r>
        <w:t xml:space="preserve">診療経過を主観的所見・客観的所見・評価・計画で記載できる。</w:t>
      </w:r>
    </w:p>
    <w:p>
      <w:pPr>
        <w:numPr>
          <w:ilvl w:val="0"/>
          <w:numId w:val="1041"/>
        </w:numPr>
        <w:pStyle w:val="Compact"/>
      </w:pPr>
      <w:r>
        <w:t xml:space="preserve">過去の診療経過をまとめて診療録に記載できる</w:t>
      </w:r>
    </w:p>
    <w:bookmarkEnd w:id="80"/>
    <w:bookmarkStart w:id="81" w:name="臨床推論"/>
    <w:p>
      <w:pPr>
        <w:pStyle w:val="Heading3"/>
      </w:pPr>
      <w:r>
        <w:t xml:space="preserve">臨床推論</w:t>
      </w:r>
    </w:p>
    <w:p>
      <w:pPr>
        <w:numPr>
          <w:ilvl w:val="0"/>
          <w:numId w:val="1042"/>
        </w:numPr>
        <w:pStyle w:val="Compact"/>
      </w:pPr>
      <w:r>
        <w:t xml:space="preserve">基本症候[^table:基本症候]について原因と病態生理を説明できる。</w:t>
      </w:r>
    </w:p>
    <w:p>
      <w:pPr>
        <w:numPr>
          <w:ilvl w:val="0"/>
          <w:numId w:val="1042"/>
        </w:numPr>
        <w:pStyle w:val="Compact"/>
      </w:pPr>
      <w:r>
        <w:t xml:space="preserve">基本症候[^table:基本症候]について鑑別診断を検討し、診断の要点を説明できる。</w:t>
      </w:r>
    </w:p>
    <w:p>
      <w:pPr>
        <w:numPr>
          <w:ilvl w:val="0"/>
          <w:numId w:val="1042"/>
        </w:numPr>
        <w:pStyle w:val="Compact"/>
      </w:pPr>
      <w:r>
        <w:t xml:space="preserve">基本診療科[^table:基本診療科]でのそれぞれの状況を考慮して主訴からの診断推論を組み立てられる</w:t>
      </w:r>
    </w:p>
    <w:p>
      <w:pPr>
        <w:numPr>
          <w:ilvl w:val="0"/>
          <w:numId w:val="1042"/>
        </w:numPr>
        <w:pStyle w:val="Compact"/>
      </w:pPr>
      <w:r>
        <w:t xml:space="preserve">基本診療科[^table:基本診療科]における疾患の病態や疫学を説明できる</w:t>
      </w:r>
    </w:p>
    <w:p>
      <w:pPr>
        <w:numPr>
          <w:ilvl w:val="0"/>
          <w:numId w:val="1042"/>
        </w:numPr>
        <w:pStyle w:val="Compact"/>
      </w:pPr>
      <w:r>
        <w:t xml:space="preserve">鑑別を複数の観点(頻度・重症度・緊急度など)で整理することができる</w:t>
      </w:r>
    </w:p>
    <w:p>
      <w:pPr>
        <w:numPr>
          <w:ilvl w:val="0"/>
          <w:numId w:val="1042"/>
        </w:numPr>
        <w:pStyle w:val="Compact"/>
      </w:pPr>
      <w:r>
        <w:t xml:space="preserve">病歴・身体診察を重視した診断推論（診断がつかない場合を含む）ができる。</w:t>
      </w:r>
    </w:p>
    <w:bookmarkEnd w:id="81"/>
    <w:bookmarkStart w:id="82" w:name="検査計画分析評価"/>
    <w:p>
      <w:pPr>
        <w:pStyle w:val="Heading3"/>
      </w:pPr>
      <w:r>
        <w:t xml:space="preserve">検査(計画・分析評価)</w:t>
      </w:r>
    </w:p>
    <w:p>
      <w:pPr>
        <w:numPr>
          <w:ilvl w:val="0"/>
          <w:numId w:val="1043"/>
        </w:numPr>
        <w:pStyle w:val="Compact"/>
      </w:pPr>
      <w:r>
        <w:t xml:space="preserve">臨床検査の目的と意義を説明でき、必要最小限の検査項目を選択できる。</w:t>
      </w:r>
    </w:p>
    <w:p>
      <w:pPr>
        <w:numPr>
          <w:ilvl w:val="0"/>
          <w:numId w:val="1043"/>
        </w:numPr>
        <w:pStyle w:val="Compact"/>
      </w:pPr>
      <w:r>
        <w:t xml:space="preserve">臨床検査の正しい検体採取方法と検体保存方法を説明できる。</w:t>
      </w:r>
    </w:p>
    <w:p>
      <w:pPr>
        <w:numPr>
          <w:ilvl w:val="0"/>
          <w:numId w:val="1043"/>
        </w:numPr>
        <w:pStyle w:val="Compact"/>
      </w:pPr>
      <w:r>
        <w:t xml:space="preserve">臨床検査の安全な実施方法（患者確認と検体確認、検査の合併症、感染症予防、精度管理）を説明できる。</w:t>
      </w:r>
    </w:p>
    <w:p>
      <w:pPr>
        <w:numPr>
          <w:ilvl w:val="0"/>
          <w:numId w:val="1043"/>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3"/>
        </w:numPr>
        <w:pStyle w:val="Compact"/>
      </w:pPr>
      <w:r>
        <w:t xml:space="preserve">臨床検査の生理的変動、測定誤差、精度管理、ヒューマンエラーを説明できる。</w:t>
      </w:r>
    </w:p>
    <w:p>
      <w:pPr>
        <w:numPr>
          <w:ilvl w:val="0"/>
          <w:numId w:val="1043"/>
        </w:numPr>
        <w:pStyle w:val="Compact"/>
      </w:pPr>
      <w:r>
        <w:t xml:space="preserve">患者に応じた検査値特性を説明し、結果を解釈できる。</w:t>
      </w:r>
    </w:p>
    <w:p>
      <w:pPr>
        <w:numPr>
          <w:ilvl w:val="0"/>
          <w:numId w:val="1043"/>
        </w:numPr>
        <w:pStyle w:val="Compact"/>
      </w:pPr>
      <w:r>
        <w:t xml:space="preserve">血算、凝固・線溶検査、尿・糞便検査、生化学検査の目的と適応を説明し、結果を解釈できる。</w:t>
      </w:r>
    </w:p>
    <w:p>
      <w:pPr>
        <w:numPr>
          <w:ilvl w:val="0"/>
          <w:numId w:val="1043"/>
        </w:numPr>
        <w:pStyle w:val="Compact"/>
      </w:pPr>
      <w:r>
        <w:t xml:space="preserve">免疫血清学検査、輸血検査の目的と適応を説明し、結果を解釈できる。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動脈血ガス分析の目的と適応を説明し、結果を解釈できる。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細菌学検査（細菌の塗抹、培養、同定、薬剤感受性試験）の目的と適応を説明し、結果を解釈できる。</w:t>
      </w:r>
    </w:p>
    <w:p>
      <w:pPr>
        <w:numPr>
          <w:ilvl w:val="0"/>
          <w:numId w:val="1043"/>
        </w:numPr>
        <w:pStyle w:val="Compact"/>
      </w:pPr>
      <w:r>
        <w:t xml:space="preserve">脳脊髄液・胸水・腹水検査の目的と適応を説明し、結果を解釈できる。</w:t>
      </w:r>
    </w:p>
    <w:p>
      <w:pPr>
        <w:numPr>
          <w:ilvl w:val="0"/>
          <w:numId w:val="1043"/>
        </w:numPr>
        <w:pStyle w:val="Compact"/>
      </w:pPr>
      <w:r>
        <w:t xml:space="preserve">病理組織検査や細胞診検査（術中迅速診断を含む）の意義を説明できる。</w:t>
      </w:r>
    </w:p>
    <w:p>
      <w:pPr>
        <w:numPr>
          <w:ilvl w:val="0"/>
          <w:numId w:val="1043"/>
        </w:numPr>
        <w:pStyle w:val="Compact"/>
      </w:pPr>
      <w:r>
        <w:t xml:space="preserve">病理診断、細胞診の適切な検体の取扱い、標本作製及び診断過程が説明できる。</w:t>
      </w:r>
    </w:p>
    <w:p>
      <w:pPr>
        <w:numPr>
          <w:ilvl w:val="0"/>
          <w:numId w:val="1043"/>
        </w:numPr>
        <w:pStyle w:val="Compact"/>
      </w:pPr>
      <w:r>
        <w:t xml:space="preserve">染色体・遺伝子検査の目的と適応を説明し、結果を解釈できる。</w:t>
      </w:r>
    </w:p>
    <w:p>
      <w:pPr>
        <w:numPr>
          <w:ilvl w:val="0"/>
          <w:numId w:val="104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3"/>
        </w:numPr>
        <w:pStyle w:val="Compact"/>
      </w:pPr>
      <w:r>
        <w:t xml:space="preserve">超音波検査の適応を説明できる。</w:t>
      </w:r>
    </w:p>
    <w:p>
      <w:pPr>
        <w:numPr>
          <w:ilvl w:val="0"/>
          <w:numId w:val="1043"/>
        </w:numPr>
        <w:pStyle w:val="Compact"/>
      </w:pPr>
      <w:r>
        <w:t xml:space="preserve">エックス線撮影、コンピュータ断層撮影、磁気共鳴画像法と核医学検査の適応を説明できる。</w:t>
      </w:r>
    </w:p>
    <w:p>
      <w:pPr>
        <w:numPr>
          <w:ilvl w:val="0"/>
          <w:numId w:val="1043"/>
        </w:numPr>
        <w:pStyle w:val="Compact"/>
      </w:pPr>
      <w:r>
        <w:t xml:space="preserve">エックス線撮影、コンピュータ断層撮影、磁気共鳴画像法と核医学検査の基本的な読影ができる。</w:t>
      </w:r>
    </w:p>
    <w:p>
      <w:pPr>
        <w:numPr>
          <w:ilvl w:val="0"/>
          <w:numId w:val="1043"/>
        </w:numPr>
        <w:pStyle w:val="Compact"/>
      </w:pPr>
      <w:r>
        <w:t xml:space="preserve">内視鏡検査の適応を説明できる</w:t>
      </w:r>
    </w:p>
    <w:bookmarkEnd w:id="82"/>
    <w:bookmarkStart w:id="83" w:name="治療計画経過の評価"/>
    <w:p>
      <w:pPr>
        <w:pStyle w:val="Heading3"/>
      </w:pPr>
      <w:r>
        <w:t xml:space="preserve">治療(計画・経過の評価)</w:t>
      </w:r>
    </w:p>
    <w:p>
      <w:pPr>
        <w:numPr>
          <w:ilvl w:val="0"/>
          <w:numId w:val="1044"/>
        </w:numPr>
        <w:pStyle w:val="Compact"/>
      </w:pPr>
      <w:r>
        <w:t xml:space="preserve">●●症候[^table:●●症候]について初期対応を計画し、専門的治療が必要な状態を概説できる。</w:t>
      </w:r>
    </w:p>
    <w:p>
      <w:pPr>
        <w:numPr>
          <w:ilvl w:val="0"/>
          <w:numId w:val="1044"/>
        </w:numPr>
        <w:pStyle w:val="Compact"/>
      </w:pPr>
      <w:r>
        <w:t xml:space="preserve">患者ケアに関して情報共有や摺り合わせをすることができる。</w:t>
      </w:r>
    </w:p>
    <w:p>
      <w:pPr>
        <w:numPr>
          <w:ilvl w:val="0"/>
          <w:numId w:val="1044"/>
        </w:numPr>
        <w:pStyle w:val="Compact"/>
      </w:pPr>
      <w:r>
        <w:t xml:space="preserve">処方箋の書き方、服薬の基本・アドヒアランスを説明できる。</w:t>
      </w:r>
    </w:p>
    <w:p>
      <w:pPr>
        <w:numPr>
          <w:ilvl w:val="0"/>
          <w:numId w:val="104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4"/>
        </w:numPr>
        <w:pStyle w:val="Compact"/>
      </w:pPr>
      <w:r>
        <w:t xml:space="preserve">年齢や臓器障害に応じた薬物動態の特徴を考慮して薬剤投与の注意点を説明できる。</w:t>
      </w:r>
    </w:p>
    <w:p>
      <w:pPr>
        <w:numPr>
          <w:ilvl w:val="0"/>
          <w:numId w:val="1044"/>
        </w:numPr>
        <w:pStyle w:val="Compact"/>
      </w:pPr>
      <w:r>
        <w:t xml:space="preserve">薬物動態的相互作用について例を挙げて説明できる。</w:t>
      </w:r>
    </w:p>
    <w:p>
      <w:pPr>
        <w:numPr>
          <w:ilvl w:val="0"/>
          <w:numId w:val="1044"/>
        </w:numPr>
        <w:pStyle w:val="Compact"/>
      </w:pPr>
      <w:r>
        <w:t xml:space="preserve">ポリファーマシー、使用禁忌、特定条件下での薬物使用（アンチ・ドーピング等）を説明できる。</w:t>
      </w:r>
    </w:p>
    <w:p>
      <w:pPr>
        <w:numPr>
          <w:ilvl w:val="0"/>
          <w:numId w:val="1044"/>
        </w:numPr>
        <w:pStyle w:val="Compact"/>
      </w:pPr>
      <w:r>
        <w:t xml:space="preserve">主な薬物アレルギーの症候、診察、診断を列挙し、予防策と対処法を説明できる。</w:t>
      </w:r>
    </w:p>
    <w:p>
      <w:pPr>
        <w:numPr>
          <w:ilvl w:val="0"/>
          <w:numId w:val="1044"/>
        </w:numPr>
        <w:pStyle w:val="Compact"/>
      </w:pPr>
      <w:r>
        <w:t xml:space="preserve">薬物の蓄積、耐性、タキフィラキシー、依存を説明できる。</w:t>
      </w:r>
    </w:p>
    <w:p>
      <w:pPr>
        <w:numPr>
          <w:ilvl w:val="0"/>
          <w:numId w:val="1044"/>
        </w:numPr>
        <w:pStyle w:val="Compact"/>
      </w:pPr>
      <w:r>
        <w:t xml:space="preserve">抗腫瘍薬の適応、有害事象、投与時の注意事項を説明できる。</w:t>
      </w:r>
    </w:p>
    <w:p>
      <w:pPr>
        <w:numPr>
          <w:ilvl w:val="0"/>
          <w:numId w:val="1044"/>
        </w:numPr>
        <w:pStyle w:val="Compact"/>
      </w:pPr>
      <w:r>
        <w:t xml:space="preserve">抗微生物薬の薬理作用、適応、有害事象、投与時の注意事項を説明できる。</w:t>
      </w:r>
    </w:p>
    <w:p>
      <w:pPr>
        <w:numPr>
          <w:ilvl w:val="0"/>
          <w:numId w:val="1044"/>
        </w:numPr>
        <w:pStyle w:val="Compact"/>
      </w:pPr>
      <w:r>
        <w:t xml:space="preserve">麻薬性鎮痛薬・鎮静薬の適応、有害事象、投与時の注意事項を説明できる。</w:t>
      </w:r>
    </w:p>
    <w:p>
      <w:pPr>
        <w:numPr>
          <w:ilvl w:val="0"/>
          <w:numId w:val="1044"/>
        </w:numPr>
        <w:pStyle w:val="Compact"/>
      </w:pPr>
      <w:r>
        <w:t xml:space="preserve">分子標的薬の薬理作用と有害事象を説明できる。</w:t>
      </w:r>
    </w:p>
    <w:p>
      <w:pPr>
        <w:numPr>
          <w:ilvl w:val="0"/>
          <w:numId w:val="1044"/>
        </w:numPr>
        <w:pStyle w:val="Compact"/>
      </w:pPr>
      <w:r>
        <w:t xml:space="preserve">漢方医学の特徴や、主な和漢薬（漢方薬）の適応、薬理作用を説明できる。</w:t>
      </w:r>
    </w:p>
    <w:p>
      <w:pPr>
        <w:numPr>
          <w:ilvl w:val="0"/>
          <w:numId w:val="1044"/>
        </w:numPr>
        <w:pStyle w:val="Compact"/>
      </w:pPr>
      <w:r>
        <w:t xml:space="preserve">主な放射線治療法の適応を説明できる。</w:t>
      </w:r>
    </w:p>
    <w:p>
      <w:pPr>
        <w:numPr>
          <w:ilvl w:val="0"/>
          <w:numId w:val="1044"/>
        </w:numPr>
        <w:pStyle w:val="Compact"/>
      </w:pPr>
      <w:r>
        <w:t xml:space="preserve">インターベンショナルラジオロジー（画像誘導下治療）を概説できる。</w:t>
      </w:r>
    </w:p>
    <w:p>
      <w:pPr>
        <w:numPr>
          <w:ilvl w:val="0"/>
          <w:numId w:val="1044"/>
        </w:numPr>
        <w:pStyle w:val="Compact"/>
      </w:pPr>
      <w:r>
        <w:t xml:space="preserve">内視鏡を用いる治療を概説できる。</w:t>
      </w:r>
    </w:p>
    <w:p>
      <w:pPr>
        <w:numPr>
          <w:ilvl w:val="0"/>
          <w:numId w:val="1044"/>
        </w:numPr>
        <w:pStyle w:val="Compact"/>
      </w:pPr>
      <w:r>
        <w:t xml:space="preserve">超音波を用いる治療を概説できる。</w:t>
      </w:r>
    </w:p>
    <w:p>
      <w:pPr>
        <w:numPr>
          <w:ilvl w:val="0"/>
          <w:numId w:val="1044"/>
        </w:numPr>
        <w:pStyle w:val="Compact"/>
      </w:pPr>
      <w:r>
        <w:t xml:space="preserve">被覆材の種類と適応、効果を説明できる。</w:t>
      </w:r>
    </w:p>
    <w:p>
      <w:pPr>
        <w:numPr>
          <w:ilvl w:val="0"/>
          <w:numId w:val="1044"/>
        </w:numPr>
        <w:pStyle w:val="Compact"/>
      </w:pPr>
      <w:r>
        <w:t xml:space="preserve">外科的治療の適応と合併症を説明できる。</w:t>
      </w:r>
    </w:p>
    <w:p>
      <w:pPr>
        <w:numPr>
          <w:ilvl w:val="0"/>
          <w:numId w:val="1044"/>
        </w:numPr>
        <w:pStyle w:val="Compact"/>
      </w:pPr>
      <w:r>
        <w:t xml:space="preserve">手術の危険因子を列挙し、その対応の基本を説明できる。</w:t>
      </w:r>
    </w:p>
    <w:p>
      <w:pPr>
        <w:numPr>
          <w:ilvl w:val="0"/>
          <w:numId w:val="1044"/>
        </w:numPr>
        <w:pStyle w:val="Compact"/>
      </w:pPr>
      <w:r>
        <w:t xml:space="preserve">主な術後合併症を列挙し、その予防の基本を説明できる。</w:t>
      </w:r>
    </w:p>
    <w:p>
      <w:pPr>
        <w:numPr>
          <w:ilvl w:val="0"/>
          <w:numId w:val="1044"/>
        </w:numPr>
        <w:pStyle w:val="Compact"/>
      </w:pPr>
      <w:r>
        <w:t xml:space="preserve">手術に関するインフォームド・コンセントの注意点を列挙できる。</w:t>
      </w:r>
    </w:p>
    <w:p>
      <w:pPr>
        <w:numPr>
          <w:ilvl w:val="0"/>
          <w:numId w:val="1044"/>
        </w:numPr>
        <w:pStyle w:val="Compact"/>
      </w:pPr>
      <w:r>
        <w:t xml:space="preserve">周術期における事前のリスク評価を説明できる。</w:t>
      </w:r>
    </w:p>
    <w:p>
      <w:pPr>
        <w:numPr>
          <w:ilvl w:val="0"/>
          <w:numId w:val="1044"/>
        </w:numPr>
        <w:pStyle w:val="Compact"/>
      </w:pPr>
      <w:r>
        <w:t xml:space="preserve">周術期における主な薬剤の服薬管理（継続、中止等）の必要性とそれに伴うリスクの基本を説明できる。</w:t>
      </w:r>
    </w:p>
    <w:p>
      <w:pPr>
        <w:numPr>
          <w:ilvl w:val="0"/>
          <w:numId w:val="1044"/>
        </w:numPr>
        <w:pStyle w:val="Compact"/>
      </w:pPr>
      <w:r>
        <w:t xml:space="preserve">周術期における輸液・輸血の基本を説明できる。</w:t>
      </w:r>
    </w:p>
    <w:p>
      <w:pPr>
        <w:numPr>
          <w:ilvl w:val="0"/>
          <w:numId w:val="1044"/>
        </w:numPr>
        <w:pStyle w:val="Compact"/>
      </w:pPr>
      <w:r>
        <w:t xml:space="preserve">周術期における疼痛の管理を説明できる。</w:t>
      </w:r>
    </w:p>
    <w:p>
      <w:pPr>
        <w:numPr>
          <w:ilvl w:val="0"/>
          <w:numId w:val="1044"/>
        </w:numPr>
        <w:pStyle w:val="Compact"/>
      </w:pPr>
      <w:r>
        <w:t xml:space="preserve">局所麻酔、末梢神経ブロック、神経叢ブロック、脊髄くも膜下麻酔、硬膜外麻酔の適応、禁忌と合併症を概説できる。</w:t>
      </w:r>
    </w:p>
    <w:p>
      <w:pPr>
        <w:numPr>
          <w:ilvl w:val="0"/>
          <w:numId w:val="1044"/>
        </w:numPr>
        <w:pStyle w:val="Compact"/>
      </w:pPr>
      <w:r>
        <w:t xml:space="preserve">麻酔管理を安全に行うための術前評価を概説できる。</w:t>
      </w:r>
    </w:p>
    <w:p>
      <w:pPr>
        <w:numPr>
          <w:ilvl w:val="0"/>
          <w:numId w:val="1044"/>
        </w:numPr>
        <w:pStyle w:val="Compact"/>
      </w:pPr>
      <w:r>
        <w:t xml:space="preserve">安全な麻酔のためのモニタリングの方法、重要な異常所見と対処法を概説できる。</w:t>
      </w:r>
    </w:p>
    <w:p>
      <w:pPr>
        <w:numPr>
          <w:ilvl w:val="0"/>
          <w:numId w:val="1044"/>
        </w:numPr>
        <w:pStyle w:val="Compact"/>
      </w:pPr>
      <w:r>
        <w:t xml:space="preserve">麻酔薬と筋弛緩薬の種類と使用上の原則を説明できる。</w:t>
      </w:r>
    </w:p>
    <w:p>
      <w:pPr>
        <w:numPr>
          <w:ilvl w:val="0"/>
          <w:numId w:val="1044"/>
        </w:numPr>
        <w:pStyle w:val="Compact"/>
      </w:pPr>
      <w:r>
        <w:t xml:space="preserve">吸入麻酔と静脈麻酔の適応、禁忌、方法、事故と合併症を概説できる。</w:t>
      </w:r>
    </w:p>
    <w:p>
      <w:pPr>
        <w:numPr>
          <w:ilvl w:val="0"/>
          <w:numId w:val="1044"/>
        </w:numPr>
        <w:pStyle w:val="Compact"/>
      </w:pPr>
      <w:r>
        <w:t xml:space="preserve">食行動、食事摂取基準、食事バランス、日本食品標準成分表、補助食品、食物繊維・プロバイオティクス・プレバイオティクスを概説できる。</w:t>
      </w:r>
    </w:p>
    <w:p>
      <w:pPr>
        <w:numPr>
          <w:ilvl w:val="0"/>
          <w:numId w:val="1044"/>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4"/>
        </w:numPr>
        <w:pStyle w:val="Compact"/>
      </w:pPr>
      <w:r>
        <w:t xml:space="preserve">経静脈栄養と経管・経腸栄養の適応、方法と合併症、長期投与時の注意事項を説明できる。</w:t>
      </w:r>
    </w:p>
    <w:p>
      <w:pPr>
        <w:numPr>
          <w:ilvl w:val="0"/>
          <w:numId w:val="1044"/>
        </w:numPr>
        <w:pStyle w:val="Compact"/>
      </w:pPr>
      <w:r>
        <w:t xml:space="preserve">主な医療機器の説明ができる。</w:t>
      </w:r>
    </w:p>
    <w:p>
      <w:pPr>
        <w:numPr>
          <w:ilvl w:val="0"/>
          <w:numId w:val="1044"/>
        </w:numPr>
        <w:pStyle w:val="Compact"/>
      </w:pPr>
      <w:r>
        <w:t xml:space="preserve">主な人工臓器の種類と原理を概説できる。</w:t>
      </w:r>
    </w:p>
    <w:p>
      <w:pPr>
        <w:numPr>
          <w:ilvl w:val="0"/>
          <w:numId w:val="1044"/>
        </w:numPr>
        <w:pStyle w:val="Compact"/>
      </w:pPr>
      <w:r>
        <w:t xml:space="preserve">血液製剤及び血漿分画製剤の種類と適応を説明できる。</w:t>
      </w:r>
    </w:p>
    <w:p>
      <w:pPr>
        <w:numPr>
          <w:ilvl w:val="0"/>
          <w:numId w:val="1044"/>
        </w:numPr>
        <w:pStyle w:val="Compact"/>
      </w:pPr>
      <w:r>
        <w:t xml:space="preserve">輸血副反応、輸血使用記録保管義務、不適合輸血の防止手順を説明できる。</w:t>
      </w:r>
    </w:p>
    <w:p>
      <w:pPr>
        <w:numPr>
          <w:ilvl w:val="0"/>
          <w:numId w:val="1044"/>
        </w:numPr>
        <w:pStyle w:val="Compact"/>
      </w:pPr>
      <w:r>
        <w:t xml:space="preserve">輸血の適正使用、成分輸血、自己血輸血、緊急時の輸血を説明できる。</w:t>
      </w:r>
    </w:p>
    <w:p>
      <w:pPr>
        <w:numPr>
          <w:ilvl w:val="0"/>
          <w:numId w:val="1044"/>
        </w:numPr>
        <w:pStyle w:val="Compact"/>
      </w:pPr>
      <w:r>
        <w:t xml:space="preserve">移植医療（臓器移植、組織移植、造血幹細胞移植を含む）の我が国と世界の状況を概説できる</w:t>
      </w:r>
    </w:p>
    <w:p>
      <w:pPr>
        <w:numPr>
          <w:ilvl w:val="0"/>
          <w:numId w:val="1044"/>
        </w:numPr>
        <w:pStyle w:val="Compact"/>
      </w:pPr>
      <w:r>
        <w:t xml:space="preserve">終末期医療における臓器・組織提供選択提示の意義について説明できる</w:t>
      </w:r>
    </w:p>
    <w:p>
      <w:pPr>
        <w:numPr>
          <w:ilvl w:val="0"/>
          <w:numId w:val="1044"/>
        </w:numPr>
        <w:pStyle w:val="Compact"/>
      </w:pPr>
      <w:r>
        <w:t xml:space="preserve">移植における免疫応答（拒絶反応、移植片対宿主病）について概説できる</w:t>
      </w:r>
    </w:p>
    <w:p>
      <w:pPr>
        <w:numPr>
          <w:ilvl w:val="0"/>
          <w:numId w:val="1044"/>
        </w:numPr>
        <w:pStyle w:val="Compact"/>
      </w:pPr>
      <w:r>
        <w:t xml:space="preserve">移植後の免疫抑制について概説できる</w:t>
      </w:r>
    </w:p>
    <w:p>
      <w:pPr>
        <w:numPr>
          <w:ilvl w:val="0"/>
          <w:numId w:val="1044"/>
        </w:numPr>
        <w:pStyle w:val="Compact"/>
      </w:pPr>
      <w:r>
        <w:t xml:space="preserve">リハビリテーションの概念と適応を説明できる。</w:t>
      </w:r>
    </w:p>
    <w:p>
      <w:pPr>
        <w:numPr>
          <w:ilvl w:val="0"/>
          <w:numId w:val="1044"/>
        </w:numPr>
        <w:pStyle w:val="Compact"/>
      </w:pPr>
      <w:r>
        <w:t xml:space="preserve">機能障害と日常生活動作(activities of daily living</w:t>
      </w:r>
      <w:r>
        <w:t xml:space="preserve"> </w:t>
      </w:r>
      <w:r>
        <w:t xml:space="preserve">)の評価ができる。</w:t>
      </w:r>
    </w:p>
    <w:p>
      <w:pPr>
        <w:numPr>
          <w:ilvl w:val="0"/>
          <w:numId w:val="1044"/>
        </w:numPr>
        <w:pStyle w:val="Compact"/>
      </w:pPr>
      <w:r>
        <w:t xml:space="preserve">理学療法、作業療法と言語聴覚療法を概説できる。</w:t>
      </w:r>
    </w:p>
    <w:p>
      <w:pPr>
        <w:numPr>
          <w:ilvl w:val="0"/>
          <w:numId w:val="1044"/>
        </w:numPr>
        <w:pStyle w:val="Compact"/>
      </w:pPr>
      <w:r>
        <w:t xml:space="preserve">主な歩行補助具、車椅子、義肢（義手、義足）と装具を概説できる。</w:t>
      </w:r>
    </w:p>
    <w:p>
      <w:pPr>
        <w:numPr>
          <w:ilvl w:val="0"/>
          <w:numId w:val="1044"/>
        </w:numPr>
        <w:pStyle w:val="Compact"/>
      </w:pPr>
      <w:r>
        <w:t xml:space="preserve">緩和ケアにおいて頻度の高い身体的苦痛、心理社会的苦痛を列挙することができる。</w:t>
      </w:r>
    </w:p>
    <w:p>
      <w:pPr>
        <w:numPr>
          <w:ilvl w:val="0"/>
          <w:numId w:val="1044"/>
        </w:numPr>
        <w:pStyle w:val="Compact"/>
      </w:pPr>
      <w:r>
        <w:t xml:space="preserve">疼痛のアセスメント、疼痛緩和の薬物療法、癌疼痛治療法を説明できる。</w:t>
      </w:r>
    </w:p>
    <w:p>
      <w:pPr>
        <w:numPr>
          <w:ilvl w:val="0"/>
          <w:numId w:val="1044"/>
        </w:numPr>
        <w:pStyle w:val="Compact"/>
      </w:pPr>
      <w:r>
        <w:t xml:space="preserve">基本診療科[^table:基本診療科]の基本的な治療を実施できる。</w:t>
      </w:r>
    </w:p>
    <w:bookmarkEnd w:id="83"/>
    <w:bookmarkStart w:id="84" w:name="教育計画"/>
    <w:p>
      <w:pPr>
        <w:pStyle w:val="Heading3"/>
      </w:pPr>
      <w:r>
        <w:t xml:space="preserve">教育計画</w:t>
      </w:r>
    </w:p>
    <w:p>
      <w:pPr>
        <w:numPr>
          <w:ilvl w:val="0"/>
          <w:numId w:val="1045"/>
        </w:numPr>
        <w:pStyle w:val="Compact"/>
      </w:pPr>
      <w:r>
        <w:t xml:space="preserve">代表的な疾患における患者指導が計画できる</w:t>
      </w:r>
    </w:p>
    <w:bookmarkEnd w:id="84"/>
    <w:bookmarkStart w:id="85" w:name="患者ケアに必要な連携"/>
    <w:p>
      <w:pPr>
        <w:pStyle w:val="Heading3"/>
      </w:pPr>
      <w:r>
        <w:t xml:space="preserve">患者ケアに必要な連携</w:t>
      </w:r>
    </w:p>
    <w:p>
      <w:pPr>
        <w:numPr>
          <w:ilvl w:val="0"/>
          <w:numId w:val="1046"/>
        </w:numPr>
        <w:pStyle w:val="Compact"/>
      </w:pPr>
      <w:r>
        <w:t xml:space="preserve">他の医療従事者に診断に必要な臨床情報の適切な提供ができる。</w:t>
      </w:r>
    </w:p>
    <w:bookmarkEnd w:id="85"/>
    <w:bookmarkEnd w:id="86"/>
    <w:bookmarkStart w:id="93"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7" w:name="検査手技"/>
    <w:p>
      <w:pPr>
        <w:pStyle w:val="Heading3"/>
      </w:pPr>
      <w:r>
        <w:t xml:space="preserve">検査手技</w:t>
      </w:r>
    </w:p>
    <w:p>
      <w:pPr>
        <w:numPr>
          <w:ilvl w:val="0"/>
          <w:numId w:val="1047"/>
        </w:numPr>
        <w:pStyle w:val="Compact"/>
      </w:pPr>
      <w:r>
        <w:t xml:space="preserve">検査に関する基本的臨床手技[^table:基本的臨床手技]に関して定められた目標を達成できる。</w:t>
      </w:r>
    </w:p>
    <w:bookmarkEnd w:id="87"/>
    <w:bookmarkStart w:id="88" w:name="治療手技"/>
    <w:p>
      <w:pPr>
        <w:pStyle w:val="Heading3"/>
      </w:pPr>
      <w:r>
        <w:t xml:space="preserve">治療手技</w:t>
      </w:r>
    </w:p>
    <w:p>
      <w:pPr>
        <w:numPr>
          <w:ilvl w:val="0"/>
          <w:numId w:val="1048"/>
        </w:numPr>
        <w:pStyle w:val="Compact"/>
      </w:pPr>
      <w:r>
        <w:t xml:space="preserve">治療に関する基本的臨床手技[^table:基本的臨床手技]に関して定められた目標を達成できる。</w:t>
      </w:r>
    </w:p>
    <w:bookmarkEnd w:id="88"/>
    <w:bookmarkStart w:id="89" w:name="救急初期対応"/>
    <w:p>
      <w:pPr>
        <w:pStyle w:val="Heading3"/>
      </w:pPr>
      <w:r>
        <w:t xml:space="preserve">救急・初期対応</w:t>
      </w:r>
    </w:p>
    <w:p>
      <w:pPr>
        <w:numPr>
          <w:ilvl w:val="0"/>
          <w:numId w:val="1049"/>
        </w:numPr>
        <w:pStyle w:val="Compact"/>
      </w:pPr>
      <w:r>
        <w:t xml:space="preserve">身体徴候、バイタルサインから緊急性の高い状況であることを判断できる。</w:t>
      </w:r>
    </w:p>
    <w:p>
      <w:pPr>
        <w:numPr>
          <w:ilvl w:val="0"/>
          <w:numId w:val="1049"/>
        </w:numPr>
        <w:pStyle w:val="Compact"/>
      </w:pPr>
      <w:r>
        <w:t xml:space="preserve">一次救命処置を実施できる。</w:t>
      </w:r>
    </w:p>
    <w:p>
      <w:pPr>
        <w:numPr>
          <w:ilvl w:val="0"/>
          <w:numId w:val="1049"/>
        </w:numPr>
        <w:pStyle w:val="Compact"/>
      </w:pPr>
      <w:r>
        <w:t xml:space="preserve">二次救命処置を含む頻度の高い緊急性の高い患者の初期対応を実演できる。</w:t>
      </w:r>
    </w:p>
    <w:p>
      <w:pPr>
        <w:numPr>
          <w:ilvl w:val="0"/>
          <w:numId w:val="1049"/>
        </w:numPr>
        <w:pStyle w:val="Compact"/>
      </w:pPr>
      <w:r>
        <w:t xml:space="preserve">外傷の病態生理と診断の要点を説明できる。</w:t>
      </w:r>
    </w:p>
    <w:p>
      <w:pPr>
        <w:numPr>
          <w:ilvl w:val="0"/>
          <w:numId w:val="1049"/>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9"/>
        </w:numPr>
        <w:pStyle w:val="Compact"/>
      </w:pPr>
      <w:r>
        <w:t xml:space="preserve">薬物によるアナフィラキシーショックの対処を実演できる。</w:t>
      </w:r>
    </w:p>
    <w:bookmarkEnd w:id="89"/>
    <w:bookmarkStart w:id="90" w:name="書類の作成"/>
    <w:p>
      <w:pPr>
        <w:pStyle w:val="Heading3"/>
      </w:pP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各種検案書の作成を実演できる</w:t>
      </w:r>
    </w:p>
    <w:p>
      <w:pPr>
        <w:numPr>
          <w:ilvl w:val="0"/>
          <w:numId w:val="1050"/>
        </w:numPr>
        <w:pStyle w:val="Compact"/>
      </w:pPr>
      <w:r>
        <w:t xml:space="preserve">各種同意書を用いた説明を実演できる</w:t>
      </w:r>
    </w:p>
    <w:bookmarkEnd w:id="90"/>
    <w:bookmarkStart w:id="91" w:name="患者ケアに必要な連携-1"/>
    <w:p>
      <w:pPr>
        <w:pStyle w:val="Heading3"/>
      </w:pPr>
      <w:r>
        <w:t xml:space="preserve">患者ケアに必要な連携</w:t>
      </w:r>
    </w:p>
    <w:p>
      <w:pPr>
        <w:numPr>
          <w:ilvl w:val="0"/>
          <w:numId w:val="1051"/>
        </w:numPr>
        <w:pStyle w:val="Compact"/>
      </w:pPr>
      <w:r>
        <w:t xml:space="preserve">チーム医療の一員として良好なコミュニケーションを実践できる。</w:t>
      </w:r>
    </w:p>
    <w:p>
      <w:pPr>
        <w:numPr>
          <w:ilvl w:val="0"/>
          <w:numId w:val="1051"/>
        </w:numPr>
        <w:pStyle w:val="Compact"/>
      </w:pPr>
      <w:r>
        <w:t xml:space="preserve">保健・医療・福祉・介護との連携を実演できる。</w:t>
      </w:r>
    </w:p>
    <w:p>
      <w:pPr>
        <w:numPr>
          <w:ilvl w:val="0"/>
          <w:numId w:val="1051"/>
        </w:numPr>
        <w:pStyle w:val="Compact"/>
      </w:pPr>
      <w:r>
        <w:t xml:space="preserve">病院前救護体制とメディカルコントロールについて説明できる。</w:t>
      </w:r>
    </w:p>
    <w:p>
      <w:pPr>
        <w:numPr>
          <w:ilvl w:val="0"/>
          <w:numId w:val="1051"/>
        </w:numPr>
        <w:pStyle w:val="Compact"/>
      </w:pPr>
      <w:r>
        <w:t xml:space="preserve">地域の災害医療体制について説明できる。</w:t>
      </w:r>
    </w:p>
    <w:p>
      <w:pPr>
        <w:numPr>
          <w:ilvl w:val="0"/>
          <w:numId w:val="1051"/>
        </w:numPr>
        <w:pStyle w:val="Compact"/>
      </w:pPr>
      <w:r>
        <w:t xml:space="preserve">基本診療科[^table:基本診療科]にどのようにコンサルテーションすればよいか説明できる。</w:t>
      </w:r>
    </w:p>
    <w:p>
      <w:pPr>
        <w:numPr>
          <w:ilvl w:val="0"/>
          <w:numId w:val="1051"/>
        </w:numPr>
        <w:pStyle w:val="Compact"/>
      </w:pPr>
      <w:r>
        <w:t xml:space="preserve">褥瘡の予防、評価、処置・治療及びチーム医療の重要性を説明できる。</w:t>
      </w:r>
    </w:p>
    <w:p>
      <w:pPr>
        <w:numPr>
          <w:ilvl w:val="0"/>
          <w:numId w:val="1051"/>
        </w:numPr>
        <w:pStyle w:val="Compact"/>
      </w:pPr>
      <w:r>
        <w:t xml:space="preserve">緩和ケア（緩和ケアチーム、ホスピス、緩和ケア病棟、在宅緩和ケアを含む）を概説できる。</w:t>
      </w:r>
    </w:p>
    <w:bookmarkEnd w:id="91"/>
    <w:bookmarkStart w:id="92" w:name="診療計画カンファレンス"/>
    <w:p>
      <w:pPr>
        <w:pStyle w:val="Heading3"/>
      </w:pPr>
      <w:r>
        <w:t xml:space="preserve">診療計画カンファレンス</w:t>
      </w:r>
    </w:p>
    <w:p>
      <w:pPr>
        <w:numPr>
          <w:ilvl w:val="0"/>
          <w:numId w:val="1052"/>
        </w:numPr>
        <w:pStyle w:val="Compact"/>
      </w:pPr>
      <w:r>
        <w:t xml:space="preserve">医師カンファレンスにおいて症例を適切に要約し提示できる。</w:t>
      </w:r>
    </w:p>
    <w:p>
      <w:pPr>
        <w:numPr>
          <w:ilvl w:val="0"/>
          <w:numId w:val="1052"/>
        </w:numPr>
        <w:pStyle w:val="Compact"/>
      </w:pPr>
      <w:r>
        <w:t xml:space="preserve">多職種カンファレンスに参加し発言することができる。</w:t>
      </w:r>
    </w:p>
    <w:p>
      <w:pPr>
        <w:numPr>
          <w:ilvl w:val="0"/>
          <w:numId w:val="1052"/>
        </w:numPr>
        <w:pStyle w:val="Compact"/>
      </w:pPr>
      <w:r>
        <w:t xml:space="preserve">診察で得た所見、診断、必要な検査を上級医に説明、報告できる。</w:t>
      </w:r>
    </w:p>
    <w:bookmarkEnd w:id="92"/>
    <w:bookmarkEnd w:id="93"/>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4" w:name="患者安全の配慮と促進"/>
    <w:p>
      <w:pPr>
        <w:pStyle w:val="Heading3"/>
      </w:pPr>
      <w:r>
        <w:t xml:space="preserve">患者安全の配慮と促進</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診断エラーの原因とその防止法を説明できる。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bookmarkEnd w:id="94"/>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個や集団に文化・慣習及ぼす影響（コミュニケーションのあり方等）を説明できる。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2022-02-16T13:11:40Z</dcterms:created>
  <dcterms:modified xsi:type="dcterms:W3CDTF">2022-02-16T13:11:40Z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