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bookmarkEnd w:id="22"/>
    <w:bookmarkStart w:id="23" w:name="省察"/>
    <w:p>
      <w:pPr>
        <w:pStyle w:val="Heading3"/>
      </w:pP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3"/>
    <w:bookmarkStart w:id="24" w:name="説明責任"/>
    <w:p>
      <w:pPr>
        <w:pStyle w:val="Heading3"/>
      </w:pPr>
      <w:r>
        <w:t xml:space="preserve">説明責任</w:t>
      </w:r>
    </w:p>
    <w:p>
      <w:pPr>
        <w:numPr>
          <w:ilvl w:val="0"/>
          <w:numId w:val="1003"/>
        </w:numPr>
        <w:pStyle w:val="Compact"/>
      </w:pPr>
      <w:r>
        <w:t xml:space="preserve">わかりやすく正確な説明とはどのようなものか理解できる。</w:t>
      </w:r>
    </w:p>
    <w:bookmarkEnd w:id="24"/>
    <w:bookmarkStart w:id="25" w:name="自律性の尊重"/>
    <w:p>
      <w:pPr>
        <w:pStyle w:val="Heading3"/>
      </w:pPr>
      <w:r>
        <w:t xml:space="preserve">自律性の尊重</w:t>
      </w:r>
    </w:p>
    <w:p>
      <w:pPr>
        <w:numPr>
          <w:ilvl w:val="0"/>
          <w:numId w:val="1004"/>
        </w:numPr>
        <w:pStyle w:val="Compact"/>
      </w:pPr>
      <w:r>
        <w:t xml:space="preserve">患者の意思決定支援の方法を理解している。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bookmarkEnd w:id="27"/>
    <w:bookmarkStart w:id="28" w:name="他者理解と自己理解"/>
    <w:p>
      <w:pPr>
        <w:pStyle w:val="Heading3"/>
      </w:pP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8"/>
    <w:bookmarkStart w:id="29" w:name="品格礼儀"/>
    <w:p>
      <w:pPr>
        <w:pStyle w:val="Heading3"/>
      </w:pP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31"/>
    <w:bookmarkEnd w:id="32"/>
    <w:bookmarkEnd w:id="33"/>
    <w:bookmarkStart w:id="56"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9"/>
    <w:bookmarkEnd w:id="40"/>
    <w:bookmarkStart w:id="45"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bookmarkEnd w:id="41"/>
    <w:bookmarkStart w:id="42"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2"/>
    <w:bookmarkStart w:id="43"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3"/>
    <w:bookmarkStart w:id="44" w:name="在宅におけるプライマリケア"/>
    <w:p>
      <w:pPr>
        <w:pStyle w:val="Heading3"/>
      </w:pP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4"/>
    <w:bookmarkEnd w:id="45"/>
    <w:bookmarkStart w:id="52"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6"/>
    <w:bookmarkStart w:id="47" w:name="小児期全般"/>
    <w:p>
      <w:pPr>
        <w:pStyle w:val="Heading3"/>
      </w:pP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7"/>
    <w:bookmarkStart w:id="48" w:name="胎児期新生児期乳幼児期"/>
    <w:p>
      <w:pPr>
        <w:pStyle w:val="Heading3"/>
      </w:pP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8"/>
    <w:bookmarkStart w:id="49" w:name="学童期思春期青年期成人期"/>
    <w:p>
      <w:pPr>
        <w:pStyle w:val="Heading3"/>
      </w:pP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9"/>
    <w:bookmarkStart w:id="50" w:name="壮年期老年期"/>
    <w:p>
      <w:pPr>
        <w:pStyle w:val="Heading3"/>
      </w:pP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日常生活動作（排泄、摂食、入浴等）に応じた介護と環境整備の要点を概説できる。</w:t>
      </w:r>
    </w:p>
    <w:bookmarkEnd w:id="50"/>
    <w:bookmarkStart w:id="51" w:name="終末期"/>
    <w:p>
      <w:pPr>
        <w:pStyle w:val="Heading3"/>
      </w:pP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51"/>
    <w:bookmarkEnd w:id="52"/>
    <w:bookmarkStart w:id="55"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3"/>
    <w:bookmarkStart w:id="54" w:name="社会科学"/>
    <w:p>
      <w:pPr>
        <w:pStyle w:val="Heading3"/>
      </w:pP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7" w:name="医療の質向上"/>
    <w:p>
      <w:pPr>
        <w:pStyle w:val="Heading3"/>
      </w:pPr>
      <w:r>
        <w:t xml:space="preserve">医療の質向上</w:t>
      </w:r>
    </w:p>
    <w:p>
      <w:pPr>
        <w:numPr>
          <w:ilvl w:val="0"/>
          <w:numId w:val="1027"/>
        </w:numPr>
        <w:pStyle w:val="Compact"/>
      </w:pPr>
      <w:r>
        <w:t xml:space="preserve">品質改善の手法を用いて医療を改善する重要性を理解し、繰り返し評価する姿勢を身に着ける。</w:t>
      </w:r>
    </w:p>
    <w:bookmarkEnd w:id="57"/>
    <w:bookmarkStart w:id="58" w:name="医療従事者の健康管理"/>
    <w:p>
      <w:pPr>
        <w:pStyle w:val="Heading3"/>
      </w:pPr>
      <w:r>
        <w:t xml:space="preserve">医療従事者の健康管理</w:t>
      </w:r>
    </w:p>
    <w:p>
      <w:pPr>
        <w:numPr>
          <w:ilvl w:val="0"/>
          <w:numId w:val="1028"/>
        </w:numPr>
        <w:pStyle w:val="Compact"/>
      </w:pPr>
      <w:r>
        <w:t xml:space="preserve">医療従事者の健康管理（生活習慣改善、予防接種、被ばく低減策）、職業感染対策（結核スクリーニング、ワクチン接種）を実践できる。</w:t>
      </w:r>
    </w:p>
    <w:p>
      <w:pPr>
        <w:numPr>
          <w:ilvl w:val="0"/>
          <w:numId w:val="1028"/>
        </w:numPr>
        <w:pStyle w:val="Compact"/>
      </w:pPr>
      <w:r>
        <w:t xml:space="preserve">自身を含む医療者の労働環境の改善の必要性を理解し、実際の医療現場において改善に努めることができる。</w:t>
      </w:r>
    </w:p>
    <w:bookmarkEnd w:id="58"/>
    <w:bookmarkStart w:id="59" w:name="安全管理体制"/>
    <w:p>
      <w:pPr>
        <w:pStyle w:val="Heading3"/>
      </w:pPr>
      <w:r>
        <w:t xml:space="preserve">安全管理体制</w:t>
      </w:r>
    </w:p>
    <w:p>
      <w:pPr>
        <w:numPr>
          <w:ilvl w:val="0"/>
          <w:numId w:val="1029"/>
        </w:numPr>
        <w:pStyle w:val="Compact"/>
      </w:pPr>
      <w:r>
        <w:t xml:space="preserve">患者安全のための管理体制と各々の役割（リスクマネージャー、医療安全管理委員会等）を説明できる</w:t>
      </w:r>
    </w:p>
    <w:p>
      <w:pPr>
        <w:numPr>
          <w:ilvl w:val="0"/>
          <w:numId w:val="1029"/>
        </w:numPr>
        <w:pStyle w:val="Compact"/>
      </w:pPr>
      <w:r>
        <w:t xml:space="preserve">医療過誤に関連した刑事・民事責任や医師法に基づく行政処分を説明できる。</w:t>
      </w:r>
    </w:p>
    <w:bookmarkEnd w:id="59"/>
    <w:bookmarkStart w:id="60" w:name="感染制御"/>
    <w:p>
      <w:pPr>
        <w:pStyle w:val="Heading3"/>
      </w:pPr>
      <w:r>
        <w:t xml:space="preserve">感染制御</w:t>
      </w:r>
    </w:p>
    <w:p>
      <w:pPr>
        <w:numPr>
          <w:ilvl w:val="0"/>
          <w:numId w:val="1030"/>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30"/>
        </w:numPr>
        <w:pStyle w:val="Compact"/>
      </w:pPr>
      <w:r>
        <w:t xml:space="preserve">標準予防策〈standard</w:t>
      </w:r>
      <w:r>
        <w:t xml:space="preserve"> </w:t>
      </w:r>
      <w:r>
        <w:t xml:space="preserve">precautions〉の必要性を説明し、実践できる。</w:t>
      </w:r>
    </w:p>
    <w:p>
      <w:pPr>
        <w:numPr>
          <w:ilvl w:val="0"/>
          <w:numId w:val="1030"/>
        </w:numPr>
        <w:pStyle w:val="Compact"/>
      </w:pPr>
      <w:r>
        <w:t xml:space="preserve">針刺切創、体液暴露等に遭遇した際、適切に対処できる。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個人及び組織における患者安全管理の重要性を理解し、行動できる。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患者や介護者と協働するために情報共有することの重要性を説明できる。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0"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主要症候[^table:主要症候]について原因と病態生理を説明できる。</w:t>
      </w:r>
    </w:p>
    <w:p>
      <w:pPr>
        <w:numPr>
          <w:ilvl w:val="0"/>
          <w:numId w:val="1045"/>
        </w:numPr>
        <w:pStyle w:val="Compact"/>
      </w:pPr>
      <w:r>
        <w:t xml:space="preserve">主要症候[^table:主要症候]について鑑別診断を検討し、診断の要点を説明できる。</w:t>
      </w:r>
    </w:p>
    <w:p>
      <w:pPr>
        <w:numPr>
          <w:ilvl w:val="0"/>
          <w:numId w:val="1045"/>
        </w:numPr>
        <w:pStyle w:val="Compact"/>
      </w:pPr>
      <w:r>
        <w:t xml:space="preserve">主要診療科[^table:主要診療科]でのそれぞれの状況を考慮して主訴からの診断推論を組み立てられる</w:t>
      </w:r>
    </w:p>
    <w:p>
      <w:pPr>
        <w:numPr>
          <w:ilvl w:val="0"/>
          <w:numId w:val="1045"/>
        </w:numPr>
        <w:pStyle w:val="Compact"/>
      </w:pPr>
      <w:r>
        <w:t xml:space="preserve">主要診療科[^table:主要診療科]における疾患の病態や疫学を説明できる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主要症候[^table:主要症候]について初期対応を計画し、専門的治療が必要な状態を説明できる。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インターベンショナルラジオロジー（画像誘導下治療）を説明できる。</w:t>
      </w:r>
    </w:p>
    <w:p>
      <w:pPr>
        <w:numPr>
          <w:ilvl w:val="0"/>
          <w:numId w:val="1047"/>
        </w:numPr>
        <w:pStyle w:val="Compact"/>
      </w:pPr>
      <w:r>
        <w:t xml:space="preserve">内視鏡を用いる治療を説明できる。</w:t>
      </w:r>
    </w:p>
    <w:p>
      <w:pPr>
        <w:numPr>
          <w:ilvl w:val="0"/>
          <w:numId w:val="1047"/>
        </w:numPr>
        <w:pStyle w:val="Compact"/>
      </w:pPr>
      <w:r>
        <w:t xml:space="preserve">超音波を用いる治療を説明できる。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局所麻酔、末梢神経ブロック、神経叢ブロック、脊髄くも膜下麻酔、硬膜外麻酔の適応、禁忌と合併症を説明できる。</w:t>
      </w:r>
    </w:p>
    <w:p>
      <w:pPr>
        <w:numPr>
          <w:ilvl w:val="0"/>
          <w:numId w:val="1047"/>
        </w:numPr>
        <w:pStyle w:val="Compact"/>
      </w:pPr>
      <w:r>
        <w:t xml:space="preserve">麻酔管理を安全に行うための術前評価を説明できる。</w:t>
      </w:r>
    </w:p>
    <w:p>
      <w:pPr>
        <w:numPr>
          <w:ilvl w:val="0"/>
          <w:numId w:val="1047"/>
        </w:numPr>
        <w:pStyle w:val="Compact"/>
      </w:pPr>
      <w:r>
        <w:t xml:space="preserve">安全な麻酔のためのモニタリングの方法、重要な異常所見と対処法を説明できる。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吸入麻酔と静脈麻酔の適応、禁忌、方法、事故と合併症を説明できる。</w:t>
      </w:r>
    </w:p>
    <w:p>
      <w:pPr>
        <w:numPr>
          <w:ilvl w:val="0"/>
          <w:numId w:val="1047"/>
        </w:numPr>
        <w:pStyle w:val="Compact"/>
      </w:pPr>
      <w:r>
        <w:t xml:space="preserve">食行動、食事摂取基準、食事バランス、日本食品標準成分表、補助食品、食物繊維・プロバイオティクス・プレバイオティクスを説明できる。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主な人工臓器の種類と原理を説明できる。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移植医療（臓器移植、組織移植、造血幹細胞移植を含む）の我が国と世界の状況を説明できる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移植における免疫応答（拒絶反応、移植片対宿主病）について説明できる</w:t>
      </w:r>
    </w:p>
    <w:p>
      <w:pPr>
        <w:numPr>
          <w:ilvl w:val="0"/>
          <w:numId w:val="1047"/>
        </w:numPr>
        <w:pStyle w:val="Compact"/>
      </w:pPr>
      <w:r>
        <w:t xml:space="preserve">移植後の免疫抑制について説明できる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理学療法、作業療法と言語聴覚療法を説明できる。</w:t>
      </w:r>
    </w:p>
    <w:p>
      <w:pPr>
        <w:numPr>
          <w:ilvl w:val="0"/>
          <w:numId w:val="1047"/>
        </w:numPr>
        <w:pStyle w:val="Compact"/>
      </w:pPr>
      <w:r>
        <w:t xml:space="preserve">主な歩行補助具、車椅子、義肢（義手、義足）と装具を説明できる。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主要診療科[^table:主要診療科]の基本的な治療を実施できる。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主要診療科[^table:主要診療科]にどのようにコンサルテーションすればよいか説明できる。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99"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t xml:space="preserve">振り返りカンファレンス</w:t>
      </w:r>
    </w:p>
    <w:p>
      <w:pPr>
        <w:numPr>
          <w:ilvl w:val="0"/>
          <w:numId w:val="1056"/>
        </w:numPr>
        <w:pStyle w:val="Compact"/>
      </w:pPr>
      <w:r>
        <w:t xml:space="preserve">M&amp;Mカンファレンスに参加し発言することができる</w:t>
      </w:r>
    </w:p>
    <w:p>
      <w:pPr>
        <w:numPr>
          <w:ilvl w:val="0"/>
          <w:numId w:val="1056"/>
        </w:numPr>
        <w:pStyle w:val="Compact"/>
      </w:pPr>
      <w:r>
        <w:t xml:space="preserve">CPCカンファレンスに参加し発言することができる</w:t>
      </w:r>
    </w:p>
    <w:bookmarkEnd w:id="97"/>
    <w:bookmarkStart w:id="98" w:name="自己省察とメタ認知"/>
    <w:p>
      <w:pPr>
        <w:pStyle w:val="Heading3"/>
      </w:pPr>
      <w:r>
        <w:t xml:space="preserve">自己省察とメタ認知</w:t>
      </w:r>
    </w:p>
    <w:p>
      <w:pPr>
        <w:numPr>
          <w:ilvl w:val="0"/>
          <w:numId w:val="1057"/>
        </w:numPr>
        <w:pStyle w:val="Compact"/>
      </w:pPr>
      <w:r>
        <w:t xml:space="preserve">診療中に自分が行っている診療を振り返ることができる</w:t>
      </w:r>
    </w:p>
    <w:p>
      <w:pPr>
        <w:numPr>
          <w:ilvl w:val="0"/>
          <w:numId w:val="1057"/>
        </w:numPr>
        <w:pStyle w:val="Compact"/>
      </w:pPr>
      <w:r>
        <w:t xml:space="preserve">診療後に自分が行った診療を振り返ることができる</w:t>
      </w:r>
    </w:p>
    <w:bookmarkEnd w:id="98"/>
    <w:bookmarkEnd w:id="99"/>
    <w:bookmarkEnd w:id="100"/>
    <w:bookmarkStart w:id="112"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5"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1" w:name="非言語コミュニケーションの重要性を理解した実践"/>
    <w:p>
      <w:pPr>
        <w:pStyle w:val="Heading3"/>
      </w:pPr>
      <w:r>
        <w:t xml:space="preserve">非言語コミュニケーションの重要性を理解した実践</w:t>
      </w:r>
    </w:p>
    <w:p>
      <w:pPr>
        <w:numPr>
          <w:ilvl w:val="0"/>
          <w:numId w:val="1058"/>
        </w:numPr>
        <w:pStyle w:val="Compact"/>
      </w:pPr>
      <w:r>
        <w:t xml:space="preserve">患者に接するときの身だしなみに配慮できる。</w:t>
      </w:r>
    </w:p>
    <w:p>
      <w:pPr>
        <w:numPr>
          <w:ilvl w:val="0"/>
          <w:numId w:val="1058"/>
        </w:numPr>
        <w:pStyle w:val="Compact"/>
      </w:pPr>
      <w:r>
        <w:t xml:space="preserve">患者に接するときの視線、表情、ジェスチャーに配慮できる</w:t>
      </w:r>
    </w:p>
    <w:bookmarkEnd w:id="101"/>
    <w:bookmarkStart w:id="102" w:name="患者のプライバシーへの配慮"/>
    <w:p>
      <w:pPr>
        <w:pStyle w:val="Heading3"/>
      </w:pPr>
      <w:r>
        <w:t xml:space="preserve">患者のプライバシーへの配慮</w:t>
      </w:r>
    </w:p>
    <w:p>
      <w:pPr>
        <w:numPr>
          <w:ilvl w:val="0"/>
          <w:numId w:val="1059"/>
        </w:numPr>
        <w:pStyle w:val="Compact"/>
      </w:pPr>
      <w:r>
        <w:t xml:space="preserve">患者のプライバシー、羞恥心、苦痛に配慮し、個人情報等を守秘できる。</w:t>
      </w:r>
    </w:p>
    <w:p>
      <w:pPr>
        <w:numPr>
          <w:ilvl w:val="0"/>
          <w:numId w:val="1059"/>
        </w:numPr>
        <w:pStyle w:val="Compact"/>
      </w:pPr>
      <w:r>
        <w:t xml:space="preserve">患者情報の守秘義務と患者等への情報提供の重要性を理解し、適切な取扱いができる。</w:t>
      </w:r>
    </w:p>
    <w:bookmarkEnd w:id="102"/>
    <w:bookmarkStart w:id="103" w:name="患者家族への適切なコミュニケーションスキルの活用"/>
    <w:p>
      <w:pPr>
        <w:pStyle w:val="Heading3"/>
      </w:pPr>
      <w:r>
        <w:t xml:space="preserve">患者・家族への適切なコミュニケーションスキルの活用</w:t>
      </w:r>
    </w:p>
    <w:p>
      <w:pPr>
        <w:numPr>
          <w:ilvl w:val="0"/>
          <w:numId w:val="1060"/>
        </w:numPr>
        <w:pStyle w:val="Compact"/>
      </w:pPr>
      <w:r>
        <w:t xml:space="preserve">医療面接における基本的コミュニケーションスキルを用いることができる。</w:t>
      </w:r>
    </w:p>
    <w:p>
      <w:pPr>
        <w:numPr>
          <w:ilvl w:val="0"/>
          <w:numId w:val="1060"/>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0"/>
        </w:numPr>
        <w:pStyle w:val="Compact"/>
      </w:pPr>
      <w:r>
        <w:t xml:space="preserve">話し手と聞き手の役割を理解（説明）でき、適切なコミュニケーションスキルが使える。</w:t>
      </w:r>
    </w:p>
    <w:p>
      <w:pPr>
        <w:numPr>
          <w:ilvl w:val="0"/>
          <w:numId w:val="1060"/>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0"/>
        </w:numPr>
        <w:pStyle w:val="Compact"/>
      </w:pPr>
      <w:r>
        <w:t xml:space="preserve">患者・家族に敬意を持った言葉遣いや態度で接することができる</w:t>
      </w:r>
    </w:p>
    <w:bookmarkEnd w:id="103"/>
    <w:bookmarkStart w:id="104" w:name="患者の立場の尊重と苦痛への配慮"/>
    <w:p>
      <w:pPr>
        <w:pStyle w:val="Heading3"/>
      </w:pPr>
      <w:r>
        <w:t xml:space="preserve">患者の立場の尊重と苦痛への配慮</w:t>
      </w:r>
    </w:p>
    <w:p>
      <w:pPr>
        <w:numPr>
          <w:ilvl w:val="0"/>
          <w:numId w:val="1061"/>
        </w:numPr>
        <w:pStyle w:val="Compact"/>
      </w:pPr>
      <w:r>
        <w:t xml:space="preserve">患者の立場を尊重し、信頼を得ることができる。</w:t>
      </w:r>
    </w:p>
    <w:p>
      <w:pPr>
        <w:numPr>
          <w:ilvl w:val="0"/>
          <w:numId w:val="1061"/>
        </w:numPr>
        <w:pStyle w:val="Compact"/>
      </w:pPr>
      <w:r>
        <w:t xml:space="preserve">患者と家族の精神的・身体的・社会的苦痛に十分配慮できる。</w:t>
      </w:r>
    </w:p>
    <w:p>
      <w:pPr>
        <w:numPr>
          <w:ilvl w:val="0"/>
          <w:numId w:val="1061"/>
        </w:numPr>
        <w:pStyle w:val="Compact"/>
      </w:pPr>
      <w:r>
        <w:t xml:space="preserve">患者と家族が感じる放射線特有災害時の精神的・社会的苦痛に対して十分に配慮できる。</w:t>
      </w:r>
    </w:p>
    <w:p>
      <w:pPr>
        <w:numPr>
          <w:ilvl w:val="0"/>
          <w:numId w:val="1061"/>
        </w:numPr>
        <w:pStyle w:val="Compact"/>
      </w:pPr>
      <w:r>
        <w:t xml:space="preserve">患者・家族の話を傾聴し、共感することができる。</w:t>
      </w:r>
    </w:p>
    <w:bookmarkEnd w:id="104"/>
    <w:bookmarkEnd w:id="105"/>
    <w:bookmarkStart w:id="108"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6" w:name="患者へのわかりやすい言葉の説明"/>
    <w:p>
      <w:pPr>
        <w:pStyle w:val="Heading3"/>
      </w:pPr>
      <w:r>
        <w:t xml:space="preserve">患者へのわかりやすい言葉の説明</w:t>
      </w:r>
    </w:p>
    <w:p>
      <w:pPr>
        <w:numPr>
          <w:ilvl w:val="0"/>
          <w:numId w:val="1062"/>
        </w:numPr>
        <w:pStyle w:val="Compact"/>
      </w:pPr>
      <w:r>
        <w:t xml:space="preserve">患者の多様性に配慮し分かりやすい言葉で説明できる。(例：高齢者、小児、障害者、LGBTQ?（確認中）、文化・言語・慣習の違い）</w:t>
      </w:r>
    </w:p>
    <w:p>
      <w:pPr>
        <w:numPr>
          <w:ilvl w:val="0"/>
          <w:numId w:val="1062"/>
        </w:numPr>
        <w:pStyle w:val="Compact"/>
      </w:pPr>
      <w:r>
        <w:t xml:space="preserve">患者の漠然とした不安を受け止め、不安を軽減するためにわかりやすい言葉で説明でき、や対話ができる。</w:t>
      </w:r>
    </w:p>
    <w:bookmarkEnd w:id="106"/>
    <w:bookmarkStart w:id="107" w:name="インフォームドコンセントの取得"/>
    <w:p>
      <w:pPr>
        <w:pStyle w:val="Heading3"/>
      </w:pPr>
      <w:r>
        <w:t xml:space="preserve">インフォームド・コンセントの取得</w:t>
      </w:r>
    </w:p>
    <w:p>
      <w:pPr>
        <w:numPr>
          <w:ilvl w:val="0"/>
          <w:numId w:val="1063"/>
        </w:numPr>
        <w:pStyle w:val="Compact"/>
      </w:pPr>
      <w:r>
        <w:t xml:space="preserve">医療を提供するに当たり、患者が理解し同意するよう適切に説明を行うことができる。</w:t>
      </w:r>
    </w:p>
    <w:p>
      <w:pPr>
        <w:numPr>
          <w:ilvl w:val="0"/>
          <w:numId w:val="1063"/>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7"/>
    <w:bookmarkEnd w:id="108"/>
    <w:bookmarkStart w:id="111"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9" w:name="患者や家族の課題を把握し必要な情報を得ることができる"/>
    <w:p>
      <w:pPr>
        <w:pStyle w:val="Heading3"/>
      </w:pPr>
      <w:r>
        <w:t xml:space="preserve">患者や家族の課題を把握し、必要な情報を得ることができる</w:t>
      </w:r>
    </w:p>
    <w:p>
      <w:pPr>
        <w:numPr>
          <w:ilvl w:val="0"/>
          <w:numId w:val="1064"/>
        </w:numPr>
        <w:pStyle w:val="Compact"/>
      </w:pPr>
      <w:r>
        <w:t xml:space="preserve">患者の心理的及び社会的背景や自立した生活を送るための課題を把握し、抱える問題点を抽出・整理できる。</w:t>
      </w:r>
    </w:p>
    <w:p>
      <w:pPr>
        <w:numPr>
          <w:ilvl w:val="0"/>
          <w:numId w:val="1064"/>
        </w:numPr>
        <w:pStyle w:val="Compact"/>
      </w:pPr>
      <w:r>
        <w:t xml:space="preserve">保護者から必要な情報を得ることができる。患者自身から情報が得られない場合、代理人や保護者などから必要な情報を得ることができる。</w:t>
      </w:r>
    </w:p>
    <w:bookmarkEnd w:id="109"/>
    <w:bookmarkStart w:id="110"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5"/>
        </w:numPr>
        <w:pStyle w:val="Compact"/>
      </w:pPr>
      <w:r>
        <w:t xml:space="preserve">家族や地域といった視点をもち、保健・医療・福祉・介護との連携に参加する。</w:t>
      </w:r>
    </w:p>
    <w:p>
      <w:pPr>
        <w:numPr>
          <w:ilvl w:val="0"/>
          <w:numId w:val="1065"/>
        </w:numPr>
        <w:pStyle w:val="Compact"/>
      </w:pPr>
      <w:r>
        <w:t xml:space="preserve">患者の要望（診察・転医・紹介）への対処の仕方を理解し実践できる。</w:t>
      </w:r>
    </w:p>
    <w:p>
      <w:pPr>
        <w:numPr>
          <w:ilvl w:val="0"/>
          <w:numId w:val="1065"/>
        </w:numPr>
        <w:pStyle w:val="Compact"/>
      </w:pPr>
      <w:r>
        <w:t xml:space="preserve">患者・家族の怒りや悲しみなどの感情を理解し、対応することができる。</w:t>
      </w:r>
    </w:p>
    <w:p>
      <w:pPr>
        <w:numPr>
          <w:ilvl w:val="0"/>
          <w:numId w:val="1065"/>
        </w:numPr>
        <w:pStyle w:val="Compact"/>
      </w:pPr>
      <w:r>
        <w:t xml:space="preserve">不確実な状況や医学的に説明困難な症状に配慮した対応がを説明できる。</w:t>
      </w:r>
    </w:p>
    <w:bookmarkEnd w:id="110"/>
    <w:bookmarkEnd w:id="111"/>
    <w:bookmarkEnd w:id="112"/>
    <w:bookmarkStart w:id="137"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8"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3" w:name="公衆衛生"/>
    <w:p>
      <w:pPr>
        <w:pStyle w:val="Heading3"/>
      </w:pPr>
      <w:r>
        <w:t xml:space="preserve">公衆衛生</w:t>
      </w:r>
    </w:p>
    <w:p>
      <w:pPr>
        <w:numPr>
          <w:ilvl w:val="0"/>
          <w:numId w:val="1066"/>
        </w:numPr>
        <w:pStyle w:val="Compact"/>
      </w:pPr>
      <w:r>
        <w:t xml:space="preserve">公衆衛生（地域共生社会含む）の概念を説明できる。</w:t>
      </w:r>
    </w:p>
    <w:p>
      <w:pPr>
        <w:numPr>
          <w:ilvl w:val="0"/>
          <w:numId w:val="1066"/>
        </w:numPr>
        <w:pStyle w:val="Compact"/>
      </w:pPr>
      <w:r>
        <w:t xml:space="preserve">予防の段階と戦略を説明できる。</w:t>
      </w:r>
    </w:p>
    <w:p>
      <w:pPr>
        <w:numPr>
          <w:ilvl w:val="0"/>
          <w:numId w:val="1066"/>
        </w:numPr>
        <w:pStyle w:val="Compact"/>
      </w:pPr>
      <w:r>
        <w:t xml:space="preserve">公衆衛生活動（健診、健康づくりイベントなど）の意義を理解し、役割の一部を担うことができる。</w:t>
      </w:r>
    </w:p>
    <w:bookmarkEnd w:id="113"/>
    <w:bookmarkStart w:id="114" w:name="社会保険公的扶助社会福祉"/>
    <w:p>
      <w:pPr>
        <w:pStyle w:val="Heading3"/>
      </w:pPr>
      <w:r>
        <w:t xml:space="preserve">社会保険、公的扶助、社会福祉</w:t>
      </w:r>
    </w:p>
    <w:p>
      <w:pPr>
        <w:numPr>
          <w:ilvl w:val="0"/>
          <w:numId w:val="1067"/>
        </w:numPr>
        <w:pStyle w:val="Compact"/>
      </w:pPr>
      <w:r>
        <w:t xml:space="preserve">生存権などの健康に関する基本的人権と社会保障（社会保険、社会福祉、公的扶助）を説明できる。</w:t>
      </w:r>
    </w:p>
    <w:p>
      <w:pPr>
        <w:numPr>
          <w:ilvl w:val="0"/>
          <w:numId w:val="1067"/>
        </w:numPr>
        <w:pStyle w:val="Compact"/>
      </w:pPr>
      <w:r>
        <w:t xml:space="preserve">国民皆保険としての医療保険、介護保険、年金保険を含む社会保険を説明できる。</w:t>
      </w:r>
    </w:p>
    <w:p>
      <w:pPr>
        <w:numPr>
          <w:ilvl w:val="0"/>
          <w:numId w:val="1067"/>
        </w:numPr>
        <w:pStyle w:val="Compact"/>
      </w:pPr>
      <w:r>
        <w:t xml:space="preserve">障害者の日常生活及び社会生活を総合的に支援するための法律（障害者総合支援法）など障害者福祉を説明できる。</w:t>
      </w:r>
    </w:p>
    <w:bookmarkEnd w:id="114"/>
    <w:bookmarkStart w:id="115" w:name="地域保健"/>
    <w:p>
      <w:pPr>
        <w:pStyle w:val="Heading3"/>
      </w:pPr>
      <w:r>
        <w:t xml:space="preserve">地域保健</w:t>
      </w:r>
    </w:p>
    <w:p>
      <w:pPr>
        <w:numPr>
          <w:ilvl w:val="0"/>
          <w:numId w:val="1068"/>
        </w:numPr>
        <w:pStyle w:val="Compact"/>
      </w:pPr>
      <w:r>
        <w:t xml:space="preserve">保健所・市町村保健センター・地方衛生研究所の役割、地域保健法等、地域保健体制を理解できる。</w:t>
      </w:r>
    </w:p>
    <w:p>
      <w:pPr>
        <w:numPr>
          <w:ilvl w:val="0"/>
          <w:numId w:val="1068"/>
        </w:numPr>
        <w:pStyle w:val="Compact"/>
      </w:pPr>
      <w:r>
        <w:t xml:space="preserve">健康増進法、栄養、身体活動、休養等、健康増進施策を説明できる。</w:t>
      </w:r>
    </w:p>
    <w:p>
      <w:pPr>
        <w:numPr>
          <w:ilvl w:val="0"/>
          <w:numId w:val="1068"/>
        </w:numPr>
        <w:pStyle w:val="Compact"/>
      </w:pPr>
      <w:r>
        <w:t xml:space="preserve">地域保健に関連する基本的な制度や法律を説明できる。</w:t>
      </w:r>
    </w:p>
    <w:bookmarkEnd w:id="115"/>
    <w:bookmarkStart w:id="116" w:name="産業保健環境保健"/>
    <w:p>
      <w:pPr>
        <w:pStyle w:val="Heading3"/>
      </w:pPr>
      <w:r>
        <w:t xml:space="preserve">産業保健・環境保健</w:t>
      </w:r>
    </w:p>
    <w:p>
      <w:pPr>
        <w:numPr>
          <w:ilvl w:val="0"/>
          <w:numId w:val="1069"/>
        </w:numPr>
        <w:pStyle w:val="Compact"/>
      </w:pPr>
      <w:r>
        <w:t xml:space="preserve">産業保健の意義、労働衛生の3管理など、産業保健の基本的な考え方を説明できる。</w:t>
      </w:r>
    </w:p>
    <w:p>
      <w:pPr>
        <w:numPr>
          <w:ilvl w:val="0"/>
          <w:numId w:val="1069"/>
        </w:numPr>
        <w:pStyle w:val="Compact"/>
      </w:pPr>
      <w:r>
        <w:t xml:space="preserve">産業保健・環境保健に関連する基本的な制度や法律を説明できる。</w:t>
      </w:r>
    </w:p>
    <w:p>
      <w:pPr>
        <w:numPr>
          <w:ilvl w:val="0"/>
          <w:numId w:val="1069"/>
        </w:numPr>
        <w:pStyle w:val="Compact"/>
      </w:pPr>
      <w:r>
        <w:t xml:space="preserve">労働災害及び職業性疾病とのその対策を説明できる。</w:t>
      </w:r>
    </w:p>
    <w:p>
      <w:pPr>
        <w:numPr>
          <w:ilvl w:val="0"/>
          <w:numId w:val="1069"/>
        </w:numPr>
        <w:pStyle w:val="Compact"/>
      </w:pPr>
      <w:r>
        <w:t xml:space="preserve">有害物質による産業中毒とその対策を説明できる。</w:t>
      </w:r>
    </w:p>
    <w:bookmarkEnd w:id="116"/>
    <w:bookmarkStart w:id="117" w:name="健康危機管理"/>
    <w:p>
      <w:pPr>
        <w:pStyle w:val="Heading3"/>
      </w:pPr>
      <w:r>
        <w:t xml:space="preserve">健康危機管理</w:t>
      </w:r>
    </w:p>
    <w:p>
      <w:pPr>
        <w:numPr>
          <w:ilvl w:val="0"/>
          <w:numId w:val="1070"/>
        </w:numPr>
        <w:pStyle w:val="Compact"/>
      </w:pPr>
      <w:r>
        <w:t xml:space="preserve">健康危機の概念と種類、それらへの対応(リスクコミュニケーションを含む）を説明できる</w:t>
      </w:r>
    </w:p>
    <w:p>
      <w:pPr>
        <w:numPr>
          <w:ilvl w:val="0"/>
          <w:numId w:val="1070"/>
        </w:numPr>
        <w:pStyle w:val="Compact"/>
      </w:pPr>
      <w:r>
        <w:t xml:space="preserve">健康危機管理（食品感染症、放射線事故、災害などさまざまな有事）に関連する基本的な制度や法律を説明できる。</w:t>
      </w:r>
    </w:p>
    <w:p>
      <w:pPr>
        <w:numPr>
          <w:ilvl w:val="0"/>
          <w:numId w:val="1070"/>
        </w:numPr>
        <w:pStyle w:val="Compact"/>
      </w:pPr>
      <w:r>
        <w:t xml:space="preserve">災害拠点病院、種々の活動チーム等、災害保健医療の意義を理解できる。</w:t>
      </w:r>
    </w:p>
    <w:bookmarkEnd w:id="117"/>
    <w:bookmarkEnd w:id="118"/>
    <w:bookmarkStart w:id="122"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9" w:name="保健統計"/>
    <w:p>
      <w:pPr>
        <w:pStyle w:val="Heading3"/>
      </w:pPr>
      <w:r>
        <w:t xml:space="preserve">保健統計</w:t>
      </w:r>
    </w:p>
    <w:p>
      <w:pPr>
        <w:numPr>
          <w:ilvl w:val="0"/>
          <w:numId w:val="1071"/>
        </w:numPr>
        <w:pStyle w:val="Compact"/>
      </w:pPr>
      <w:r>
        <w:t xml:space="preserve">主な人口統計（人口静態と人口動態）、疾病・障害の分類・統計（ICD等）を説明できる。</w:t>
      </w:r>
    </w:p>
    <w:p>
      <w:pPr>
        <w:numPr>
          <w:ilvl w:val="0"/>
          <w:numId w:val="1071"/>
        </w:numPr>
        <w:pStyle w:val="Compact"/>
      </w:pPr>
      <w:r>
        <w:t xml:space="preserve">平均寿命、健康寿命を説明できる。</w:t>
      </w:r>
    </w:p>
    <w:bookmarkEnd w:id="119"/>
    <w:bookmarkStart w:id="120" w:name="疫学"/>
    <w:p>
      <w:pPr>
        <w:pStyle w:val="Heading3"/>
      </w:pPr>
      <w:r>
        <w:t xml:space="preserve">疫学</w:t>
      </w:r>
    </w:p>
    <w:p>
      <w:pPr>
        <w:numPr>
          <w:ilvl w:val="0"/>
          <w:numId w:val="1072"/>
        </w:numPr>
        <w:pStyle w:val="Compact"/>
      </w:pPr>
      <w:r>
        <w:t xml:space="preserve">疫学の役割を公衆衛生と臨床の視点で説明できる。</w:t>
      </w:r>
    </w:p>
    <w:p>
      <w:pPr>
        <w:numPr>
          <w:ilvl w:val="0"/>
          <w:numId w:val="1072"/>
        </w:numPr>
        <w:pStyle w:val="Compact"/>
      </w:pPr>
      <w:r>
        <w:t xml:space="preserve">割合・比・率の違いを理解し、代表的な疫学指標（有病割合、リスク比、罹患率等）を説明できる。</w:t>
      </w:r>
    </w:p>
    <w:p>
      <w:pPr>
        <w:numPr>
          <w:ilvl w:val="0"/>
          <w:numId w:val="1072"/>
        </w:numPr>
        <w:pStyle w:val="Compact"/>
      </w:pPr>
      <w:r>
        <w:t xml:space="preserve">主なバイアス・交絡を（例をあげて）説明できる。</w:t>
      </w:r>
    </w:p>
    <w:p>
      <w:pPr>
        <w:numPr>
          <w:ilvl w:val="0"/>
          <w:numId w:val="1072"/>
        </w:numPr>
        <w:pStyle w:val="Compact"/>
      </w:pPr>
      <w:r>
        <w:t xml:space="preserve">年齢調整における直接法と間接法の違いを説明できる。</w:t>
      </w:r>
    </w:p>
    <w:p>
      <w:pPr>
        <w:numPr>
          <w:ilvl w:val="0"/>
          <w:numId w:val="1072"/>
        </w:numPr>
        <w:pStyle w:val="Compact"/>
      </w:pPr>
      <w:r>
        <w:t xml:space="preserve">主な疫学の研究デザイン（観察研究［記述研究、横断研究、症例対照研究、コホート研究］、介入研究（ランダム化比較試験等）を説明できる。</w:t>
      </w:r>
    </w:p>
    <w:p>
      <w:pPr>
        <w:numPr>
          <w:ilvl w:val="0"/>
          <w:numId w:val="1072"/>
        </w:numPr>
        <w:pStyle w:val="Compact"/>
      </w:pPr>
      <w:r>
        <w:t xml:space="preserve">急性感染症に特異的な疫学的アプローチを説明できる。</w:t>
      </w:r>
    </w:p>
    <w:p>
      <w:pPr>
        <w:numPr>
          <w:ilvl w:val="0"/>
          <w:numId w:val="1072"/>
        </w:numPr>
        <w:pStyle w:val="Compact"/>
      </w:pPr>
      <w:r>
        <w:t xml:space="preserve">エビデンスの限界を踏まえて、集団に影響する意思決定の重要性を説明できる。</w:t>
      </w:r>
    </w:p>
    <w:bookmarkEnd w:id="120"/>
    <w:bookmarkStart w:id="121" w:name="データ解析と統計手法"/>
    <w:p>
      <w:pPr>
        <w:pStyle w:val="Heading3"/>
      </w:pPr>
      <w:r>
        <w:t xml:space="preserve">データ解析と統計手法</w:t>
      </w:r>
    </w:p>
    <w:p>
      <w:pPr>
        <w:numPr>
          <w:ilvl w:val="0"/>
          <w:numId w:val="1073"/>
        </w:numPr>
        <w:pStyle w:val="Compact"/>
      </w:pPr>
      <w:r>
        <w:t xml:space="preserve">尺度（間隔、比、順序、名義）を説明できる。</w:t>
      </w:r>
    </w:p>
    <w:p>
      <w:pPr>
        <w:numPr>
          <w:ilvl w:val="0"/>
          <w:numId w:val="1073"/>
        </w:numPr>
        <w:pStyle w:val="Compact"/>
      </w:pPr>
      <w:r>
        <w:t xml:space="preserve">データの分布（欠損値を含む）を記述できる。</w:t>
      </w:r>
    </w:p>
    <w:p>
      <w:pPr>
        <w:numPr>
          <w:ilvl w:val="0"/>
          <w:numId w:val="1073"/>
        </w:numPr>
        <w:pStyle w:val="Compact"/>
      </w:pPr>
      <w:r>
        <w:t xml:space="preserve">正規分布の母平均の信頼区間を説明できる。</w:t>
      </w:r>
    </w:p>
    <w:p>
      <w:pPr>
        <w:numPr>
          <w:ilvl w:val="0"/>
          <w:numId w:val="1073"/>
        </w:numPr>
        <w:pStyle w:val="Compact"/>
      </w:pPr>
      <w:r>
        <w:t xml:space="preserve">相関分析、平均値と割合の検定等を実施できる。</w:t>
      </w:r>
    </w:p>
    <w:p>
      <w:pPr>
        <w:numPr>
          <w:ilvl w:val="0"/>
          <w:numId w:val="1073"/>
        </w:numPr>
        <w:pStyle w:val="Compact"/>
      </w:pPr>
      <w:r>
        <w:t xml:space="preserve">多変量解析の意義を説明できる。</w:t>
      </w:r>
    </w:p>
    <w:bookmarkEnd w:id="121"/>
    <w:bookmarkEnd w:id="122"/>
    <w:bookmarkStart w:id="124" w:name="法医学"/>
    <w:p>
      <w:pPr>
        <w:pStyle w:val="Heading2"/>
      </w:pPr>
      <w:r>
        <w:t xml:space="preserve">法医学</w:t>
      </w:r>
    </w:p>
    <w:p>
      <w:pPr>
        <w:pStyle w:val="FirstParagraph"/>
      </w:pPr>
      <w:r>
        <w:t xml:space="preserve">死の判定や死亡診断と死体検案を理解する。</w:t>
      </w:r>
    </w:p>
    <w:bookmarkStart w:id="123" w:name="死と法"/>
    <w:p>
      <w:pPr>
        <w:pStyle w:val="Heading3"/>
      </w:pPr>
      <w:r>
        <w:t xml:space="preserve">死と法</w:t>
      </w:r>
    </w:p>
    <w:p>
      <w:pPr>
        <w:numPr>
          <w:ilvl w:val="0"/>
          <w:numId w:val="1074"/>
        </w:numPr>
        <w:pStyle w:val="Compact"/>
      </w:pPr>
      <w:r>
        <w:t xml:space="preserve">植物状態、脳死、心臓死及び脳死判定を説明できる。</w:t>
      </w:r>
    </w:p>
    <w:p>
      <w:pPr>
        <w:numPr>
          <w:ilvl w:val="0"/>
          <w:numId w:val="1074"/>
        </w:numPr>
        <w:pStyle w:val="Compact"/>
      </w:pPr>
      <w:r>
        <w:t xml:space="preserve">異状死・異状死体の取扱いと死体検案を説明できる。</w:t>
      </w:r>
    </w:p>
    <w:p>
      <w:pPr>
        <w:numPr>
          <w:ilvl w:val="0"/>
          <w:numId w:val="1074"/>
        </w:numPr>
        <w:pStyle w:val="Compact"/>
      </w:pPr>
      <w:r>
        <w:t xml:space="preserve">死亡診断書と死体検案書を作成できる。</w:t>
      </w:r>
    </w:p>
    <w:p>
      <w:pPr>
        <w:numPr>
          <w:ilvl w:val="0"/>
          <w:numId w:val="1074"/>
        </w:numPr>
        <w:pStyle w:val="Compact"/>
      </w:pPr>
      <w:r>
        <w:t xml:space="preserve">個人識別の方法を説明できる。</w:t>
      </w:r>
    </w:p>
    <w:p>
      <w:pPr>
        <w:numPr>
          <w:ilvl w:val="0"/>
          <w:numId w:val="1074"/>
        </w:numPr>
        <w:pStyle w:val="Compact"/>
      </w:pPr>
      <w:r>
        <w:t xml:space="preserve">病理解剖、法医解剖（司法解剖、行政解剖、死因・身元調査法解剖、承諾解剖）を説明できる。</w:t>
      </w:r>
    </w:p>
    <w:bookmarkEnd w:id="123"/>
    <w:bookmarkEnd w:id="124"/>
    <w:bookmarkStart w:id="131"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5" w:name="社会格差と医療"/>
    <w:p>
      <w:pPr>
        <w:pStyle w:val="Heading3"/>
      </w:pPr>
      <w:r>
        <w:t xml:space="preserve">社会格差と医療</w:t>
      </w:r>
    </w:p>
    <w:p>
      <w:pPr>
        <w:numPr>
          <w:ilvl w:val="0"/>
          <w:numId w:val="1075"/>
        </w:numPr>
        <w:pStyle w:val="Compact"/>
      </w:pPr>
      <w:r>
        <w:t xml:space="preserve">社会格差を解消するために社会に対して行動できる</w:t>
      </w:r>
    </w:p>
    <w:bookmarkEnd w:id="125"/>
    <w:bookmarkStart w:id="126" w:name="健康と医療"/>
    <w:p>
      <w:pPr>
        <w:pStyle w:val="Heading3"/>
      </w:pPr>
      <w:r>
        <w:t xml:space="preserve">健康と医療</w:t>
      </w:r>
    </w:p>
    <w:p>
      <w:pPr>
        <w:numPr>
          <w:ilvl w:val="0"/>
          <w:numId w:val="1076"/>
        </w:numPr>
        <w:pStyle w:val="Compact"/>
      </w:pPr>
      <w:r>
        <w:t xml:space="preserve">健康寿命を延ばすために生活者への積極的な働きかけを行うことができる</w:t>
      </w:r>
    </w:p>
    <w:p>
      <w:pPr>
        <w:numPr>
          <w:ilvl w:val="0"/>
          <w:numId w:val="1076"/>
        </w:numPr>
        <w:pStyle w:val="Compact"/>
      </w:pPr>
      <w:r>
        <w:t xml:space="preserve">バリアフリーなどの障害と社会環境に関連する概念を理解した行動をとることができる</w:t>
      </w:r>
    </w:p>
    <w:bookmarkEnd w:id="126"/>
    <w:bookmarkStart w:id="127" w:name="ジェンダーと医療"/>
    <w:p>
      <w:pPr>
        <w:pStyle w:val="Heading3"/>
      </w:pPr>
      <w:r>
        <w:t xml:space="preserve">ジェンダーと医療</w:t>
      </w:r>
    </w:p>
    <w:p>
      <w:pPr>
        <w:numPr>
          <w:ilvl w:val="0"/>
          <w:numId w:val="1077"/>
        </w:numPr>
        <w:pStyle w:val="Compact"/>
      </w:pPr>
      <w:r>
        <w:t xml:space="preserve">女性やLGBTQに対する差別などのジェンダー不平等をなくすために積極的な行動をとることができる</w:t>
      </w:r>
    </w:p>
    <w:bookmarkEnd w:id="127"/>
    <w:bookmarkStart w:id="128" w:name="気候変動と医療"/>
    <w:p>
      <w:pPr>
        <w:pStyle w:val="Heading3"/>
      </w:pPr>
      <w:r>
        <w:t xml:space="preserve">気候変動と医療</w:t>
      </w:r>
    </w:p>
    <w:p>
      <w:pPr>
        <w:numPr>
          <w:ilvl w:val="0"/>
          <w:numId w:val="1078"/>
        </w:numPr>
        <w:pStyle w:val="Compact"/>
      </w:pPr>
      <w:r>
        <w:t xml:space="preserve">気候変動と医療との関係性を理解できる</w:t>
      </w:r>
    </w:p>
    <w:p>
      <w:pPr>
        <w:numPr>
          <w:ilvl w:val="0"/>
          <w:numId w:val="1078"/>
        </w:numPr>
        <w:pStyle w:val="Compact"/>
      </w:pPr>
      <w:r>
        <w:t xml:space="preserve">患者が抱える健康に関する課題と気候変動との関係を想像できる</w:t>
      </w:r>
    </w:p>
    <w:p>
      <w:pPr>
        <w:numPr>
          <w:ilvl w:val="0"/>
          <w:numId w:val="1078"/>
        </w:numPr>
        <w:pStyle w:val="Compact"/>
      </w:pPr>
      <w:r>
        <w:t xml:space="preserve">地球環境が抱える諸課題を認識し、その解決のために行動できる</w:t>
      </w:r>
    </w:p>
    <w:bookmarkEnd w:id="128"/>
    <w:bookmarkStart w:id="129" w:name="哲学倫理と医療"/>
    <w:p>
      <w:pPr>
        <w:pStyle w:val="Heading3"/>
      </w:pPr>
      <w:r>
        <w:t xml:space="preserve">哲学・倫理と医療</w:t>
      </w:r>
    </w:p>
    <w:p>
      <w:pPr>
        <w:numPr>
          <w:ilvl w:val="0"/>
          <w:numId w:val="1079"/>
        </w:numPr>
        <w:pStyle w:val="Compact"/>
      </w:pPr>
      <w:r>
        <w:t xml:space="preserve">現代思想・哲学の語彙を概説することができる</w:t>
      </w:r>
    </w:p>
    <w:p>
      <w:pPr>
        <w:numPr>
          <w:ilvl w:val="0"/>
          <w:numId w:val="1079"/>
        </w:numPr>
        <w:pStyle w:val="Compact"/>
      </w:pPr>
      <w:r>
        <w:t xml:space="preserve">診療現場における倫理的問題について倫理学の考え方に依拠し分析し考えを述べることができる。</w:t>
      </w:r>
    </w:p>
    <w:bookmarkEnd w:id="129"/>
    <w:bookmarkStart w:id="130" w:name="歴史と医学医療"/>
    <w:p>
      <w:pPr>
        <w:pStyle w:val="Heading3"/>
      </w:pPr>
      <w:r>
        <w:t xml:space="preserve">歴史と医学・医療</w:t>
      </w:r>
    </w:p>
    <w:p>
      <w:pPr>
        <w:numPr>
          <w:ilvl w:val="0"/>
          <w:numId w:val="1080"/>
        </w:numPr>
        <w:pStyle w:val="Compact"/>
      </w:pPr>
      <w:r>
        <w:t xml:space="preserve">医学・医療の歴史的変遷を踏まえ現代の医学的問題を相対化できる</w:t>
      </w:r>
    </w:p>
    <w:bookmarkEnd w:id="130"/>
    <w:bookmarkEnd w:id="131"/>
    <w:bookmarkStart w:id="134"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2" w:name="国内の医療職の役割や医療体制"/>
    <w:p>
      <w:pPr>
        <w:pStyle w:val="Heading3"/>
      </w:pPr>
      <w:r>
        <w:t xml:space="preserve">国内の医療職の役割や医療体制</w:t>
      </w:r>
    </w:p>
    <w:p>
      <w:pPr>
        <w:numPr>
          <w:ilvl w:val="0"/>
          <w:numId w:val="1081"/>
        </w:numPr>
        <w:pStyle w:val="Compact"/>
      </w:pPr>
      <w:r>
        <w:t xml:space="preserve">医師法が定める医師の職権と義務を説明できる。</w:t>
      </w:r>
    </w:p>
    <w:p>
      <w:pPr>
        <w:numPr>
          <w:ilvl w:val="0"/>
          <w:numId w:val="1081"/>
        </w:numPr>
        <w:pStyle w:val="Compact"/>
      </w:pPr>
      <w:r>
        <w:t xml:space="preserve">医療職を規定する法律・制度を概説できる。</w:t>
      </w:r>
    </w:p>
    <w:p>
      <w:pPr>
        <w:numPr>
          <w:ilvl w:val="0"/>
          <w:numId w:val="1081"/>
        </w:numPr>
        <w:pStyle w:val="Compact"/>
      </w:pPr>
      <w:r>
        <w:t xml:space="preserve">医療法が定める医療施設を概説できる。</w:t>
      </w:r>
    </w:p>
    <w:p>
      <w:pPr>
        <w:numPr>
          <w:ilvl w:val="0"/>
          <w:numId w:val="1081"/>
        </w:numPr>
        <w:pStyle w:val="Compact"/>
      </w:pPr>
      <w:r>
        <w:t xml:space="preserve">医療計画を説明できる。</w:t>
      </w:r>
    </w:p>
    <w:p>
      <w:pPr>
        <w:numPr>
          <w:ilvl w:val="0"/>
          <w:numId w:val="1081"/>
        </w:numPr>
        <w:pStyle w:val="Compact"/>
      </w:pPr>
      <w:r>
        <w:t xml:space="preserve">地域医療提供体制に関する諸課題の相互関連性を構造的に説明できる。</w:t>
      </w:r>
    </w:p>
    <w:p>
      <w:pPr>
        <w:numPr>
          <w:ilvl w:val="0"/>
          <w:numId w:val="1081"/>
        </w:numPr>
        <w:pStyle w:val="Compact"/>
      </w:pPr>
      <w:r>
        <w:t xml:space="preserve">医療提供体制と医師の働き方について考え方を述べることができる。</w:t>
      </w:r>
    </w:p>
    <w:bookmarkEnd w:id="132"/>
    <w:bookmarkStart w:id="133" w:name="グルーバルヘルスの役割や医療体制"/>
    <w:p>
      <w:pPr>
        <w:pStyle w:val="Heading3"/>
      </w:pPr>
      <w:r>
        <w:t xml:space="preserve">グルーバルヘルスの役割や医療体制</w:t>
      </w:r>
    </w:p>
    <w:p>
      <w:pPr>
        <w:numPr>
          <w:ilvl w:val="0"/>
          <w:numId w:val="1082"/>
        </w:numPr>
        <w:pStyle w:val="Compact"/>
      </w:pPr>
      <w:r>
        <w:t xml:space="preserve">国際的に取り組む必要のある医療・健康課題を歴史・社会的背景を踏まえて、説明できる。</w:t>
      </w:r>
    </w:p>
    <w:p>
      <w:pPr>
        <w:numPr>
          <w:ilvl w:val="0"/>
          <w:numId w:val="1082"/>
        </w:numPr>
        <w:pStyle w:val="Compact"/>
      </w:pPr>
      <w:r>
        <w:t xml:space="preserve">UHC(Universal health</w:t>
      </w:r>
      <w:r>
        <w:t xml:space="preserve"> </w:t>
      </w:r>
      <w:r>
        <w:t xml:space="preserve">coverage)とは何かを概説し、各国の医療制度が抱える問題を例示できる。</w:t>
      </w:r>
    </w:p>
    <w:p>
      <w:pPr>
        <w:numPr>
          <w:ilvl w:val="0"/>
          <w:numId w:val="1082"/>
        </w:numPr>
        <w:pStyle w:val="Compact"/>
      </w:pPr>
      <w:r>
        <w:t xml:space="preserve">保健関連の国連開発目標や国際機関・国際協力に関わる組織・団体について概説できる。</w:t>
      </w:r>
    </w:p>
    <w:bookmarkEnd w:id="133"/>
    <w:bookmarkEnd w:id="134"/>
    <w:bookmarkStart w:id="136"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5" w:name="社会科学と医療との関係"/>
    <w:p>
      <w:pPr>
        <w:pStyle w:val="Heading3"/>
      </w:pPr>
      <w:r>
        <w:t xml:space="preserve">社会科学と医療との関係</w:t>
      </w:r>
    </w:p>
    <w:p>
      <w:pPr>
        <w:numPr>
          <w:ilvl w:val="0"/>
          <w:numId w:val="1083"/>
        </w:numPr>
        <w:pStyle w:val="Compact"/>
      </w:pPr>
      <w:r>
        <w:t xml:space="preserve">日常生活や外来診療・在宅療養・入院・施設入所等において、健康・病気・死の捉え方を探索できる。</w:t>
      </w:r>
    </w:p>
    <w:p>
      <w:pPr>
        <w:numPr>
          <w:ilvl w:val="0"/>
          <w:numId w:val="1083"/>
        </w:numPr>
        <w:pStyle w:val="Compact"/>
      </w:pPr>
      <w:r>
        <w:t xml:space="preserve">時代の流れ、社会の状況や諸制度との関わりのなかで医療に関する諸事象を捉え、構造的に説明できる。</w:t>
      </w:r>
    </w:p>
    <w:p>
      <w:pPr>
        <w:numPr>
          <w:ilvl w:val="0"/>
          <w:numId w:val="1083"/>
        </w:numPr>
        <w:pStyle w:val="Compact"/>
      </w:pPr>
      <w:r>
        <w:t xml:space="preserve">個や集団に及ぼす文化・慣習による影響（コミュニケーションのあり方等）を説明できる。</w:t>
      </w:r>
    </w:p>
    <w:bookmarkEnd w:id="135"/>
    <w:bookmarkEnd w:id="136"/>
    <w:bookmarkEnd w:id="137"/>
    <w:bookmarkStart w:id="141" w:name="別表"/>
    <w:p>
      <w:pPr>
        <w:pStyle w:val="Heading1"/>
      </w:pPr>
      <w:r>
        <w:t xml:space="preserve">別表</w:t>
      </w:r>
    </w:p>
    <w:bookmarkStart w:id="138"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8"/>
    <w:bookmarkStart w:id="139"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9"/>
    <w:bookmarkStart w:id="140"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2022-02-24T17:12:17Z</dcterms:created>
  <dcterms:modified xsi:type="dcterms:W3CDTF">2022-02-24T17:12:17Z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