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患者や社会に対して誠実であるとはどういうことか考え行動することができる。</w:t>
      </w:r>
    </w:p>
    <w:p>
      <w:pPr>
        <w:numPr>
          <w:ilvl w:val="0"/>
          <w:numId w:val="1001"/>
        </w:numPr>
        <w:pStyle w:val="Compact"/>
      </w:pPr>
      <w:r>
        <w:t xml:space="preserve">社会から信頼される専門職集団の一員であるためにはどうすれば良いか考え行動することができる。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自分自身の限界を適切に認識することができる。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わかりやすく正確な説明とはどのようなものか理解し実践することができる。</w:t>
      </w:r>
    </w:p>
    <w:bookmarkEnd w:id="24"/>
    <w:bookmarkStart w:id="25" w:name="自律性の尊重"/>
    <w:p>
      <w:pPr>
        <w:pStyle w:val="Heading3"/>
      </w:pPr>
      <w:r>
        <w:t xml:space="preserve">自律性の尊重</w:t>
      </w:r>
    </w:p>
    <w:p>
      <w:pPr>
        <w:numPr>
          <w:ilvl w:val="0"/>
          <w:numId w:val="1004"/>
        </w:numPr>
        <w:pStyle w:val="Compact"/>
      </w:pPr>
      <w:r>
        <w:t xml:space="preserve">患者が適切に意思決定できるように支援することができる。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他者を適切に理解するための妨げとなる自分や自集団の偏見を認識できる。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2022-02-24T15:08:34Z</dcterms:created>
  <dcterms:modified xsi:type="dcterms:W3CDTF">2022-02-24T15:08:34Z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