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Pr>
      <w:r>
        <w:t xml:space="preserve">医学知識が常に変わりゆくことを認識し、最善の医学情報にアクセスできる。</w:t>
      </w:r>
    </w:p>
    <w:p>
      <w:pPr>
        <w:numPr>
          <w:ilvl w:val="0"/>
          <w:numId w:val="1030"/>
        </w:numPr>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主体的なキャリア形成の必要性を理解し、自己の職業観を涵養する。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後輩や同僚とともに協働学習を実践できる。</w:t>
      </w:r>
    </w:p>
    <w:p>
      <w:pPr>
        <w:numPr>
          <w:ilvl w:val="0"/>
          <w:numId w:val="1032"/>
        </w:numPr>
        <w:pStyle w:val="Compact"/>
      </w:pPr>
      <w:r>
        <w:t xml:space="preserve">後輩や同僚に対して、適切にフィードバックできる。</w:t>
      </w:r>
    </w:p>
    <w:p>
      <w:pPr>
        <w:numPr>
          <w:ilvl w:val="0"/>
          <w:numId w:val="1032"/>
        </w:numPr>
        <w:pStyle w:val="Compact"/>
      </w:pPr>
      <w:r>
        <w:t xml:space="preserve">成人学習理論を基盤に、後輩や同僚の教育を実践できる。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2022-02-16T14:05:21Z</dcterms:created>
  <dcterms:modified xsi:type="dcterms:W3CDTF">2022-02-16T14:05:21Z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