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21" w:name="第2層"/>
    <w:p>
      <w:pPr>
        <w:pStyle w:val="Heading2"/>
      </w:pPr>
      <w:r>
        <w:t xml:space="preserve">(第2層)</w:t>
      </w:r>
    </w:p>
    <w:bookmarkStart w:id="20" w:name="section"/>
    <w:p>
      <w:pPr>
        <w:pStyle w:val="Heading3"/>
      </w:pPr>
    </w:p>
    <w:bookmarkEnd w:id="20"/>
    <w:bookmarkEnd w:id="21"/>
    <w:bookmarkStart w:id="26"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22" w:name="患者のプライバシーへの配慮"/>
    <w:p>
      <w:pPr>
        <w:pStyle w:val="Heading3"/>
      </w:pPr>
      <w:r>
        <w:t xml:space="preserve">患者のプライバシーへの配慮</w:t>
      </w:r>
    </w:p>
    <w:p>
      <w:pPr>
        <w:numPr>
          <w:ilvl w:val="0"/>
          <w:numId w:val="1002"/>
        </w:numPr>
        <w:pStyle w:val="Compact"/>
      </w:pPr>
      <w:r>
        <w:t xml:space="preserve">患者のプライバシーに配慮できる。</w:t>
      </w:r>
    </w:p>
    <w:p>
      <w:pPr>
        <w:numPr>
          <w:ilvl w:val="0"/>
          <w:numId w:val="1002"/>
        </w:numPr>
        <w:pStyle w:val="Compact"/>
      </w:pPr>
      <w:r>
        <w:t xml:space="preserve">患者のプライバシー、羞恥心、苦痛に配慮し、個人情報等を守秘できる。</w:t>
      </w:r>
    </w:p>
    <w:p>
      <w:pPr>
        <w:numPr>
          <w:ilvl w:val="0"/>
          <w:numId w:val="1002"/>
        </w:numPr>
        <w:pStyle w:val="Compact"/>
      </w:pPr>
      <w:r>
        <w:t xml:space="preserve">プライバシー保護とセキュリティーに充分配慮できる。</w:t>
      </w:r>
    </w:p>
    <w:p>
      <w:pPr>
        <w:numPr>
          <w:ilvl w:val="0"/>
          <w:numId w:val="1002"/>
        </w:numPr>
        <w:pStyle w:val="Compact"/>
      </w:pPr>
      <w:r>
        <w:t xml:space="preserve">患者情報の守秘義務と患者等への情報提供の重要性を理解し、適切な取扱いができる。</w:t>
      </w:r>
    </w:p>
    <w:bookmarkEnd w:id="22"/>
    <w:bookmarkStart w:id="23" w:name="患者の立場の尊重と苦痛への配慮"/>
    <w:p>
      <w:pPr>
        <w:pStyle w:val="Heading3"/>
      </w:pPr>
      <w:r>
        <w:t xml:space="preserve">患者の立場の尊重と苦痛への配慮</w:t>
      </w:r>
    </w:p>
    <w:p>
      <w:pPr>
        <w:numPr>
          <w:ilvl w:val="0"/>
          <w:numId w:val="1003"/>
        </w:numPr>
        <w:pStyle w:val="Compact"/>
      </w:pPr>
      <w:r>
        <w:t xml:space="preserve">患者の立場を尊重し、信頼を得ることができる。</w:t>
      </w:r>
    </w:p>
    <w:p>
      <w:pPr>
        <w:numPr>
          <w:ilvl w:val="0"/>
          <w:numId w:val="1003"/>
        </w:numPr>
        <w:pStyle w:val="Compact"/>
      </w:pPr>
      <w:r>
        <w:t xml:space="preserve">患者と家族の精神的・身体的苦痛に十分配慮できる。</w:t>
      </w:r>
    </w:p>
    <w:p>
      <w:pPr>
        <w:numPr>
          <w:ilvl w:val="0"/>
          <w:numId w:val="1003"/>
        </w:numPr>
        <w:pStyle w:val="Compact"/>
      </w:pPr>
      <w:r>
        <w:t xml:space="preserve">患者と家族が感じる放射線特有の精神的・社会的苦痛に対して十分に配慮できる。</w:t>
      </w:r>
    </w:p>
    <w:p>
      <w:pPr>
        <w:numPr>
          <w:ilvl w:val="0"/>
          <w:numId w:val="1003"/>
        </w:numPr>
        <w:pStyle w:val="Compact"/>
      </w:pPr>
      <w:r>
        <w:t xml:space="preserve">患者・家族の話を傾聴し、共感することができる。</w:t>
      </w:r>
    </w:p>
    <w:p>
      <w:pPr>
        <w:numPr>
          <w:ilvl w:val="0"/>
          <w:numId w:val="1003"/>
        </w:numPr>
        <w:pStyle w:val="Compact"/>
      </w:pPr>
      <w:r>
        <w:t xml:space="preserve">患者の安全を重視し、有害事象が生じた場合は適切に対応ができる。</w:t>
      </w:r>
    </w:p>
    <w:p>
      <w:pPr>
        <w:numPr>
          <w:ilvl w:val="0"/>
          <w:numId w:val="1003"/>
        </w:numPr>
        <w:pStyle w:val="Compact"/>
      </w:pPr>
      <w:r>
        <w:t xml:space="preserve">患者に共感的な態度で接することができる</w:t>
      </w:r>
    </w:p>
    <w:bookmarkEnd w:id="23"/>
    <w:bookmarkStart w:id="24" w:name="患者家族への適切なコミュニケーションスキルの活用"/>
    <w:p>
      <w:pPr>
        <w:pStyle w:val="Heading3"/>
      </w:pPr>
      <w:r>
        <w:t xml:space="preserve">患者・家族への適切なコミュニケーションスキルの活用</w:t>
      </w:r>
    </w:p>
    <w:p>
      <w:pPr>
        <w:numPr>
          <w:ilvl w:val="0"/>
          <w:numId w:val="1004"/>
        </w:numPr>
        <w:pStyle w:val="Compact"/>
      </w:pPr>
      <w:r>
        <w:t xml:space="preserve">医療面接における基本的コミュニケーション技法を用いることができる。</w:t>
      </w:r>
    </w:p>
    <w:p>
      <w:pPr>
        <w:numPr>
          <w:ilvl w:val="0"/>
          <w:numId w:val="1004"/>
        </w:numPr>
        <w:pStyle w:val="Compact"/>
      </w:pPr>
      <w:r>
        <w:t xml:space="preserve">コミュニケーションの方法と技能（言語的と非言語的）を説明し、コミュニケーションが態度あるいは行動に及ぼす影響を概説できる。</w:t>
      </w:r>
    </w:p>
    <w:p>
      <w:pPr>
        <w:numPr>
          <w:ilvl w:val="0"/>
          <w:numId w:val="1004"/>
        </w:numPr>
        <w:pStyle w:val="Compact"/>
      </w:pPr>
      <w:r>
        <w:t xml:space="preserve">コミュニケーションを通じて良好な人間関係を築くことができる。</w:t>
      </w:r>
    </w:p>
    <w:p>
      <w:pPr>
        <w:numPr>
          <w:ilvl w:val="0"/>
          <w:numId w:val="1004"/>
        </w:numPr>
        <w:pStyle w:val="Compact"/>
      </w:pPr>
      <w:r>
        <w:t xml:space="preserve">効果的な対人コミュニケーションを説明できる。</w:t>
      </w:r>
    </w:p>
    <w:p>
      <w:pPr>
        <w:numPr>
          <w:ilvl w:val="0"/>
          <w:numId w:val="1004"/>
        </w:numPr>
        <w:pStyle w:val="Compact"/>
      </w:pPr>
      <w:r>
        <w:t xml:space="preserve">話し手と聞き手の役割を説明でき、適切なコミュニケーションスキルが使える。</w:t>
      </w:r>
    </w:p>
    <w:p>
      <w:pPr>
        <w:numPr>
          <w:ilvl w:val="0"/>
          <w:numId w:val="1004"/>
        </w:numPr>
        <w:pStyle w:val="Compact"/>
      </w:pPr>
      <w:r>
        <w:t xml:space="preserve">対人関係にかかわる心理的要因を概説できる。</w:t>
      </w:r>
    </w:p>
    <w:p>
      <w:pPr>
        <w:numPr>
          <w:ilvl w:val="0"/>
          <w:numId w:val="1004"/>
        </w:numPr>
        <w:pStyle w:val="Compact"/>
      </w:pPr>
      <w:r>
        <w:t xml:space="preserve">患者・家族に敬意を持った言葉遣いで接することができる</w:t>
      </w:r>
    </w:p>
    <w:bookmarkEnd w:id="24"/>
    <w:bookmarkStart w:id="25" w:name="非言語コミュニケーションの重要性を理解した実践"/>
    <w:p>
      <w:pPr>
        <w:pStyle w:val="Heading3"/>
      </w:pPr>
      <w:r>
        <w:t xml:space="preserve">非言語コミュニケーションの重要性を理解した実践</w:t>
      </w:r>
    </w:p>
    <w:p>
      <w:pPr>
        <w:numPr>
          <w:ilvl w:val="0"/>
          <w:numId w:val="1005"/>
        </w:numPr>
        <w:pStyle w:val="Compact"/>
      </w:pPr>
      <w:r>
        <w:t xml:space="preserve">患者に接するときの身だしなみに気を配ることができる。</w:t>
      </w:r>
    </w:p>
    <w:p>
      <w:pPr>
        <w:numPr>
          <w:ilvl w:val="0"/>
          <w:numId w:val="1005"/>
        </w:numPr>
        <w:pStyle w:val="Compact"/>
      </w:pPr>
      <w:r>
        <w:t xml:space="preserve">患者に接するときの視線、表情、ジェスチャーに気を配ることができる</w:t>
      </w:r>
    </w:p>
    <w:p>
      <w:pPr>
        <w:numPr>
          <w:ilvl w:val="0"/>
          <w:numId w:val="1005"/>
        </w:numPr>
        <w:pStyle w:val="Compact"/>
      </w:pPr>
      <w:r>
        <w:t xml:space="preserve">患者に接するときに傾聴的態度で接することができる</w:t>
      </w:r>
    </w:p>
    <w:bookmarkEnd w:id="25"/>
    <w:bookmarkEnd w:id="26"/>
    <w:bookmarkStart w:id="31"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27" w:name="インフォームドコンセントの取得"/>
    <w:p>
      <w:pPr>
        <w:pStyle w:val="Heading3"/>
      </w:pPr>
      <w:r>
        <w:t xml:space="preserve">インフォームド・コンセントの取得</w:t>
      </w:r>
    </w:p>
    <w:p>
      <w:pPr>
        <w:numPr>
          <w:ilvl w:val="0"/>
          <w:numId w:val="1006"/>
        </w:numPr>
        <w:pStyle w:val="Compact"/>
      </w:pPr>
      <w:r>
        <w:t xml:space="preserve">インフォームド・コンセントを得る。</w:t>
      </w:r>
    </w:p>
    <w:p>
      <w:pPr>
        <w:numPr>
          <w:ilvl w:val="0"/>
          <w:numId w:val="1006"/>
        </w:numPr>
        <w:pStyle w:val="Compact"/>
      </w:pPr>
      <w:r>
        <w:t xml:space="preserve">治療やマネジメントに関して意思決定するために、患者側と情報共有や摺り合わせをすることができる。</w:t>
      </w:r>
    </w:p>
    <w:p>
      <w:pPr>
        <w:numPr>
          <w:ilvl w:val="0"/>
          <w:numId w:val="1006"/>
        </w:numPr>
        <w:pStyle w:val="Compact"/>
      </w:pPr>
      <w:r>
        <w:t xml:space="preserve">人生の最終段階における医療（エンド・オブ・ライフ・ケア）での患者とのコミュニケーション、頻度の高い苦痛とその対処法・ケアを説明できる。</w:t>
      </w:r>
    </w:p>
    <w:bookmarkEnd w:id="27"/>
    <w:bookmarkStart w:id="28" w:name="患者へのわかりやすい言葉の説明"/>
    <w:p>
      <w:pPr>
        <w:pStyle w:val="Heading3"/>
      </w:pPr>
      <w:r>
        <w:t xml:space="preserve">患者へのわかりやすい言葉の説明</w:t>
      </w:r>
    </w:p>
    <w:p>
      <w:pPr>
        <w:numPr>
          <w:ilvl w:val="0"/>
          <w:numId w:val="1007"/>
        </w:numPr>
        <w:pStyle w:val="Compact"/>
      </w:pPr>
      <w:r>
        <w:t xml:space="preserve">患者の多様性に配慮し分かりやすい言葉で説明できる。(例：高齢者、小児、障害者、外国人←書き方が難しいですが）</w:t>
      </w:r>
    </w:p>
    <w:p>
      <w:pPr>
        <w:numPr>
          <w:ilvl w:val="0"/>
          <w:numId w:val="1007"/>
        </w:numPr>
        <w:pStyle w:val="Compact"/>
      </w:pPr>
      <w:r>
        <w:t xml:space="preserve">患者の漠然とした不安を受け止め、不安を軽減するためにわかりやすい言葉で説明でき、対話ができる。</w:t>
      </w:r>
    </w:p>
    <w:bookmarkEnd w:id="28"/>
    <w:bookmarkStart w:id="29" w:name="患者への行動変容の促し"/>
    <w:p>
      <w:pPr>
        <w:pStyle w:val="Heading3"/>
      </w:pPr>
      <w:r>
        <w:t xml:space="preserve">患者への行動変容の促し</w:t>
      </w:r>
    </w:p>
    <w:p>
      <w:pPr>
        <w:numPr>
          <w:ilvl w:val="0"/>
          <w:numId w:val="1008"/>
        </w:numPr>
        <w:pStyle w:val="Compact"/>
      </w:pPr>
      <w:r>
        <w:t xml:space="preserve">健康行動や行動変容を行う動機付けを概説できる。</w:t>
      </w:r>
    </w:p>
    <w:p>
      <w:pPr>
        <w:numPr>
          <w:ilvl w:val="0"/>
          <w:numId w:val="1008"/>
        </w:numPr>
        <w:pStyle w:val="Compact"/>
      </w:pPr>
      <w:r>
        <w:t xml:space="preserve">生活習慣病における患者支援（自律性支援）や保健指導を概説できる。</w:t>
      </w:r>
    </w:p>
    <w:bookmarkEnd w:id="29"/>
    <w:bookmarkStart w:id="30" w:name="診断仮説に基づいた情報収集の実施"/>
    <w:p>
      <w:pPr>
        <w:pStyle w:val="Heading3"/>
      </w:pPr>
      <w:r>
        <w:t xml:space="preserve">診断仮説に基づいた情報収集の実施</w:t>
      </w:r>
    </w:p>
    <w:p>
      <w:pPr>
        <w:numPr>
          <w:ilvl w:val="0"/>
          <w:numId w:val="1009"/>
        </w:numPr>
        <w:pStyle w:val="Compact"/>
      </w:pPr>
      <w:r>
        <w:t xml:space="preserve">診断仮説を検証するために、診断仮説に基づいた情報収集を実施できる。</w:t>
      </w:r>
    </w:p>
    <w:bookmarkEnd w:id="30"/>
    <w:bookmarkEnd w:id="31"/>
    <w:bookmarkStart w:id="34"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3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10"/>
        </w:numPr>
        <w:pStyle w:val="Compact"/>
      </w:pPr>
      <w:r>
        <w:t xml:space="preserve">家族や地域といった視点をもち、心理・社会的背景により配慮した診療に可能な範囲で参加する。</w:t>
      </w:r>
    </w:p>
    <w:p>
      <w:pPr>
        <w:numPr>
          <w:ilvl w:val="0"/>
          <w:numId w:val="1010"/>
        </w:numPr>
        <w:pStyle w:val="Compact"/>
      </w:pPr>
      <w:r>
        <w:t xml:space="preserve">家族や地域といった視点をもち、保健・医療・福祉・介護との連携を学ぶ。</w:t>
      </w:r>
    </w:p>
    <w:p>
      <w:pPr>
        <w:numPr>
          <w:ilvl w:val="0"/>
          <w:numId w:val="1010"/>
        </w:numPr>
        <w:pStyle w:val="Compact"/>
      </w:pPr>
      <w:r>
        <w:t xml:space="preserve">患者の要望（診察・転医・紹介）への対処の仕方を説明できる。</w:t>
      </w:r>
    </w:p>
    <w:p>
      <w:pPr>
        <w:numPr>
          <w:ilvl w:val="0"/>
          <w:numId w:val="1010"/>
        </w:numPr>
        <w:pStyle w:val="Compact"/>
      </w:pPr>
      <w:r>
        <w:t xml:space="preserve">患者・家族の怒りや悲しみなどの困難な感情を理解し、対応することができる</w:t>
      </w:r>
    </w:p>
    <w:p>
      <w:pPr>
        <w:numPr>
          <w:ilvl w:val="0"/>
          <w:numId w:val="1010"/>
        </w:numPr>
        <w:pStyle w:val="Compact"/>
      </w:pPr>
      <w:r>
        <w:t xml:space="preserve">不確実な状況や医学的に説明困難な症状に配慮した対応ができる。</w:t>
      </w:r>
    </w:p>
    <w:p>
      <w:pPr>
        <w:numPr>
          <w:ilvl w:val="0"/>
          <w:numId w:val="1010"/>
        </w:numPr>
        <w:pStyle w:val="Compact"/>
      </w:pPr>
      <w:r>
        <w:t xml:space="preserve">視覚・聴覚障害などのコミュニケーションが難しい患者に配慮できる</w:t>
      </w:r>
    </w:p>
    <w:p>
      <w:pPr>
        <w:numPr>
          <w:ilvl w:val="0"/>
          <w:numId w:val="1010"/>
        </w:numPr>
        <w:pStyle w:val="Compact"/>
      </w:pPr>
      <w:r>
        <w:t xml:space="preserve">電話やインターネットでの患者診療に対応できる（情報分野か？）</w:t>
      </w:r>
    </w:p>
    <w:bookmarkEnd w:id="32"/>
    <w:bookmarkStart w:id="33" w:name="患者や家族の課題を把握し必要な情報を得ることができる"/>
    <w:p>
      <w:pPr>
        <w:pStyle w:val="Heading3"/>
      </w:pPr>
      <w:r>
        <w:t xml:space="preserve">患者や家族の課題を把握し、必要な情報を得ることができる</w:t>
      </w:r>
    </w:p>
    <w:p>
      <w:pPr>
        <w:numPr>
          <w:ilvl w:val="0"/>
          <w:numId w:val="1011"/>
        </w:numPr>
        <w:pStyle w:val="Compact"/>
      </w:pPr>
      <w:r>
        <w:t xml:space="preserve">患者の心理的及び社会的背景や自立した生活を送るための課題を把握し、抱える問題点を抽出・整理できる。</w:t>
      </w:r>
    </w:p>
    <w:p>
      <w:pPr>
        <w:numPr>
          <w:ilvl w:val="0"/>
          <w:numId w:val="1011"/>
        </w:numPr>
        <w:pStyle w:val="Compact"/>
      </w:pPr>
      <w:r>
        <w:t xml:space="preserve">保護者から必要な情報を得たり対応したりすることに可能な範囲で参加できる。</w:t>
      </w:r>
    </w:p>
    <w:p>
      <w:pPr>
        <w:numPr>
          <w:ilvl w:val="0"/>
          <w:numId w:val="1011"/>
        </w:numPr>
        <w:pStyle w:val="Compact"/>
      </w:pPr>
      <w:r>
        <w:t xml:space="preserve">情報収集には医療面接、身体診察、検査の３つの方法があることを説明できる。</w:t>
      </w:r>
    </w:p>
    <w:bookmarkEnd w:id="33"/>
    <w:bookmarkEnd w:id="34"/>
    <w:bookmarkEnd w:id="35"/>
    <w:bookmarkStart w:id="47"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40"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36" w:name="省察"/>
    <w:p>
      <w:pPr>
        <w:pStyle w:val="Heading3"/>
      </w:pPr>
      <w:r>
        <w:t xml:space="preserve">省察</w:t>
      </w:r>
    </w:p>
    <w:p>
      <w:pPr>
        <w:numPr>
          <w:ilvl w:val="0"/>
          <w:numId w:val="1012"/>
        </w:numPr>
        <w:pStyle w:val="Compact"/>
      </w:pPr>
      <w:r>
        <w:t xml:space="preserve">どのようにすれば自分自身の限界を適切に認識できるか？</w:t>
      </w:r>
    </w:p>
    <w:p>
      <w:pPr>
        <w:numPr>
          <w:ilvl w:val="0"/>
          <w:numId w:val="1012"/>
        </w:numPr>
        <w:pStyle w:val="Compact"/>
      </w:pPr>
      <w:r>
        <w:t xml:space="preserve">他者からのフィードバックを受け入れられるにはどのような心持ちでいればよいか？</w:t>
      </w:r>
    </w:p>
    <w:bookmarkEnd w:id="36"/>
    <w:bookmarkStart w:id="37" w:name="自律性"/>
    <w:p>
      <w:pPr>
        <w:pStyle w:val="Heading3"/>
      </w:pPr>
      <w:r>
        <w:t xml:space="preserve">自律性</w:t>
      </w:r>
    </w:p>
    <w:p>
      <w:pPr>
        <w:numPr>
          <w:ilvl w:val="0"/>
          <w:numId w:val="1013"/>
        </w:numPr>
        <w:pStyle w:val="Compact"/>
      </w:pPr>
      <w:r>
        <w:t xml:space="preserve">患者が適切に意思決定できるようするためにはどのように支援すればよいか？</w:t>
      </w:r>
    </w:p>
    <w:bookmarkEnd w:id="37"/>
    <w:bookmarkStart w:id="38" w:name="誠実さ"/>
    <w:p>
      <w:pPr>
        <w:pStyle w:val="Heading3"/>
      </w:pPr>
      <w:r>
        <w:t xml:space="preserve">誠実さ</w:t>
      </w:r>
    </w:p>
    <w:p>
      <w:pPr>
        <w:numPr>
          <w:ilvl w:val="0"/>
          <w:numId w:val="1014"/>
        </w:numPr>
        <w:pStyle w:val="Compact"/>
      </w:pPr>
      <w:r>
        <w:t xml:space="preserve">どのように行動すれば患者や社会に対して誠実に振る舞えるか？</w:t>
      </w:r>
    </w:p>
    <w:p>
      <w:pPr>
        <w:numPr>
          <w:ilvl w:val="0"/>
          <w:numId w:val="1014"/>
        </w:numPr>
        <w:pStyle w:val="Compact"/>
      </w:pPr>
      <w:r>
        <w:t xml:space="preserve">社会から信頼される専門職集団であるためにはどのように行動すればよいか？</w:t>
      </w:r>
    </w:p>
    <w:p>
      <w:pPr>
        <w:numPr>
          <w:ilvl w:val="0"/>
          <w:numId w:val="1014"/>
        </w:numPr>
        <w:pStyle w:val="Compact"/>
      </w:pPr>
      <w:r>
        <w:t xml:space="preserve">どのように行動すれば守秘義務を遵守できるか？</w:t>
      </w:r>
    </w:p>
    <w:bookmarkEnd w:id="38"/>
    <w:bookmarkStart w:id="39" w:name="説明責任"/>
    <w:p>
      <w:pPr>
        <w:pStyle w:val="Heading3"/>
      </w:pPr>
      <w:r>
        <w:t xml:space="preserve">説明責任</w:t>
      </w:r>
    </w:p>
    <w:p>
      <w:pPr>
        <w:numPr>
          <w:ilvl w:val="0"/>
          <w:numId w:val="1015"/>
        </w:numPr>
        <w:pStyle w:val="Compact"/>
      </w:pPr>
      <w:r>
        <w:t xml:space="preserve">わかりやすく正確な説明を行うにはどのようにすればよいか？</w:t>
      </w:r>
    </w:p>
    <w:bookmarkEnd w:id="39"/>
    <w:bookmarkEnd w:id="40"/>
    <w:bookmarkStart w:id="44"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41" w:name="他者理解と自己理解"/>
    <w:p>
      <w:pPr>
        <w:pStyle w:val="Heading3"/>
      </w:pPr>
      <w:r>
        <w:t xml:space="preserve">他者理解と自己理解</w:t>
      </w:r>
    </w:p>
    <w:p>
      <w:pPr>
        <w:numPr>
          <w:ilvl w:val="0"/>
          <w:numId w:val="1016"/>
        </w:numPr>
        <w:pStyle w:val="Compact"/>
      </w:pPr>
      <w:r>
        <w:t xml:space="preserve">他者を理解するためにはどのようなことを知る必要があるか？</w:t>
      </w:r>
    </w:p>
    <w:p>
      <w:pPr>
        <w:numPr>
          <w:ilvl w:val="0"/>
          <w:numId w:val="1016"/>
        </w:numPr>
        <w:pStyle w:val="Compact"/>
      </w:pPr>
      <w:r>
        <w:t xml:space="preserve">他者を適切に理解するための妨げとなる自分や自集団の偏見とはどのようなものか？</w:t>
      </w:r>
    </w:p>
    <w:bookmarkEnd w:id="41"/>
    <w:bookmarkStart w:id="42" w:name="品格礼儀"/>
    <w:p>
      <w:pPr>
        <w:pStyle w:val="Heading3"/>
      </w:pPr>
      <w:r>
        <w:t xml:space="preserve">品格・礼儀</w:t>
      </w:r>
    </w:p>
    <w:p>
      <w:pPr>
        <w:numPr>
          <w:ilvl w:val="0"/>
          <w:numId w:val="1017"/>
        </w:numPr>
        <w:pStyle w:val="Compact"/>
      </w:pPr>
      <w:r>
        <w:t xml:space="preserve">礼儀正しく振る舞うにはどのように行動すればよいか？</w:t>
      </w:r>
    </w:p>
    <w:p>
      <w:pPr>
        <w:numPr>
          <w:ilvl w:val="0"/>
          <w:numId w:val="1017"/>
        </w:numPr>
        <w:pStyle w:val="Compact"/>
      </w:pPr>
      <w:r>
        <w:t xml:space="preserve">医師に求められる品格とは何か？</w:t>
      </w:r>
    </w:p>
    <w:bookmarkEnd w:id="42"/>
    <w:bookmarkStart w:id="43" w:name="思いやりと利他"/>
    <w:p>
      <w:pPr>
        <w:pStyle w:val="Heading3"/>
      </w:pPr>
      <w:r>
        <w:t xml:space="preserve">思いやりと利他</w:t>
      </w:r>
    </w:p>
    <w:p>
      <w:pPr>
        <w:numPr>
          <w:ilvl w:val="0"/>
          <w:numId w:val="1018"/>
        </w:numPr>
        <w:pStyle w:val="Compact"/>
      </w:pPr>
      <w:r>
        <w:t xml:space="preserve">患者を含めた他者に思いやりをもって接するにはどのように行動すればよいか？</w:t>
      </w:r>
    </w:p>
    <w:p>
      <w:pPr>
        <w:numPr>
          <w:ilvl w:val="0"/>
          <w:numId w:val="1018"/>
        </w:numPr>
        <w:pStyle w:val="Compact"/>
      </w:pPr>
      <w:r>
        <w:t xml:space="preserve">利己と利他をどのように両立させるか？</w:t>
      </w:r>
    </w:p>
    <w:p>
      <w:pPr>
        <w:numPr>
          <w:ilvl w:val="0"/>
          <w:numId w:val="1018"/>
        </w:numPr>
        <w:pStyle w:val="Compact"/>
      </w:pPr>
      <w:r>
        <w:t xml:space="preserve">自分自身の精神的・身体的健康をどのように管理すればよいか？</w:t>
      </w:r>
    </w:p>
    <w:bookmarkEnd w:id="43"/>
    <w:bookmarkEnd w:id="44"/>
    <w:bookmarkStart w:id="46" w:name="社会正義第2層"/>
    <w:p>
      <w:pPr>
        <w:pStyle w:val="Heading2"/>
      </w:pPr>
      <w:r>
        <w:t xml:space="preserve">社会正義(第2層)</w:t>
      </w:r>
    </w:p>
    <w:p>
      <w:pPr>
        <w:pStyle w:val="FirstParagraph"/>
      </w:pPr>
      <w:r>
        <w:t xml:space="preserve">社会的公正を実現する</w:t>
      </w:r>
    </w:p>
    <w:bookmarkStart w:id="45" w:name="医療資源の公平な分配"/>
    <w:p>
      <w:pPr>
        <w:pStyle w:val="Heading3"/>
      </w:pPr>
      <w:r>
        <w:t xml:space="preserve">医療資源の公平な分配</w:t>
      </w:r>
    </w:p>
    <w:p>
      <w:pPr>
        <w:numPr>
          <w:ilvl w:val="0"/>
          <w:numId w:val="1019"/>
        </w:numPr>
        <w:pStyle w:val="Compact"/>
      </w:pPr>
      <w:r>
        <w:t xml:space="preserve">医療資源を公平に分配するにはどのように行動すればよいか？（保留）</w:t>
      </w:r>
    </w:p>
    <w:bookmarkEnd w:id="45"/>
    <w:bookmarkEnd w:id="46"/>
    <w:bookmarkEnd w:id="47"/>
    <w:bookmarkStart w:id="59"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49" w:name="第2層-1"/>
    <w:p>
      <w:pPr>
        <w:pStyle w:val="Heading2"/>
      </w:pPr>
      <w:r>
        <w:t xml:space="preserve">(第2層)</w:t>
      </w:r>
    </w:p>
    <w:bookmarkStart w:id="48" w:name="section-1"/>
    <w:p>
      <w:pPr>
        <w:pStyle w:val="Heading3"/>
      </w:pPr>
    </w:p>
    <w:bookmarkEnd w:id="48"/>
    <w:bookmarkEnd w:id="49"/>
    <w:bookmarkStart w:id="54"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50" w:name="他職種の理解"/>
    <w:p>
      <w:pPr>
        <w:pStyle w:val="Heading3"/>
      </w:pPr>
      <w:r>
        <w:t xml:space="preserve">他職種の理解</w:t>
      </w:r>
    </w:p>
    <w:p>
      <w:pPr>
        <w:numPr>
          <w:ilvl w:val="0"/>
          <w:numId w:val="1021"/>
        </w:numPr>
        <w:pStyle w:val="Compact"/>
      </w:pPr>
      <w:r>
        <w:t xml:space="preserve">他職種の役割を説明できる。</w:t>
      </w:r>
    </w:p>
    <w:p>
      <w:pPr>
        <w:numPr>
          <w:ilvl w:val="0"/>
          <w:numId w:val="1021"/>
        </w:numPr>
        <w:pStyle w:val="Compact"/>
      </w:pPr>
      <w:r>
        <w:t xml:space="preserve">他職種（他学部）の価値観を分析できる。</w:t>
      </w:r>
    </w:p>
    <w:p>
      <w:pPr>
        <w:numPr>
          <w:ilvl w:val="0"/>
          <w:numId w:val="1021"/>
        </w:numPr>
        <w:pStyle w:val="Compact"/>
      </w:pPr>
      <w:r>
        <w:t xml:space="preserve">他職種（他学部）が働く職場環境・学習環境について説明できる。</w:t>
      </w:r>
    </w:p>
    <w:bookmarkEnd w:id="50"/>
    <w:bookmarkStart w:id="51" w:name="職種役割の貢献"/>
    <w:p>
      <w:pPr>
        <w:pStyle w:val="Heading3"/>
      </w:pPr>
      <w:r>
        <w:t xml:space="preserve">職種役割の貢献</w:t>
      </w:r>
    </w:p>
    <w:p>
      <w:pPr>
        <w:numPr>
          <w:ilvl w:val="0"/>
          <w:numId w:val="1022"/>
        </w:numPr>
        <w:pStyle w:val="Compact"/>
      </w:pPr>
      <w:r>
        <w:t xml:space="preserve">自職種（自学部）がもつ一般的な知識や価値観を、他職種（他学部）に伝えられる。</w:t>
      </w:r>
    </w:p>
    <w:p>
      <w:pPr>
        <w:numPr>
          <w:ilvl w:val="0"/>
          <w:numId w:val="1022"/>
        </w:numPr>
        <w:pStyle w:val="Compact"/>
      </w:pPr>
      <w:r>
        <w:t xml:space="preserve">患者・利用者に対して、多職種（多学部）の中で自職種（自学部）の役割を果たせる。</w:t>
      </w:r>
    </w:p>
    <w:p>
      <w:pPr>
        <w:numPr>
          <w:ilvl w:val="0"/>
          <w:numId w:val="1022"/>
        </w:numPr>
        <w:pStyle w:val="Compact"/>
      </w:pPr>
      <w:r>
        <w:t xml:space="preserve">多職種（多学部）から求められる自職種（自学部）の役割を担える。</w:t>
      </w:r>
    </w:p>
    <w:bookmarkEnd w:id="51"/>
    <w:bookmarkStart w:id="52" w:name="自職種の省察"/>
    <w:p>
      <w:pPr>
        <w:pStyle w:val="Heading3"/>
      </w:pPr>
      <w:r>
        <w:t xml:space="preserve">自職種の省察</w:t>
      </w:r>
    </w:p>
    <w:p>
      <w:pPr>
        <w:numPr>
          <w:ilvl w:val="0"/>
          <w:numId w:val="1023"/>
        </w:numPr>
        <w:pStyle w:val="Compact"/>
      </w:pPr>
      <w:r>
        <w:t xml:space="preserve">自職種が持ちやすい価値観を説明できる。</w:t>
      </w:r>
    </w:p>
    <w:p>
      <w:pPr>
        <w:numPr>
          <w:ilvl w:val="0"/>
          <w:numId w:val="1023"/>
        </w:numPr>
        <w:pStyle w:val="Compact"/>
      </w:pPr>
      <w:r>
        <w:t xml:space="preserve">自職種の役割を説明できる。</w:t>
      </w:r>
    </w:p>
    <w:p>
      <w:pPr>
        <w:numPr>
          <w:ilvl w:val="0"/>
          <w:numId w:val="1023"/>
        </w:numPr>
        <w:pStyle w:val="Compact"/>
      </w:pPr>
      <w:r>
        <w:t xml:space="preserve">他職種（他学部）に影響しうる自職種（自学部）の行動を分析できる。</w:t>
      </w:r>
    </w:p>
    <w:bookmarkEnd w:id="52"/>
    <w:bookmarkStart w:id="53" w:name="関係性への働きかけ"/>
    <w:p>
      <w:pPr>
        <w:pStyle w:val="Heading3"/>
      </w:pPr>
      <w:r>
        <w:t xml:space="preserve">関係性への働きかけ</w:t>
      </w:r>
    </w:p>
    <w:p>
      <w:pPr>
        <w:numPr>
          <w:ilvl w:val="0"/>
          <w:numId w:val="1024"/>
        </w:numPr>
        <w:pStyle w:val="Compact"/>
      </w:pPr>
      <w:r>
        <w:t xml:space="preserve">多職種（多学部）と対等な関係を構築できる。</w:t>
      </w:r>
    </w:p>
    <w:p>
      <w:pPr>
        <w:numPr>
          <w:ilvl w:val="0"/>
          <w:numId w:val="1024"/>
        </w:numPr>
        <w:pStyle w:val="Compact"/>
      </w:pPr>
      <w:r>
        <w:t xml:space="preserve">多職種（多学部）と一緒に成長する志を醸成できる。</w:t>
      </w:r>
    </w:p>
    <w:p>
      <w:pPr>
        <w:numPr>
          <w:ilvl w:val="0"/>
          <w:numId w:val="1024"/>
        </w:numPr>
        <w:pStyle w:val="Compact"/>
      </w:pPr>
      <w:r>
        <w:t xml:space="preserve">多職種（多学部）との対人葛藤が起きないようにできる。</w:t>
      </w:r>
    </w:p>
    <w:bookmarkEnd w:id="53"/>
    <w:bookmarkEnd w:id="54"/>
    <w:bookmarkStart w:id="58"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55" w:name="医師間の紹介と相談"/>
    <w:p>
      <w:pPr>
        <w:pStyle w:val="Heading3"/>
      </w:pPr>
      <w:r>
        <w:t xml:space="preserve">医師間の紹介と相談</w:t>
      </w:r>
    </w:p>
    <w:p>
      <w:pPr>
        <w:numPr>
          <w:ilvl w:val="0"/>
          <w:numId w:val="1025"/>
        </w:numPr>
        <w:pStyle w:val="Compact"/>
      </w:pPr>
      <w:r>
        <w:t xml:space="preserve">適切な診断・検査・治療を目指すだけでなく、回避可能な合併症を防ぐために、適切な施設/専門科/医師への紹介あるいは相談ができる。</w:t>
      </w:r>
    </w:p>
    <w:p>
      <w:pPr>
        <w:numPr>
          <w:ilvl w:val="0"/>
          <w:numId w:val="1025"/>
        </w:numPr>
        <w:pStyle w:val="Compact"/>
      </w:pPr>
      <w:r>
        <w:t xml:space="preserve">紹介と相談のプロセスにおいて、患者・家族に予想しうる状況を共有できる。</w:t>
      </w:r>
    </w:p>
    <w:p>
      <w:pPr>
        <w:numPr>
          <w:ilvl w:val="0"/>
          <w:numId w:val="1025"/>
        </w:numPr>
        <w:pStyle w:val="Compact"/>
      </w:pPr>
      <w:r>
        <w:t xml:space="preserve">医師間での患者のケアと責任が継続できるよう、医師間での考えや期待を共有し、医師間の責任を明確にできる。</w:t>
      </w:r>
    </w:p>
    <w:bookmarkEnd w:id="55"/>
    <w:bookmarkStart w:id="56" w:name="患者利用者家族コミュニティ中心"/>
    <w:p>
      <w:pPr>
        <w:pStyle w:val="Heading3"/>
      </w:pPr>
      <w:r>
        <w:t xml:space="preserve">患者・利用者・家族・コミュニティ中心</w:t>
      </w:r>
    </w:p>
    <w:p>
      <w:pPr>
        <w:numPr>
          <w:ilvl w:val="0"/>
          <w:numId w:val="1026"/>
        </w:numPr>
        <w:pStyle w:val="Compact"/>
      </w:pPr>
      <w:r>
        <w:t xml:space="preserve">患者・利用者・家族の価値観や関心事を、多職種(多学部)に伝えられる。</w:t>
      </w:r>
    </w:p>
    <w:p>
      <w:pPr>
        <w:numPr>
          <w:ilvl w:val="0"/>
          <w:numId w:val="1026"/>
        </w:numPr>
        <w:pStyle w:val="Compact"/>
      </w:pPr>
      <w:r>
        <w:t xml:space="preserve">患者・利用者・家族を中心とした治療やケアの目標を多職種(多学部)と話し合うことができる。</w:t>
      </w:r>
    </w:p>
    <w:p>
      <w:pPr>
        <w:numPr>
          <w:ilvl w:val="0"/>
          <w:numId w:val="1026"/>
        </w:numPr>
        <w:pStyle w:val="Compact"/>
      </w:pPr>
      <w:r>
        <w:t xml:space="preserve">患者・利用者・家族に伝えた内容について、治療やケアに関わる多職種(多学部)と共有できる。</w:t>
      </w:r>
    </w:p>
    <w:bookmarkEnd w:id="56"/>
    <w:bookmarkStart w:id="57" w:name="職種間コミュニケーション"/>
    <w:p>
      <w:pPr>
        <w:pStyle w:val="Heading3"/>
      </w:pPr>
      <w:r>
        <w:t xml:space="preserve">職種間コミュニケーション</w:t>
      </w:r>
    </w:p>
    <w:p>
      <w:pPr>
        <w:numPr>
          <w:ilvl w:val="0"/>
          <w:numId w:val="1027"/>
        </w:numPr>
        <w:pStyle w:val="Compact"/>
      </w:pPr>
      <w:r>
        <w:t xml:space="preserve">自職種（自学部）が把握している情報を、多職種（多学部）に伝えられる。</w:t>
      </w:r>
    </w:p>
    <w:p>
      <w:pPr>
        <w:numPr>
          <w:ilvl w:val="0"/>
          <w:numId w:val="1027"/>
        </w:numPr>
        <w:pStyle w:val="Compact"/>
      </w:pPr>
      <w:r>
        <w:t xml:space="preserve">多職種（多学部）の役割や意見を尊重した返答または問いかけができる。（非言語コミュニケーション含む）</w:t>
      </w:r>
    </w:p>
    <w:p>
      <w:pPr>
        <w:numPr>
          <w:ilvl w:val="0"/>
          <w:numId w:val="1027"/>
        </w:numPr>
        <w:pStyle w:val="Compact"/>
      </w:pPr>
      <w:r>
        <w:t xml:space="preserve">自職種（自学部）の見解を、他職種（他学部）にも理解できる言葉で説明できる。</w:t>
      </w:r>
    </w:p>
    <w:bookmarkEnd w:id="57"/>
    <w:bookmarkEnd w:id="58"/>
    <w:bookmarkEnd w:id="59"/>
    <w:bookmarkStart w:id="62"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61" w:name="第2層-2"/>
    <w:p>
      <w:pPr>
        <w:pStyle w:val="Heading2"/>
      </w:pPr>
      <w:r>
        <w:t xml:space="preserve">(第2層)</w:t>
      </w:r>
    </w:p>
    <w:bookmarkStart w:id="60" w:name="section-2"/>
    <w:p>
      <w:pPr>
        <w:pStyle w:val="Heading3"/>
      </w:pPr>
    </w:p>
    <w:bookmarkEnd w:id="60"/>
    <w:bookmarkEnd w:id="61"/>
    <w:bookmarkEnd w:id="62"/>
    <w:bookmarkStart w:id="89"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67"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63" w:name="検査結果"/>
    <w:p>
      <w:pPr>
        <w:pStyle w:val="Heading3"/>
      </w:pPr>
      <w:r>
        <w:t xml:space="preserve">検査結果</w:t>
      </w:r>
    </w:p>
    <w:bookmarkEnd w:id="63"/>
    <w:bookmarkStart w:id="64" w:name="治療経過"/>
    <w:p>
      <w:pPr>
        <w:pStyle w:val="Heading3"/>
      </w:pPr>
      <w:r>
        <w:t xml:space="preserve">治療経過</w:t>
      </w:r>
    </w:p>
    <w:bookmarkEnd w:id="64"/>
    <w:bookmarkStart w:id="65" w:name="病歴"/>
    <w:p>
      <w:pPr>
        <w:pStyle w:val="Heading3"/>
      </w:pPr>
      <w:r>
        <w:t xml:space="preserve">病歴</w:t>
      </w:r>
    </w:p>
    <w:p>
      <w:pPr>
        <w:numPr>
          <w:ilvl w:val="0"/>
          <w:numId w:val="1031"/>
        </w:numPr>
        <w:pStyle w:val="Compact"/>
      </w:pPr>
      <w:r>
        <w:t xml:space="preserve">患者の立場を尊重し、信頼を得ることができる。</w:t>
      </w:r>
    </w:p>
    <w:bookmarkEnd w:id="65"/>
    <w:bookmarkStart w:id="66" w:name="身体所見"/>
    <w:p>
      <w:pPr>
        <w:pStyle w:val="Heading3"/>
      </w:pPr>
      <w:r>
        <w:t xml:space="preserve">身体所見</w:t>
      </w:r>
    </w:p>
    <w:bookmarkEnd w:id="66"/>
    <w:bookmarkEnd w:id="67"/>
    <w:bookmarkStart w:id="75"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68" w:name="カルテ記載"/>
    <w:p>
      <w:pPr>
        <w:pStyle w:val="Heading3"/>
      </w:pPr>
      <w:r>
        <w:t xml:space="preserve">カルテ記載</w:t>
      </w:r>
    </w:p>
    <w:bookmarkEnd w:id="68"/>
    <w:bookmarkStart w:id="69" w:name="教育計画"/>
    <w:p>
      <w:pPr>
        <w:pStyle w:val="Heading3"/>
      </w:pPr>
      <w:r>
        <w:t xml:space="preserve">教育計画</w:t>
      </w:r>
    </w:p>
    <w:bookmarkEnd w:id="69"/>
    <w:bookmarkStart w:id="70" w:name="検査結果分析評価"/>
    <w:p>
      <w:pPr>
        <w:pStyle w:val="Heading3"/>
      </w:pPr>
      <w:r>
        <w:t xml:space="preserve">検査結果分析評価</w:t>
      </w:r>
    </w:p>
    <w:bookmarkEnd w:id="70"/>
    <w:bookmarkStart w:id="71" w:name="検査計画"/>
    <w:p>
      <w:pPr>
        <w:pStyle w:val="Heading3"/>
      </w:pPr>
      <w:r>
        <w:t xml:space="preserve">検査計画</w:t>
      </w:r>
    </w:p>
    <w:bookmarkEnd w:id="71"/>
    <w:bookmarkStart w:id="72" w:name="治療経過分析評価"/>
    <w:p>
      <w:pPr>
        <w:pStyle w:val="Heading3"/>
      </w:pPr>
      <w:r>
        <w:t xml:space="preserve">治療経過分析評価</w:t>
      </w:r>
    </w:p>
    <w:bookmarkEnd w:id="72"/>
    <w:bookmarkStart w:id="73" w:name="治療計画"/>
    <w:p>
      <w:pPr>
        <w:pStyle w:val="Heading3"/>
      </w:pPr>
      <w:r>
        <w:t xml:space="preserve">治療計画</w:t>
      </w:r>
    </w:p>
    <w:bookmarkEnd w:id="73"/>
    <w:bookmarkStart w:id="74" w:name="臨床推論"/>
    <w:p>
      <w:pPr>
        <w:pStyle w:val="Heading3"/>
      </w:pPr>
      <w:r>
        <w:t xml:space="preserve">臨床推論</w:t>
      </w:r>
    </w:p>
    <w:bookmarkEnd w:id="74"/>
    <w:bookmarkEnd w:id="75"/>
    <w:bookmarkStart w:id="83"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76" w:name="初期対応"/>
    <w:p>
      <w:pPr>
        <w:pStyle w:val="Heading3"/>
      </w:pPr>
      <w:r>
        <w:t xml:space="preserve">初期対応</w:t>
      </w:r>
    </w:p>
    <w:bookmarkEnd w:id="76"/>
    <w:bookmarkStart w:id="77" w:name="医師カンファレンス"/>
    <w:p>
      <w:pPr>
        <w:pStyle w:val="Heading3"/>
      </w:pPr>
      <w:r>
        <w:t xml:space="preserve">医師カンファレンス</w:t>
      </w:r>
    </w:p>
    <w:bookmarkEnd w:id="77"/>
    <w:bookmarkStart w:id="78" w:name="患者ケアに必要な連携"/>
    <w:p>
      <w:pPr>
        <w:pStyle w:val="Heading3"/>
      </w:pPr>
      <w:r>
        <w:t xml:space="preserve">患者ケアに必要な連携</w:t>
      </w:r>
    </w:p>
    <w:bookmarkEnd w:id="78"/>
    <w:bookmarkStart w:id="79" w:name="救命処置"/>
    <w:p>
      <w:pPr>
        <w:pStyle w:val="Heading3"/>
      </w:pPr>
      <w:r>
        <w:t xml:space="preserve">救命処置</w:t>
      </w:r>
    </w:p>
    <w:bookmarkEnd w:id="79"/>
    <w:bookmarkStart w:id="80" w:name="書類の作成"/>
    <w:p>
      <w:pPr>
        <w:pStyle w:val="Heading3"/>
      </w:pPr>
      <w:r>
        <w:t xml:space="preserve">書類の作成</w:t>
      </w:r>
    </w:p>
    <w:bookmarkEnd w:id="80"/>
    <w:bookmarkStart w:id="81" w:name="検査手技"/>
    <w:p>
      <w:pPr>
        <w:pStyle w:val="Heading3"/>
      </w:pPr>
      <w:r>
        <w:t xml:space="preserve">検査手技</w:t>
      </w:r>
    </w:p>
    <w:bookmarkEnd w:id="81"/>
    <w:bookmarkStart w:id="82" w:name="治療手技"/>
    <w:p>
      <w:pPr>
        <w:pStyle w:val="Heading3"/>
      </w:pPr>
      <w:r>
        <w:t xml:space="preserve">治療手技</w:t>
      </w:r>
    </w:p>
    <w:bookmarkEnd w:id="82"/>
    <w:bookmarkEnd w:id="83"/>
    <w:bookmarkStart w:id="88"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84" w:name="cpc"/>
    <w:p>
      <w:pPr>
        <w:pStyle w:val="Heading3"/>
      </w:pPr>
      <w:r>
        <w:t xml:space="preserve">CPC</w:t>
      </w:r>
    </w:p>
    <w:bookmarkEnd w:id="84"/>
    <w:bookmarkStart w:id="85" w:name="mm"/>
    <w:p>
      <w:pPr>
        <w:pStyle w:val="Heading3"/>
      </w:pPr>
      <w:r>
        <w:t xml:space="preserve">M&amp;M</w:t>
      </w:r>
    </w:p>
    <w:bookmarkEnd w:id="85"/>
    <w:bookmarkStart w:id="86" w:name="多職種カンファレンス"/>
    <w:p>
      <w:pPr>
        <w:pStyle w:val="Heading3"/>
      </w:pPr>
      <w:r>
        <w:t xml:space="preserve">多職種カンファレンス</w:t>
      </w:r>
    </w:p>
    <w:bookmarkEnd w:id="86"/>
    <w:bookmarkStart w:id="87" w:name="自己省察とメタ認知"/>
    <w:p>
      <w:pPr>
        <w:pStyle w:val="Heading3"/>
      </w:pPr>
      <w:r>
        <w:t xml:space="preserve">自己省察とメタ認知</w:t>
      </w:r>
    </w:p>
    <w:bookmarkEnd w:id="87"/>
    <w:bookmarkEnd w:id="88"/>
    <w:bookmarkEnd w:id="89"/>
    <w:bookmarkStart w:id="101"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91" w:name="第2層-3"/>
    <w:p>
      <w:pPr>
        <w:pStyle w:val="Heading2"/>
      </w:pPr>
      <w:r>
        <w:t xml:space="preserve">(第2層)</w:t>
      </w:r>
    </w:p>
    <w:bookmarkStart w:id="90" w:name="section-3"/>
    <w:p>
      <w:pPr>
        <w:pStyle w:val="Heading3"/>
      </w:pPr>
    </w:p>
    <w:bookmarkEnd w:id="90"/>
    <w:bookmarkEnd w:id="91"/>
    <w:bookmarkStart w:id="94"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92" w:name="情報科学技術の先端知識"/>
    <w:p>
      <w:pPr>
        <w:pStyle w:val="Heading3"/>
      </w:pPr>
      <w:r>
        <w:t xml:space="preserve">情報・科学技術の先端知識</w:t>
      </w:r>
    </w:p>
    <w:p>
      <w:pPr>
        <w:numPr>
          <w:ilvl w:val="0"/>
          <w:numId w:val="105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52"/>
        </w:numPr>
        <w:pStyle w:val="Compact"/>
      </w:pPr>
      <w:r>
        <w:t xml:space="preserve">新たに開発される情報・科学技術に順応し、それらを自身の学び及び医療に活用する習慣を身につける。</w:t>
      </w:r>
    </w:p>
    <w:bookmarkEnd w:id="92"/>
    <w:bookmarkStart w:id="93" w:name="情報科学技術を活用した医療"/>
    <w:p>
      <w:pPr>
        <w:pStyle w:val="Heading3"/>
      </w:pPr>
      <w:r>
        <w:t xml:space="preserve">情報・科学技術を活用した医療</w:t>
      </w:r>
    </w:p>
    <w:p>
      <w:pPr>
        <w:numPr>
          <w:ilvl w:val="0"/>
          <w:numId w:val="1053"/>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53"/>
        </w:numPr>
        <w:pStyle w:val="Compact"/>
      </w:pPr>
      <w:r>
        <w:t xml:space="preserve">情報・科学技術を用いて収集した情報およびデータを適切に分析・総括し、問題解決を図る。</w:t>
      </w:r>
    </w:p>
    <w:bookmarkEnd w:id="93"/>
    <w:bookmarkEnd w:id="94"/>
    <w:bookmarkStart w:id="97"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95" w:name="情報科学技術に向き合うための準備"/>
    <w:p>
      <w:pPr>
        <w:pStyle w:val="Heading3"/>
      </w:pPr>
      <w:r>
        <w:t xml:space="preserve">情報・科学技術に向き合うための準備</w:t>
      </w:r>
    </w:p>
    <w:p>
      <w:pPr>
        <w:numPr>
          <w:ilvl w:val="0"/>
          <w:numId w:val="1054"/>
        </w:numPr>
        <w:pStyle w:val="Compact"/>
      </w:pPr>
      <w:r>
        <w:t xml:space="preserve">情報・科学技術を医療に活用することの重要性と社会的意義を認識する。</w:t>
      </w:r>
    </w:p>
    <w:p>
      <w:pPr>
        <w:numPr>
          <w:ilvl w:val="0"/>
          <w:numId w:val="1054"/>
        </w:numPr>
        <w:pStyle w:val="Compact"/>
      </w:pPr>
      <w:r>
        <w:t xml:space="preserve">医療における情報・科学技術に関連する規制（法律・ガイドラインを含む）を説明できる。</w:t>
      </w:r>
    </w:p>
    <w:p>
      <w:pPr>
        <w:numPr>
          <w:ilvl w:val="0"/>
          <w:numId w:val="1054"/>
        </w:numPr>
        <w:pStyle w:val="Compact"/>
      </w:pPr>
      <w:r>
        <w:t xml:space="preserve">デジタルデバイドによる医療格差や個人情報漏洩など、情報・科学技術を医療に活用するにあたり起こりうる倫理的問題を議論できる。</w:t>
      </w:r>
    </w:p>
    <w:bookmarkEnd w:id="95"/>
    <w:bookmarkStart w:id="96" w:name="情報科学技術利用にあたっての倫理観とルール"/>
    <w:p>
      <w:pPr>
        <w:pStyle w:val="Heading3"/>
      </w:pPr>
      <w:r>
        <w:t xml:space="preserve">情報・科学技術利用にあたっての倫理観とルール</w:t>
      </w:r>
    </w:p>
    <w:p>
      <w:pPr>
        <w:numPr>
          <w:ilvl w:val="0"/>
          <w:numId w:val="1055"/>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55"/>
        </w:numPr>
        <w:pStyle w:val="Compact"/>
      </w:pPr>
      <w:r>
        <w:t xml:space="preserve">ソーシャルメディア（インターネット、SNSなど）などの利用における医療者として相応しい情報発信のあり方を理解できる。</w:t>
      </w:r>
    </w:p>
    <w:bookmarkEnd w:id="96"/>
    <w:bookmarkEnd w:id="97"/>
    <w:bookmarkStart w:id="100"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98" w:name="情報科学技術を活用したコミュニケーションスキル"/>
    <w:p>
      <w:pPr>
        <w:pStyle w:val="Heading3"/>
      </w:pPr>
      <w:r>
        <w:t xml:space="preserve">情報・科学技術を活用したコミュニケーションスキル</w:t>
      </w:r>
    </w:p>
    <w:p>
      <w:pPr>
        <w:numPr>
          <w:ilvl w:val="0"/>
          <w:numId w:val="1056"/>
        </w:numPr>
        <w:pStyle w:val="Compact"/>
      </w:pPr>
      <w:r>
        <w:t xml:space="preserve">電子カルテや診療において曖昧な表現や複数の意味を有する略語を避け、適切な表現、記述(時制など)ができる。</w:t>
      </w:r>
    </w:p>
    <w:p>
      <w:pPr>
        <w:numPr>
          <w:ilvl w:val="0"/>
          <w:numId w:val="1056"/>
        </w:numPr>
        <w:pStyle w:val="Compact"/>
      </w:pPr>
      <w:r>
        <w:t xml:space="preserve">遠隔コミュニケーション（電子メール、テレビ会議システム、SNS）において、適切なコミュニケーションができる</w:t>
      </w:r>
    </w:p>
    <w:bookmarkEnd w:id="98"/>
    <w:bookmarkStart w:id="99" w:name="情報科学技術を活用した学習スキル"/>
    <w:p>
      <w:pPr>
        <w:pStyle w:val="Heading3"/>
      </w:pPr>
      <w:r>
        <w:t xml:space="preserve">情報・科学技術を活用した学習スキル</w:t>
      </w:r>
    </w:p>
    <w:p>
      <w:pPr>
        <w:numPr>
          <w:ilvl w:val="0"/>
          <w:numId w:val="1057"/>
        </w:numPr>
        <w:pStyle w:val="Compact"/>
      </w:pPr>
      <w:r>
        <w:t xml:space="preserve">自己学習や協同学習の場に適切なICT（e-ラーニング、モバイル技術など）を活用できる</w:t>
      </w:r>
    </w:p>
    <w:p>
      <w:pPr>
        <w:numPr>
          <w:ilvl w:val="0"/>
          <w:numId w:val="105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99"/>
    <w:bookmarkEnd w:id="100"/>
    <w:bookmarkEnd w:id="101"/>
    <w:bookmarkStart w:id="111"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105"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102" w:name="医療の質"/>
    <w:p>
      <w:pPr>
        <w:pStyle w:val="Heading3"/>
      </w:pPr>
      <w:r>
        <w:t xml:space="preserve">医療の質</w:t>
      </w:r>
    </w:p>
    <w:p>
      <w:pPr>
        <w:numPr>
          <w:ilvl w:val="0"/>
          <w:numId w:val="1058"/>
        </w:numPr>
        <w:pStyle w:val="Compact"/>
      </w:pPr>
      <w:r>
        <w:t xml:space="preserve">品質改善の手法を用いて医療を改善する</w:t>
      </w:r>
    </w:p>
    <w:bookmarkEnd w:id="102"/>
    <w:bookmarkStart w:id="103" w:name="医療従事者の健康管理"/>
    <w:p>
      <w:pPr>
        <w:pStyle w:val="Heading3"/>
      </w:pPr>
      <w:r>
        <w:t xml:space="preserve">医療従事者の健康管理</w:t>
      </w:r>
    </w:p>
    <w:p>
      <w:pPr>
        <w:numPr>
          <w:ilvl w:val="0"/>
          <w:numId w:val="1059"/>
        </w:numPr>
        <w:pStyle w:val="Compact"/>
      </w:pPr>
      <w:r>
        <w:t xml:space="preserve">医療従事者の健康管理（予防接種を含む）の重要性を説明できる。</w:t>
      </w:r>
    </w:p>
    <w:p>
      <w:pPr>
        <w:numPr>
          <w:ilvl w:val="0"/>
          <w:numId w:val="1059"/>
        </w:numPr>
        <w:pStyle w:val="Compact"/>
      </w:pPr>
      <w:r>
        <w:t xml:space="preserve">標準予防策(standard precautions)の必要性を説明し、実行できる。</w:t>
      </w:r>
    </w:p>
    <w:p>
      <w:pPr>
        <w:numPr>
          <w:ilvl w:val="0"/>
          <w:numId w:val="1059"/>
        </w:numPr>
        <w:pStyle w:val="Compact"/>
      </w:pPr>
      <w:r>
        <w:t xml:space="preserve">医療現場における労働環境の改善の必要性を説明できる。</w:t>
      </w:r>
    </w:p>
    <w:bookmarkEnd w:id="103"/>
    <w:bookmarkStart w:id="104" w:name="患者安全"/>
    <w:p>
      <w:pPr>
        <w:pStyle w:val="Heading3"/>
      </w:pPr>
      <w:r>
        <w:t xml:space="preserve">患者安全</w:t>
      </w:r>
    </w:p>
    <w:p>
      <w:pPr>
        <w:numPr>
          <w:ilvl w:val="0"/>
          <w:numId w:val="1060"/>
        </w:numPr>
        <w:pStyle w:val="Compact"/>
      </w:pPr>
      <w:r>
        <w:t xml:space="preserve">患者安全のための個人および組織におけるリスク管理の重要性を理解する。</w:t>
      </w:r>
    </w:p>
    <w:p>
      <w:pPr>
        <w:numPr>
          <w:ilvl w:val="0"/>
          <w:numId w:val="1060"/>
        </w:numPr>
        <w:pStyle w:val="Compact"/>
      </w:pPr>
      <w:r>
        <w:t xml:space="preserve">医療現場における報告・連絡・相談を実践し、記録の重要性を理解する。</w:t>
      </w:r>
    </w:p>
    <w:p>
      <w:pPr>
        <w:numPr>
          <w:ilvl w:val="0"/>
          <w:numId w:val="1060"/>
        </w:numPr>
        <w:pStyle w:val="Compact"/>
      </w:pPr>
      <w:r>
        <w:t xml:space="preserve">患者や介護者と協働するための情報共有を理解できる</w:t>
      </w:r>
    </w:p>
    <w:p>
      <w:pPr>
        <w:numPr>
          <w:ilvl w:val="0"/>
          <w:numId w:val="1060"/>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60"/>
        </w:numPr>
        <w:pStyle w:val="Compact"/>
      </w:pPr>
      <w:r>
        <w:t xml:space="preserve">患者安全のための管理体制と各々の役割（リスクマネージャー、医療安全管理委員会等）を概説できる</w:t>
      </w:r>
    </w:p>
    <w:p>
      <w:pPr>
        <w:numPr>
          <w:ilvl w:val="0"/>
          <w:numId w:val="1060"/>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104"/>
    <w:bookmarkEnd w:id="105"/>
    <w:bookmarkStart w:id="107"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106" w:name="医療者教育の意義と方略"/>
    <w:p>
      <w:pPr>
        <w:pStyle w:val="Heading3"/>
      </w:pPr>
      <w:r>
        <w:t xml:space="preserve">医療者教育の意義と方略</w:t>
      </w:r>
    </w:p>
    <w:p>
      <w:pPr>
        <w:numPr>
          <w:ilvl w:val="0"/>
          <w:numId w:val="1061"/>
        </w:numPr>
        <w:pStyle w:val="Compact"/>
      </w:pPr>
      <w:r>
        <w:t xml:space="preserve">個人として、チームとして成長するための協働学習を経験する</w:t>
      </w:r>
    </w:p>
    <w:p>
      <w:pPr>
        <w:numPr>
          <w:ilvl w:val="0"/>
          <w:numId w:val="1061"/>
        </w:numPr>
        <w:pStyle w:val="Compact"/>
      </w:pPr>
      <w:r>
        <w:t xml:space="preserve">インストラクショナルデザインの基本的な枠組みを理解し、それを実践できる</w:t>
      </w:r>
    </w:p>
    <w:p>
      <w:pPr>
        <w:numPr>
          <w:ilvl w:val="0"/>
          <w:numId w:val="1061"/>
        </w:numPr>
        <w:pStyle w:val="Compact"/>
      </w:pPr>
      <w:r>
        <w:t xml:space="preserve">フィードバックについての基本的な枠組みを理解し、それを実践できる</w:t>
      </w:r>
    </w:p>
    <w:p>
      <w:pPr>
        <w:numPr>
          <w:ilvl w:val="0"/>
          <w:numId w:val="1061"/>
        </w:numPr>
        <w:pStyle w:val="Compact"/>
      </w:pPr>
      <w:r>
        <w:t xml:space="preserve">成人学習理論の基本的な枠組みを理解し、それを意識した教育を提供できる</w:t>
      </w:r>
    </w:p>
    <w:bookmarkEnd w:id="106"/>
    <w:bookmarkEnd w:id="107"/>
    <w:bookmarkStart w:id="110" w:name="生涯学習第2層"/>
    <w:p>
      <w:pPr>
        <w:pStyle w:val="Heading2"/>
      </w:pPr>
      <w:r>
        <w:t xml:space="preserve">生涯学習(第2層)</w:t>
      </w:r>
    </w:p>
    <w:p>
      <w:pPr>
        <w:pStyle w:val="FirstParagraph"/>
      </w:pPr>
      <w:r>
        <w:t xml:space="preserve">生涯学び続ける価値観を形成する</w:t>
      </w:r>
    </w:p>
    <w:bookmarkStart w:id="108" w:name="キャリア開発"/>
    <w:p>
      <w:pPr>
        <w:pStyle w:val="Heading3"/>
      </w:pPr>
      <w:r>
        <w:t xml:space="preserve">キャリア開発</w:t>
      </w:r>
    </w:p>
    <w:p>
      <w:pPr>
        <w:numPr>
          <w:ilvl w:val="0"/>
          <w:numId w:val="1062"/>
        </w:numPr>
        <w:pStyle w:val="Compact"/>
      </w:pPr>
      <w:r>
        <w:t xml:space="preserve">キャリア開発能力を獲得する。</w:t>
      </w:r>
    </w:p>
    <w:p>
      <w:pPr>
        <w:numPr>
          <w:ilvl w:val="0"/>
          <w:numId w:val="1062"/>
        </w:numPr>
        <w:pStyle w:val="Compact"/>
      </w:pPr>
      <w:r>
        <w:t xml:space="preserve">キャリアステージにより求められる能力に異なるニーズがあることを理解する。</w:t>
      </w:r>
    </w:p>
    <w:bookmarkEnd w:id="108"/>
    <w:bookmarkStart w:id="109" w:name="生涯学習の意義と方略"/>
    <w:p>
      <w:pPr>
        <w:pStyle w:val="Heading3"/>
      </w:pPr>
      <w:r>
        <w:t xml:space="preserve">生涯学習の意義と方略</w:t>
      </w:r>
    </w:p>
    <w:p>
      <w:pPr>
        <w:numPr>
          <w:ilvl w:val="0"/>
          <w:numId w:val="1063"/>
        </w:numPr>
        <w:pStyle w:val="Compact"/>
      </w:pPr>
      <w:r>
        <w:t xml:space="preserve">生涯学習の重要性を説明できる。</w:t>
      </w:r>
    </w:p>
    <w:p>
      <w:pPr>
        <w:numPr>
          <w:ilvl w:val="0"/>
          <w:numId w:val="1063"/>
        </w:numPr>
        <w:pStyle w:val="Compact"/>
      </w:pPr>
      <w:r>
        <w:t xml:space="preserve">生涯にわたる継続的学習に必要な情報を収集できる。</w:t>
      </w:r>
    </w:p>
    <w:bookmarkEnd w:id="109"/>
    <w:bookmarkEnd w:id="110"/>
    <w:bookmarkEnd w:id="111"/>
    <w:bookmarkStart w:id="137"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5"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12" w:name="グルーバルヘルスの役割や医療体制"/>
    <w:p>
      <w:pPr>
        <w:pStyle w:val="Heading3"/>
      </w:pPr>
      <w:r>
        <w:t xml:space="preserve">グルーバルヘルスの役割や医療体制</w:t>
      </w:r>
    </w:p>
    <w:p>
      <w:pPr>
        <w:numPr>
          <w:ilvl w:val="0"/>
          <w:numId w:val="1064"/>
        </w:numPr>
        <w:pStyle w:val="Compact"/>
      </w:pPr>
      <w:r>
        <w:t xml:space="preserve">グローバルヘルス領域での母子に関わる医療・健康問題について挙げることができる</w:t>
      </w:r>
    </w:p>
    <w:p>
      <w:pPr>
        <w:numPr>
          <w:ilvl w:val="0"/>
          <w:numId w:val="1064"/>
        </w:numPr>
        <w:pStyle w:val="Compact"/>
      </w:pPr>
      <w:r>
        <w:t xml:space="preserve">国際的に問題となっている感染症・非感染性疾患とその対策について列挙できる。</w:t>
      </w:r>
    </w:p>
    <w:p>
      <w:pPr>
        <w:numPr>
          <w:ilvl w:val="0"/>
          <w:numId w:val="1064"/>
        </w:numPr>
        <w:pStyle w:val="Compact"/>
      </w:pPr>
      <w:r>
        <w:t xml:space="preserve">UHC(Universal health coverage)とは何かを概説し、各国の医療制度が抱える問題を例示できる</w:t>
      </w:r>
    </w:p>
    <w:p>
      <w:pPr>
        <w:numPr>
          <w:ilvl w:val="0"/>
          <w:numId w:val="1064"/>
        </w:numPr>
        <w:pStyle w:val="Compact"/>
      </w:pPr>
      <w:r>
        <w:t xml:space="preserve">保健関連SDGや国際援助組織について列挙できる</w:t>
      </w:r>
    </w:p>
    <w:bookmarkEnd w:id="112"/>
    <w:bookmarkStart w:id="113" w:name="グルーバルヘルスの役割や医療体制-1"/>
    <w:p>
      <w:pPr>
        <w:pStyle w:val="Heading3"/>
      </w:pPr>
      <w:r>
        <w:t xml:space="preserve">グルーバルヘルスの役割や医療体制</w:t>
      </w:r>
    </w:p>
    <w:p>
      <w:pPr>
        <w:numPr>
          <w:ilvl w:val="0"/>
          <w:numId w:val="1065"/>
        </w:numPr>
        <w:pStyle w:val="Compact"/>
      </w:pPr>
      <w:r>
        <w:t xml:space="preserve">国際的に援助が必要とされる医療・健康課題の歴史・社会的背景を知る</w:t>
      </w:r>
    </w:p>
    <w:bookmarkEnd w:id="113"/>
    <w:bookmarkStart w:id="114" w:name="国内の医療職の役割や医療体制"/>
    <w:p>
      <w:pPr>
        <w:pStyle w:val="Heading3"/>
      </w:pPr>
      <w:r>
        <w:t xml:space="preserve">国内の医療職の役割や医療体制</w:t>
      </w:r>
    </w:p>
    <w:p>
      <w:pPr>
        <w:numPr>
          <w:ilvl w:val="0"/>
          <w:numId w:val="1066"/>
        </w:numPr>
        <w:pStyle w:val="Compact"/>
      </w:pPr>
      <w:r>
        <w:t xml:space="preserve">医師法が定める医師の職権と義務を説明できる</w:t>
      </w:r>
    </w:p>
    <w:p>
      <w:pPr>
        <w:numPr>
          <w:ilvl w:val="0"/>
          <w:numId w:val="1066"/>
        </w:numPr>
        <w:pStyle w:val="Compact"/>
      </w:pPr>
      <w:r>
        <w:t xml:space="preserve">医療職を規定する法律・制度について列挙できる。</w:t>
      </w:r>
    </w:p>
    <w:p>
      <w:pPr>
        <w:numPr>
          <w:ilvl w:val="0"/>
          <w:numId w:val="1066"/>
        </w:numPr>
        <w:pStyle w:val="Compact"/>
      </w:pPr>
      <w:r>
        <w:t xml:space="preserve">医療法が定める医療施設について列挙できる。</w:t>
      </w:r>
    </w:p>
    <w:p>
      <w:pPr>
        <w:numPr>
          <w:ilvl w:val="0"/>
          <w:numId w:val="1066"/>
        </w:numPr>
        <w:pStyle w:val="Compact"/>
      </w:pPr>
      <w:r>
        <w:t xml:space="preserve">地域医療計画について説明できる。</w:t>
      </w:r>
    </w:p>
    <w:bookmarkEnd w:id="114"/>
    <w:bookmarkEnd w:id="115"/>
    <w:bookmarkStart w:id="117" w:name="法医学第2層"/>
    <w:p>
      <w:pPr>
        <w:pStyle w:val="Heading2"/>
      </w:pPr>
      <w:r>
        <w:t xml:space="preserve">法医学(第2層)</w:t>
      </w:r>
    </w:p>
    <w:p>
      <w:pPr>
        <w:pStyle w:val="FirstParagraph"/>
      </w:pPr>
      <w:r>
        <w:t xml:space="preserve">死の判定や死亡診断と死体検案を理解する。</w:t>
      </w:r>
    </w:p>
    <w:bookmarkStart w:id="116" w:name="死と法"/>
    <w:p>
      <w:pPr>
        <w:pStyle w:val="Heading3"/>
      </w:pPr>
      <w:r>
        <w:t xml:space="preserve">死と法</w:t>
      </w:r>
    </w:p>
    <w:p>
      <w:pPr>
        <w:numPr>
          <w:ilvl w:val="0"/>
          <w:numId w:val="1067"/>
        </w:numPr>
        <w:pStyle w:val="Compact"/>
      </w:pPr>
      <w:r>
        <w:t xml:space="preserve">植物状態、脳死、心臓死及び脳死判定を説明できる。</w:t>
      </w:r>
    </w:p>
    <w:p>
      <w:pPr>
        <w:numPr>
          <w:ilvl w:val="0"/>
          <w:numId w:val="1067"/>
        </w:numPr>
        <w:pStyle w:val="Compact"/>
      </w:pPr>
      <w:r>
        <w:t xml:space="preserve">異状死・異状死体の取扱いと死体検案を説明できる。</w:t>
      </w:r>
    </w:p>
    <w:p>
      <w:pPr>
        <w:numPr>
          <w:ilvl w:val="0"/>
          <w:numId w:val="1067"/>
        </w:numPr>
        <w:pStyle w:val="Compact"/>
      </w:pPr>
      <w:r>
        <w:t xml:space="preserve">死亡診断書と死体検案書を作成できる。</w:t>
      </w:r>
    </w:p>
    <w:p>
      <w:pPr>
        <w:numPr>
          <w:ilvl w:val="0"/>
          <w:numId w:val="1067"/>
        </w:numPr>
        <w:pStyle w:val="Compact"/>
      </w:pPr>
      <w:r>
        <w:t xml:space="preserve">個人識別の方法を説明できる。</w:t>
      </w:r>
    </w:p>
    <w:p>
      <w:pPr>
        <w:numPr>
          <w:ilvl w:val="0"/>
          <w:numId w:val="1067"/>
        </w:numPr>
        <w:pStyle w:val="Compact"/>
      </w:pPr>
      <w:r>
        <w:t xml:space="preserve">病理解剖、法医解剖（司法解剖、行政解剖、死因・身元調査法解剖、承諾解剖）を説明できる。</w:t>
      </w:r>
    </w:p>
    <w:bookmarkEnd w:id="116"/>
    <w:bookmarkEnd w:id="117"/>
    <w:bookmarkStart w:id="120"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データ解析と統計手法"/>
    <w:p>
      <w:pPr>
        <w:pStyle w:val="Heading3"/>
      </w:pPr>
      <w:r>
        <w:t xml:space="preserve">データ解析と統計手法</w:t>
      </w:r>
    </w:p>
    <w:p>
      <w:pPr>
        <w:numPr>
          <w:ilvl w:val="0"/>
          <w:numId w:val="1068"/>
        </w:numPr>
        <w:pStyle w:val="Compact"/>
      </w:pPr>
      <w:r>
        <w:t xml:space="preserve">欠測値が生じないようにデータ収集の方法を設計でき、生じた場合はその対応（代入法など）ができる。</w:t>
      </w:r>
    </w:p>
    <w:p>
      <w:pPr>
        <w:numPr>
          <w:ilvl w:val="0"/>
          <w:numId w:val="1068"/>
        </w:numPr>
        <w:pStyle w:val="Compact"/>
      </w:pPr>
      <w:r>
        <w:t xml:space="preserve">データの記述と要約（記述統計含む）ができる。</w:t>
      </w:r>
    </w:p>
    <w:p>
      <w:pPr>
        <w:numPr>
          <w:ilvl w:val="0"/>
          <w:numId w:val="1068"/>
        </w:numPr>
        <w:pStyle w:val="Compact"/>
      </w:pPr>
      <w:r>
        <w:t xml:space="preserve">正規分布の母平均の信頼区間を説明できる。</w:t>
      </w:r>
    </w:p>
    <w:p>
      <w:pPr>
        <w:numPr>
          <w:ilvl w:val="0"/>
          <w:numId w:val="1068"/>
        </w:numPr>
        <w:pStyle w:val="Compact"/>
      </w:pPr>
      <w:r>
        <w:t xml:space="preserve">単変量解析と多変量解析の意義を説明できる。</w:t>
      </w:r>
    </w:p>
    <w:bookmarkEnd w:id="118"/>
    <w:bookmarkStart w:id="119" w:name="疫学"/>
    <w:p>
      <w:pPr>
        <w:pStyle w:val="Heading3"/>
      </w:pPr>
      <w:r>
        <w:t xml:space="preserve">疫学</w:t>
      </w:r>
    </w:p>
    <w:p>
      <w:pPr>
        <w:numPr>
          <w:ilvl w:val="0"/>
          <w:numId w:val="1069"/>
        </w:numPr>
        <w:pStyle w:val="Compact"/>
      </w:pPr>
      <w:r>
        <w:t xml:space="preserve">疫学の概念・定義を説明できる。</w:t>
      </w:r>
    </w:p>
    <w:p>
      <w:pPr>
        <w:numPr>
          <w:ilvl w:val="0"/>
          <w:numId w:val="1069"/>
        </w:numPr>
        <w:pStyle w:val="Compact"/>
      </w:pPr>
      <w:r>
        <w:t xml:space="preserve">公衆衛生と臨床のそれぞれにおける疫学の役割を説明できる。</w:t>
      </w:r>
    </w:p>
    <w:p>
      <w:pPr>
        <w:numPr>
          <w:ilvl w:val="0"/>
          <w:numId w:val="1069"/>
        </w:numPr>
        <w:pStyle w:val="Compact"/>
      </w:pPr>
      <w:r>
        <w:t xml:space="preserve">罹患率と有病割合（率）を説明できる。</w:t>
      </w:r>
    </w:p>
    <w:p>
      <w:pPr>
        <w:numPr>
          <w:ilvl w:val="0"/>
          <w:numId w:val="1069"/>
        </w:numPr>
        <w:pStyle w:val="Compact"/>
      </w:pPr>
      <w:r>
        <w:t xml:space="preserve">代表的な疫学指標を説明できる（リスク、リスク比、リスク差、オッズ比）。</w:t>
      </w:r>
    </w:p>
    <w:p>
      <w:pPr>
        <w:numPr>
          <w:ilvl w:val="0"/>
          <w:numId w:val="1069"/>
        </w:numPr>
        <w:pStyle w:val="Compact"/>
      </w:pPr>
      <w:r>
        <w:t xml:space="preserve">主なバイアスを（例をあげて）説明できる。</w:t>
      </w:r>
    </w:p>
    <w:p>
      <w:pPr>
        <w:numPr>
          <w:ilvl w:val="0"/>
          <w:numId w:val="1069"/>
        </w:numPr>
        <w:pStyle w:val="Compact"/>
      </w:pPr>
      <w:r>
        <w:t xml:space="preserve">交絡を（例をあげて）説明できる。</w:t>
      </w:r>
    </w:p>
    <w:p>
      <w:pPr>
        <w:numPr>
          <w:ilvl w:val="0"/>
          <w:numId w:val="1069"/>
        </w:numPr>
        <w:pStyle w:val="Compact"/>
      </w:pPr>
      <w:r>
        <w:t xml:space="preserve">年齢調整率と標準化死亡比(standardized mortality ratio: SMR）を説明できる。</w:t>
      </w:r>
    </w:p>
    <w:p>
      <w:pPr>
        <w:numPr>
          <w:ilvl w:val="0"/>
          <w:numId w:val="1069"/>
        </w:numPr>
        <w:pStyle w:val="Compact"/>
      </w:pPr>
      <w:r>
        <w:t xml:space="preserve">代表的な疫学研究を（例をあげて）説明できる。</w:t>
      </w:r>
    </w:p>
    <w:p>
      <w:pPr>
        <w:numPr>
          <w:ilvl w:val="0"/>
          <w:numId w:val="1069"/>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069"/>
        </w:numPr>
        <w:pStyle w:val="Compact"/>
      </w:pPr>
      <w:r>
        <w:t xml:space="preserve">感染症の基本再生産数と実効再生産数を説明できる。</w:t>
      </w:r>
    </w:p>
    <w:p>
      <w:pPr>
        <w:numPr>
          <w:ilvl w:val="0"/>
          <w:numId w:val="1069"/>
        </w:numPr>
        <w:pStyle w:val="Compact"/>
      </w:pPr>
      <w:r>
        <w:t xml:space="preserve">流行（エピデミック）および汎世界的流行（パンデミック）を例をあげて説明できる。</w:t>
      </w:r>
    </w:p>
    <w:p>
      <w:pPr>
        <w:numPr>
          <w:ilvl w:val="0"/>
          <w:numId w:val="1069"/>
        </w:numPr>
        <w:pStyle w:val="Compact"/>
      </w:pPr>
      <w:r>
        <w:t xml:space="preserve">集団免疫の意味を述べ、集団免疫閾値について説明できる。</w:t>
      </w:r>
    </w:p>
    <w:p>
      <w:pPr>
        <w:numPr>
          <w:ilvl w:val="0"/>
          <w:numId w:val="1069"/>
        </w:numPr>
        <w:pStyle w:val="Compact"/>
      </w:pPr>
      <w:r>
        <w:t xml:space="preserve">不確実性を含む、限られた情報を評価し、人間の生命や健康を守る意思決定につなげていくには何が必要か考えることができる。</w:t>
      </w:r>
    </w:p>
    <w:bookmarkEnd w:id="119"/>
    <w:bookmarkEnd w:id="120"/>
    <w:bookmarkStart w:id="127"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21" w:name="ジェンダーと医療"/>
    <w:p>
      <w:pPr>
        <w:pStyle w:val="Heading3"/>
      </w:pPr>
      <w:r>
        <w:t xml:space="preserve">ジェンダーと医療</w:t>
      </w:r>
    </w:p>
    <w:p>
      <w:pPr>
        <w:numPr>
          <w:ilvl w:val="0"/>
          <w:numId w:val="1070"/>
        </w:numPr>
        <w:pStyle w:val="Compact"/>
      </w:pPr>
      <w:r>
        <w:t xml:space="preserve">女性やLGBTに対する差別などのジェンダー不平等をなくすために積極的な行動をとることができる</w:t>
      </w:r>
    </w:p>
    <w:bookmarkEnd w:id="121"/>
    <w:bookmarkStart w:id="122" w:name="健康と医療"/>
    <w:p>
      <w:pPr>
        <w:pStyle w:val="Heading3"/>
      </w:pPr>
      <w:r>
        <w:t xml:space="preserve">健康と医療</w:t>
      </w:r>
    </w:p>
    <w:p>
      <w:pPr>
        <w:numPr>
          <w:ilvl w:val="0"/>
          <w:numId w:val="1071"/>
        </w:numPr>
        <w:pStyle w:val="Compact"/>
      </w:pPr>
      <w:r>
        <w:t xml:space="preserve">健康寿命を延ばすために生活者への積極的な働きかけを行うことができる</w:t>
      </w:r>
    </w:p>
    <w:p>
      <w:pPr>
        <w:numPr>
          <w:ilvl w:val="0"/>
          <w:numId w:val="1071"/>
        </w:numPr>
        <w:pStyle w:val="Compact"/>
      </w:pPr>
      <w:r>
        <w:t xml:space="preserve">バリヤフリーなどの障害と社会環境に関連する概念を理解した行動をとることができる</w:t>
      </w:r>
    </w:p>
    <w:bookmarkEnd w:id="122"/>
    <w:bookmarkStart w:id="123" w:name="哲学倫理と医療"/>
    <w:p>
      <w:pPr>
        <w:pStyle w:val="Heading3"/>
      </w:pPr>
      <w:r>
        <w:t xml:space="preserve">哲学・倫理と医療</w:t>
      </w:r>
    </w:p>
    <w:p>
      <w:pPr>
        <w:numPr>
          <w:ilvl w:val="0"/>
          <w:numId w:val="1072"/>
        </w:numPr>
        <w:pStyle w:val="Compact"/>
      </w:pPr>
      <w:r>
        <w:t xml:space="preserve">現代思想・哲学・倫理学の語彙を概説することができる</w:t>
      </w:r>
    </w:p>
    <w:p>
      <w:pPr>
        <w:numPr>
          <w:ilvl w:val="0"/>
          <w:numId w:val="1072"/>
        </w:numPr>
        <w:pStyle w:val="Compact"/>
      </w:pPr>
      <w:r>
        <w:t xml:space="preserve">診療現場における倫理的問題について適切に考えて対応できる</w:t>
      </w:r>
    </w:p>
    <w:bookmarkEnd w:id="123"/>
    <w:bookmarkStart w:id="124" w:name="歴史と医学医療"/>
    <w:p>
      <w:pPr>
        <w:pStyle w:val="Heading3"/>
      </w:pPr>
      <w:r>
        <w:t xml:space="preserve">歴史と医学・医療</w:t>
      </w:r>
    </w:p>
    <w:p>
      <w:pPr>
        <w:numPr>
          <w:ilvl w:val="0"/>
          <w:numId w:val="1073"/>
        </w:numPr>
        <w:pStyle w:val="Compact"/>
      </w:pPr>
      <w:r>
        <w:t xml:space="preserve">医学・医療の歴史的変遷について概説できる。</w:t>
      </w:r>
    </w:p>
    <w:p>
      <w:pPr>
        <w:numPr>
          <w:ilvl w:val="0"/>
          <w:numId w:val="1073"/>
        </w:numPr>
        <w:pStyle w:val="Compact"/>
      </w:pPr>
      <w:r>
        <w:t xml:space="preserve">現代の医学的問題について過去の歴史を用いて相対化できる。</w:t>
      </w:r>
    </w:p>
    <w:bookmarkEnd w:id="124"/>
    <w:bookmarkStart w:id="125" w:name="気候変動と医療"/>
    <w:p>
      <w:pPr>
        <w:pStyle w:val="Heading3"/>
      </w:pPr>
      <w:r>
        <w:t xml:space="preserve">気候変動と医療</w:t>
      </w:r>
    </w:p>
    <w:p>
      <w:pPr>
        <w:numPr>
          <w:ilvl w:val="0"/>
          <w:numId w:val="1074"/>
        </w:numPr>
        <w:pStyle w:val="Compact"/>
      </w:pPr>
      <w:r>
        <w:t xml:space="preserve">気候変動と医療との関係性を理解できる</w:t>
      </w:r>
    </w:p>
    <w:p>
      <w:pPr>
        <w:numPr>
          <w:ilvl w:val="0"/>
          <w:numId w:val="1074"/>
        </w:numPr>
        <w:pStyle w:val="Compact"/>
      </w:pPr>
      <w:r>
        <w:t xml:space="preserve">患者が抱える健康に関する課題と気候変動との関係を想像できる</w:t>
      </w:r>
    </w:p>
    <w:p>
      <w:pPr>
        <w:numPr>
          <w:ilvl w:val="0"/>
          <w:numId w:val="1074"/>
        </w:numPr>
        <w:pStyle w:val="Compact"/>
      </w:pPr>
      <w:r>
        <w:t xml:space="preserve">地球環境が抱える諸課題を認識し、その解決のために行動できる</w:t>
      </w:r>
    </w:p>
    <w:bookmarkEnd w:id="125"/>
    <w:bookmarkStart w:id="126" w:name="社会格差と医療"/>
    <w:p>
      <w:pPr>
        <w:pStyle w:val="Heading3"/>
      </w:pPr>
      <w:r>
        <w:t xml:space="preserve">社会格差と医療</w:t>
      </w:r>
    </w:p>
    <w:p>
      <w:pPr>
        <w:numPr>
          <w:ilvl w:val="0"/>
          <w:numId w:val="1075"/>
        </w:numPr>
        <w:pStyle w:val="Compact"/>
      </w:pPr>
      <w:r>
        <w:t xml:space="preserve">社会的弱者の立場にある患者の代弁者となることができる</w:t>
      </w:r>
    </w:p>
    <w:p>
      <w:pPr>
        <w:numPr>
          <w:ilvl w:val="0"/>
          <w:numId w:val="1075"/>
        </w:numPr>
        <w:pStyle w:val="Compact"/>
      </w:pPr>
      <w:r>
        <w:t xml:space="preserve">社会格差を解消するために社会に対して行動できる</w:t>
      </w:r>
    </w:p>
    <w:bookmarkEnd w:id="126"/>
    <w:bookmarkEnd w:id="127"/>
    <w:bookmarkStart w:id="134"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28" w:name="保健統計"/>
    <w:p>
      <w:pPr>
        <w:pStyle w:val="Heading3"/>
      </w:pP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8"/>
    <w:bookmarkStart w:id="129" w:name="健康危機管理"/>
    <w:p>
      <w:pPr>
        <w:pStyle w:val="Heading3"/>
      </w:pPr>
      <w:r>
        <w:t xml:space="preserve">健康危機管理</w:t>
      </w:r>
    </w:p>
    <w:p>
      <w:pPr>
        <w:numPr>
          <w:ilvl w:val="0"/>
          <w:numId w:val="1077"/>
        </w:numPr>
        <w:pStyle w:val="Compact"/>
      </w:pPr>
      <w:r>
        <w:t xml:space="preserve">健康危機の概念と種類、それらへの対応について説明できる</w:t>
      </w:r>
    </w:p>
    <w:p>
      <w:pPr>
        <w:numPr>
          <w:ilvl w:val="0"/>
          <w:numId w:val="1077"/>
        </w:numPr>
        <w:pStyle w:val="Compact"/>
      </w:pPr>
      <w:r>
        <w:t xml:space="preserve">健康危機時のリスクコミュニケーションについて説明できる。</w:t>
      </w:r>
    </w:p>
    <w:p>
      <w:pPr>
        <w:numPr>
          <w:ilvl w:val="0"/>
          <w:numId w:val="1077"/>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077"/>
        </w:numPr>
        <w:pStyle w:val="Compact"/>
      </w:pPr>
      <w:r>
        <w:t xml:space="preserve">災害対策基本法、災害救助法など、自然災害の対応について説明できる。</w:t>
      </w:r>
    </w:p>
    <w:p>
      <w:pPr>
        <w:numPr>
          <w:ilvl w:val="0"/>
          <w:numId w:val="1077"/>
        </w:numPr>
        <w:pStyle w:val="Compact"/>
      </w:pPr>
      <w:r>
        <w:t xml:space="preserve">災害拠点病院、種々の活動チームなど、災害保健医療 について説明できる。</w:t>
      </w:r>
    </w:p>
    <w:p>
      <w:pPr>
        <w:numPr>
          <w:ilvl w:val="0"/>
          <w:numId w:val="1077"/>
        </w:numPr>
        <w:pStyle w:val="Compact"/>
      </w:pPr>
      <w:r>
        <w:t xml:space="preserve">放射線事故、テロリズム、国民保護法の適用事象など種々の健康危機の種類別の対応について説明できる。</w:t>
      </w:r>
    </w:p>
    <w:bookmarkEnd w:id="129"/>
    <w:bookmarkStart w:id="130" w:name="公衆衛生"/>
    <w:p>
      <w:pPr>
        <w:pStyle w:val="Heading3"/>
      </w:pPr>
      <w:r>
        <w:t xml:space="preserve">公衆衛生</w:t>
      </w:r>
    </w:p>
    <w:p>
      <w:pPr>
        <w:numPr>
          <w:ilvl w:val="0"/>
          <w:numId w:val="1078"/>
        </w:numPr>
        <w:pStyle w:val="Compact"/>
      </w:pPr>
      <w:r>
        <w:t xml:space="preserve">健康 及び公衆衛生の概念について説明できる。</w:t>
      </w:r>
    </w:p>
    <w:p>
      <w:pPr>
        <w:numPr>
          <w:ilvl w:val="0"/>
          <w:numId w:val="1078"/>
        </w:numPr>
        <w:pStyle w:val="Compact"/>
      </w:pPr>
      <w:r>
        <w:t xml:space="preserve">予防の段階と戦略について説明できる。</w:t>
      </w:r>
    </w:p>
    <w:p>
      <w:pPr>
        <w:numPr>
          <w:ilvl w:val="0"/>
          <w:numId w:val="1078"/>
        </w:numPr>
        <w:pStyle w:val="Compact"/>
      </w:pPr>
      <w:r>
        <w:t xml:space="preserve">健康づくり（ヘルスプロモーション）の概念について説明できる。</w:t>
      </w:r>
    </w:p>
    <w:p>
      <w:pPr>
        <w:numPr>
          <w:ilvl w:val="0"/>
          <w:numId w:val="1078"/>
        </w:numPr>
        <w:pStyle w:val="Compact"/>
      </w:pPr>
      <w:r>
        <w:t xml:space="preserve">障害の概念を説明できる。</w:t>
      </w:r>
    </w:p>
    <w:p>
      <w:pPr>
        <w:numPr>
          <w:ilvl w:val="0"/>
          <w:numId w:val="1078"/>
        </w:numPr>
        <w:pStyle w:val="Compact"/>
      </w:pPr>
      <w:r>
        <w:t xml:space="preserve">地域診断、PDCAサイクルなど、公衆衛生の展開方法について説明できる。</w:t>
      </w:r>
    </w:p>
    <w:p>
      <w:pPr>
        <w:numPr>
          <w:ilvl w:val="0"/>
          <w:numId w:val="1078"/>
        </w:numPr>
        <w:pStyle w:val="Compact"/>
      </w:pPr>
      <w:r>
        <w:t xml:space="preserve">ボランティア、NPO、地域共生社会、社会的処方について説明できる予防の段階と戦略について説明できる。</w:t>
      </w:r>
    </w:p>
    <w:bookmarkEnd w:id="130"/>
    <w:bookmarkStart w:id="131" w:name="地域保健"/>
    <w:p>
      <w:pPr>
        <w:pStyle w:val="Heading3"/>
      </w:pPr>
      <w:r>
        <w:t xml:space="preserve">地域保健</w:t>
      </w:r>
    </w:p>
    <w:p>
      <w:pPr>
        <w:numPr>
          <w:ilvl w:val="0"/>
          <w:numId w:val="1079"/>
        </w:numPr>
        <w:pStyle w:val="Compact"/>
      </w:pPr>
      <w:r>
        <w:t xml:space="preserve">保健所・市町村保健センター・地方衛生研究所の役割、地域保健法など、地域保健体制について説明できる。</w:t>
      </w:r>
    </w:p>
    <w:p>
      <w:pPr>
        <w:numPr>
          <w:ilvl w:val="0"/>
          <w:numId w:val="1079"/>
        </w:numPr>
        <w:pStyle w:val="Compact"/>
      </w:pPr>
      <w:r>
        <w:t xml:space="preserve">「国民の健康づくり運動」（健康日本21含む）、健康増進法など、健康増進施策について説明できる。</w:t>
      </w:r>
    </w:p>
    <w:p>
      <w:pPr>
        <w:numPr>
          <w:ilvl w:val="0"/>
          <w:numId w:val="1079"/>
        </w:numPr>
        <w:pStyle w:val="Compact"/>
      </w:pPr>
      <w:r>
        <w:t xml:space="preserve">母子保健法、母体保護法、児童福祉法、児童虐待防止法など、母子保健施策について説明できる。</w:t>
      </w:r>
    </w:p>
    <w:p>
      <w:pPr>
        <w:numPr>
          <w:ilvl w:val="0"/>
          <w:numId w:val="1079"/>
        </w:numPr>
        <w:pStyle w:val="Compact"/>
      </w:pPr>
      <w:r>
        <w:t xml:space="preserve">学校医、学校感染症、学校保健安全法など、学校保健について説明できる。</w:t>
      </w:r>
    </w:p>
    <w:p>
      <w:pPr>
        <w:numPr>
          <w:ilvl w:val="0"/>
          <w:numId w:val="1079"/>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079"/>
        </w:numPr>
        <w:pStyle w:val="Compact"/>
      </w:pPr>
      <w:r>
        <w:t xml:space="preserve">がん対策基本法、がん登録等の推進に関する法律など、がん対策について説明できる。</w:t>
      </w:r>
    </w:p>
    <w:p>
      <w:pPr>
        <w:numPr>
          <w:ilvl w:val="0"/>
          <w:numId w:val="1079"/>
        </w:numPr>
        <w:pStyle w:val="Compact"/>
      </w:pPr>
      <w:r>
        <w:t xml:space="preserve">栄養摂取基準、保健機能食品、食育基本法など、栄養施策について説明できる。</w:t>
      </w:r>
    </w:p>
    <w:p>
      <w:pPr>
        <w:numPr>
          <w:ilvl w:val="0"/>
          <w:numId w:val="1079"/>
        </w:numPr>
        <w:pStyle w:val="Compact"/>
      </w:pPr>
      <w:r>
        <w:t xml:space="preserve">精神保健福祉法、自殺対策基本法など、精神衛生・心の健康に関する施策について説明できる。</w:t>
      </w:r>
    </w:p>
    <w:p>
      <w:pPr>
        <w:numPr>
          <w:ilvl w:val="0"/>
          <w:numId w:val="1079"/>
        </w:numPr>
        <w:pStyle w:val="Compact"/>
      </w:pPr>
      <w:r>
        <w:t xml:space="preserve">障害者の日常生活及び社会生活を総合的に支援するための法律（障害者総合支援法）など障がい者福祉について説明できる。</w:t>
      </w:r>
    </w:p>
    <w:p>
      <w:pPr>
        <w:numPr>
          <w:ilvl w:val="0"/>
          <w:numId w:val="1079"/>
        </w:numPr>
        <w:pStyle w:val="Compact"/>
      </w:pPr>
      <w:r>
        <w:t xml:space="preserve">8020、フッ化物の利用、全身の健康との関連など、歯科保健施策について説明できる。</w:t>
      </w:r>
    </w:p>
    <w:p>
      <w:pPr>
        <w:numPr>
          <w:ilvl w:val="0"/>
          <w:numId w:val="1079"/>
        </w:numPr>
        <w:pStyle w:val="Compact"/>
      </w:pPr>
      <w:r>
        <w:t xml:space="preserve">食品衛生法、食品営業、食中毒の状況など、食品衛生施策について説明できる。</w:t>
      </w:r>
    </w:p>
    <w:p>
      <w:pPr>
        <w:numPr>
          <w:ilvl w:val="0"/>
          <w:numId w:val="1079"/>
        </w:numPr>
        <w:pStyle w:val="Compact"/>
      </w:pPr>
      <w:r>
        <w:t xml:space="preserve">水道、建築物における衛生的環境の確保に関する法律（建築物衛生法）、住宅環境など、生活環境衛生施策について説明できる。</w:t>
      </w:r>
    </w:p>
    <w:p>
      <w:pPr>
        <w:numPr>
          <w:ilvl w:val="0"/>
          <w:numId w:val="1079"/>
        </w:numPr>
        <w:pStyle w:val="Compact"/>
      </w:pPr>
      <w:r>
        <w:t xml:space="preserve">環境基本法、公害、廃棄物の処理及び清掃に関する法律（廃棄物処理法）など、環境保全施策について説明できる。</w:t>
      </w:r>
    </w:p>
    <w:p>
      <w:pPr>
        <w:numPr>
          <w:ilvl w:val="0"/>
          <w:numId w:val="1079"/>
        </w:numPr>
        <w:pStyle w:val="Compact"/>
      </w:pPr>
      <w:r>
        <w:t xml:space="preserve">地域職域連携、健康経営など、産業保健との連携について説明できる。</w:t>
      </w:r>
    </w:p>
    <w:bookmarkEnd w:id="131"/>
    <w:bookmarkStart w:id="132" w:name="産業保健"/>
    <w:p>
      <w:pPr>
        <w:pStyle w:val="Heading3"/>
      </w:pPr>
      <w:r>
        <w:t xml:space="preserve">産業保健</w:t>
      </w:r>
    </w:p>
    <w:p>
      <w:pPr>
        <w:numPr>
          <w:ilvl w:val="0"/>
          <w:numId w:val="1080"/>
        </w:numPr>
        <w:pStyle w:val="Compact"/>
      </w:pPr>
      <w:r>
        <w:t xml:space="preserve">産業保健の意義、労働衛生の3管理など、産業保健の基本的な考え方について説明できる。</w:t>
      </w:r>
    </w:p>
    <w:p>
      <w:pPr>
        <w:numPr>
          <w:ilvl w:val="0"/>
          <w:numId w:val="1080"/>
        </w:numPr>
        <w:pStyle w:val="Compact"/>
      </w:pPr>
      <w:r>
        <w:t xml:space="preserve">産業医の選任義務、労働安全衛生法、労働基準法など、産業保健の基本的な法令について説明できる。</w:t>
      </w:r>
    </w:p>
    <w:p>
      <w:pPr>
        <w:numPr>
          <w:ilvl w:val="0"/>
          <w:numId w:val="1080"/>
        </w:numPr>
        <w:pStyle w:val="Compact"/>
      </w:pPr>
      <w:r>
        <w:t xml:space="preserve">労働災害及び職業性疾病とのその対策について説明できる。</w:t>
      </w:r>
    </w:p>
    <w:p>
      <w:pPr>
        <w:numPr>
          <w:ilvl w:val="0"/>
          <w:numId w:val="1080"/>
        </w:numPr>
        <w:pStyle w:val="Compact"/>
      </w:pPr>
      <w:r>
        <w:t xml:space="preserve">有害物質による産業中毒とその対策について説明できる。</w:t>
      </w:r>
    </w:p>
    <w:bookmarkEnd w:id="132"/>
    <w:bookmarkStart w:id="133" w:name="社会保険公的扶助社会福祉"/>
    <w:p>
      <w:pPr>
        <w:pStyle w:val="Heading3"/>
      </w:pPr>
      <w:r>
        <w:t xml:space="preserve">社会保険、公的扶助、社会福祉</w:t>
      </w:r>
    </w:p>
    <w:p>
      <w:pPr>
        <w:numPr>
          <w:ilvl w:val="0"/>
          <w:numId w:val="1081"/>
        </w:numPr>
        <w:pStyle w:val="Compact"/>
      </w:pPr>
      <w:r>
        <w:t xml:space="preserve">生存権などの健康に関する基本的人権と社会保障について説明できる。</w:t>
      </w:r>
    </w:p>
    <w:p>
      <w:pPr>
        <w:numPr>
          <w:ilvl w:val="0"/>
          <w:numId w:val="1081"/>
        </w:numPr>
        <w:pStyle w:val="Compact"/>
      </w:pPr>
      <w:r>
        <w:t xml:space="preserve">国民皆保険としての社会保険（医療保険、介護保険）と診療報酬・介護報酬の制度について説明できる。</w:t>
      </w:r>
    </w:p>
    <w:p>
      <w:pPr>
        <w:numPr>
          <w:ilvl w:val="0"/>
          <w:numId w:val="1081"/>
        </w:numPr>
        <w:pStyle w:val="Compact"/>
      </w:pPr>
      <w:r>
        <w:t xml:space="preserve">公的扶助、社会福祉について説明できる。</w:t>
      </w:r>
    </w:p>
    <w:bookmarkEnd w:id="133"/>
    <w:bookmarkEnd w:id="134"/>
    <w:bookmarkStart w:id="136"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2"/>
        </w:numPr>
        <w:pStyle w:val="Compact"/>
      </w:pPr>
      <w:r>
        <w:t xml:space="preserve">社会科学（主に医療人類学や医療社会学）の基本的な視点・方法・理論を用いることができる</w:t>
      </w:r>
    </w:p>
    <w:p>
      <w:pPr>
        <w:numPr>
          <w:ilvl w:val="0"/>
          <w:numId w:val="1082"/>
        </w:numPr>
        <w:pStyle w:val="Compact"/>
      </w:pPr>
      <w:r>
        <w:t xml:space="preserve">医療に関する諸事象をシステム論の観点から社会の諸制度との関わりのなかで捉え、構造的に説明できる</w:t>
      </w:r>
    </w:p>
    <w:p>
      <w:pPr>
        <w:numPr>
          <w:ilvl w:val="0"/>
          <w:numId w:val="1082"/>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35"/>
    <w:bookmarkEnd w:id="136"/>
    <w:bookmarkEnd w:id="137"/>
    <w:bookmarkStart w:id="140"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139" w:name="第2層-4"/>
    <w:p>
      <w:pPr>
        <w:pStyle w:val="Heading2"/>
      </w:pPr>
      <w:r>
        <w:t xml:space="preserve">(第2層)</w:t>
      </w:r>
    </w:p>
    <w:bookmarkStart w:id="138" w:name="section-4"/>
    <w:p>
      <w:pPr>
        <w:pStyle w:val="Heading3"/>
      </w:pPr>
    </w:p>
    <w:bookmarkEnd w:id="138"/>
    <w:bookmarkEnd w:id="139"/>
    <w:bookmarkEnd w:id="140"/>
    <w:bookmarkStart w:id="16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142" w:name="第2層-5"/>
    <w:p>
      <w:pPr>
        <w:pStyle w:val="Heading2"/>
      </w:pPr>
      <w:r>
        <w:t xml:space="preserve">(第2層)</w:t>
      </w:r>
    </w:p>
    <w:bookmarkStart w:id="141" w:name="section-5"/>
    <w:p>
      <w:pPr>
        <w:pStyle w:val="Heading3"/>
      </w:pPr>
    </w:p>
    <w:bookmarkEnd w:id="141"/>
    <w:bookmarkEnd w:id="142"/>
    <w:bookmarkStart w:id="1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143" w:name="人生のプロセス"/>
    <w:p>
      <w:pPr>
        <w:pStyle w:val="Heading3"/>
      </w:pPr>
      <w:r>
        <w:t xml:space="preserve">人生のプロセス</w:t>
      </w:r>
    </w:p>
    <w:p>
      <w:pPr>
        <w:numPr>
          <w:ilvl w:val="0"/>
          <w:numId w:val="1085"/>
        </w:numPr>
        <w:pStyle w:val="Compact"/>
      </w:pPr>
      <w:r>
        <w:t xml:space="preserve">ライフサイクル(胎児期・幼児期・小児期・思春期・青年期・老年期・終末期)の視点で、個別の事例を分析できる。</w:t>
      </w:r>
    </w:p>
    <w:p>
      <w:pPr>
        <w:numPr>
          <w:ilvl w:val="0"/>
          <w:numId w:val="1085"/>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85"/>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143"/>
    <w:bookmarkStart w:id="144" w:name="小児期"/>
    <w:p>
      <w:pPr>
        <w:pStyle w:val="Heading3"/>
      </w:pPr>
      <w:r>
        <w:t xml:space="preserve">小児期</w:t>
      </w:r>
    </w:p>
    <w:p>
      <w:pPr>
        <w:numPr>
          <w:ilvl w:val="0"/>
          <w:numId w:val="1086"/>
        </w:numPr>
        <w:pStyle w:val="Compact"/>
      </w:pPr>
      <w:r>
        <w:t xml:space="preserve">小児期の生理機能の発達の知識を活用して、個別の事例を分析できる。</w:t>
      </w:r>
    </w:p>
    <w:p>
      <w:pPr>
        <w:numPr>
          <w:ilvl w:val="0"/>
          <w:numId w:val="1086"/>
        </w:numPr>
        <w:pStyle w:val="Compact"/>
      </w:pPr>
      <w:r>
        <w:t xml:space="preserve">小児期の正常な精神運動発達の知識を活用して、個別の事例を分析できる。</w:t>
      </w:r>
    </w:p>
    <w:p>
      <w:pPr>
        <w:numPr>
          <w:ilvl w:val="0"/>
          <w:numId w:val="1086"/>
        </w:numPr>
        <w:pStyle w:val="Compact"/>
      </w:pPr>
      <w:r>
        <w:t xml:space="preserve">小児期の愛着形成や保育法・栄養法の基本の知識を活用して、個別の事例を分析できる。</w:t>
      </w:r>
    </w:p>
    <w:p>
      <w:pPr>
        <w:numPr>
          <w:ilvl w:val="0"/>
          <w:numId w:val="1086"/>
        </w:numPr>
        <w:pStyle w:val="Compact"/>
      </w:pPr>
      <w:r>
        <w:t xml:space="preserve">小児期の栄養面での特性や食育の基本の知識を活用して、個別の事例を分析できる。</w:t>
      </w:r>
    </w:p>
    <w:p>
      <w:pPr>
        <w:numPr>
          <w:ilvl w:val="0"/>
          <w:numId w:val="1086"/>
        </w:numPr>
        <w:pStyle w:val="Compact"/>
      </w:pPr>
      <w:r>
        <w:t xml:space="preserve">小児期の免疫発達と感染症の関係の知識を活用して、個別の事例を分析できる。</w:t>
      </w:r>
    </w:p>
    <w:p>
      <w:pPr>
        <w:numPr>
          <w:ilvl w:val="0"/>
          <w:numId w:val="1086"/>
        </w:numPr>
        <w:pStyle w:val="Compact"/>
      </w:pPr>
      <w:r>
        <w:t xml:space="preserve">小児保健における予防接種の意義と内容を説明できる。</w:t>
      </w:r>
    </w:p>
    <w:p>
      <w:pPr>
        <w:numPr>
          <w:ilvl w:val="0"/>
          <w:numId w:val="1086"/>
        </w:numPr>
        <w:pStyle w:val="Compact"/>
      </w:pPr>
      <w:r>
        <w:t xml:space="preserve">児童虐待・ネグレクトの知識を活用して、個別の事例を分析できる。</w:t>
      </w:r>
    </w:p>
    <w:bookmarkEnd w:id="144"/>
    <w:bookmarkStart w:id="145" w:name="終末期"/>
    <w:p>
      <w:pPr>
        <w:pStyle w:val="Heading3"/>
      </w:pPr>
      <w:r>
        <w:t xml:space="preserve">終末期</w:t>
      </w:r>
    </w:p>
    <w:p>
      <w:pPr>
        <w:numPr>
          <w:ilvl w:val="0"/>
          <w:numId w:val="1087"/>
        </w:numPr>
        <w:pStyle w:val="Compact"/>
      </w:pPr>
      <w:r>
        <w:t xml:space="preserve">死に至る身体と心の過程の知識を活用して、個別の事例を分析できる。</w:t>
      </w:r>
    </w:p>
    <w:p>
      <w:pPr>
        <w:numPr>
          <w:ilvl w:val="0"/>
          <w:numId w:val="1087"/>
        </w:numPr>
        <w:pStyle w:val="Compact"/>
      </w:pPr>
      <w:r>
        <w:t xml:space="preserve">死に至る患者や家族の個別の事例における身体と心の変化、死生観に配慮できる。</w:t>
      </w:r>
    </w:p>
    <w:p>
      <w:pPr>
        <w:numPr>
          <w:ilvl w:val="0"/>
          <w:numId w:val="1087"/>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87"/>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87"/>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87"/>
        </w:numPr>
        <w:pStyle w:val="Compact"/>
      </w:pPr>
      <w:r>
        <w:t xml:space="preserve">患者の死後の家族ケア（悲観のケア（グリーフケア））の知識を活用して、個別の事例を分析できる。</w:t>
      </w:r>
    </w:p>
    <w:bookmarkEnd w:id="145"/>
    <w:bookmarkStart w:id="146" w:name="老年期"/>
    <w:p>
      <w:pPr>
        <w:pStyle w:val="Heading3"/>
      </w:pPr>
      <w:r>
        <w:t xml:space="preserve">老年期</w:t>
      </w:r>
    </w:p>
    <w:p>
      <w:pPr>
        <w:numPr>
          <w:ilvl w:val="0"/>
          <w:numId w:val="1088"/>
        </w:numPr>
        <w:pStyle w:val="Compact"/>
      </w:pPr>
      <w:r>
        <w:t xml:space="preserve">加齢に伴う臓器や身体機能の変化、それに伴う生理的変化の知識を活用して、個別の事例を分析できる。</w:t>
      </w:r>
    </w:p>
    <w:p>
      <w:pPr>
        <w:numPr>
          <w:ilvl w:val="0"/>
          <w:numId w:val="1088"/>
        </w:numPr>
        <w:pStyle w:val="Compact"/>
      </w:pPr>
      <w:r>
        <w:t xml:space="preserve">高齢者総合機能評価(comprehensive geriatric assessment</w:t>
      </w:r>
      <w:r>
        <w:t xml:space="preserve"> </w:t>
      </w:r>
      <w:r>
        <w:t xml:space="preserve">)の視点で、個別の事例を評価できる。</w:t>
      </w:r>
    </w:p>
    <w:p>
      <w:pPr>
        <w:numPr>
          <w:ilvl w:val="0"/>
          <w:numId w:val="1088"/>
        </w:numPr>
        <w:pStyle w:val="Compact"/>
      </w:pPr>
      <w:r>
        <w:t xml:space="preserve">老年症候群(歩行障害・転倒、認知機能障害、排泄障害、栄養障害、摂食・嚥下障害等)の視点で、個別の事例を分析できる。</w:t>
      </w:r>
    </w:p>
    <w:p>
      <w:pPr>
        <w:numPr>
          <w:ilvl w:val="0"/>
          <w:numId w:val="1088"/>
        </w:numPr>
        <w:pStyle w:val="Compact"/>
      </w:pPr>
      <w:r>
        <w:t xml:space="preserve">フレイル、サルコペニア、ロコモティブ・シンドロームの概念、その対処法、予防の知識を使って、個別の事例を分析できる。</w:t>
      </w:r>
    </w:p>
    <w:p>
      <w:pPr>
        <w:numPr>
          <w:ilvl w:val="0"/>
          <w:numId w:val="1088"/>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88"/>
        </w:numPr>
        <w:pStyle w:val="Compact"/>
      </w:pPr>
      <w:r>
        <w:t xml:space="preserve">高齢者の栄養マネジメントの視点で、個別の事例を分析できる。</w:t>
      </w:r>
    </w:p>
    <w:p>
      <w:pPr>
        <w:numPr>
          <w:ilvl w:val="0"/>
          <w:numId w:val="1088"/>
        </w:numPr>
        <w:pStyle w:val="Compact"/>
      </w:pPr>
      <w:r>
        <w:t xml:space="preserve">加齢に伴う薬物動態の変化、高齢者に対する薬物療法の注意点を踏まえ、適切な介入が実施できる。</w:t>
      </w:r>
    </w:p>
    <w:p>
      <w:pPr>
        <w:numPr>
          <w:ilvl w:val="0"/>
          <w:numId w:val="1088"/>
        </w:numPr>
        <w:pStyle w:val="Compact"/>
      </w:pPr>
      <w:r>
        <w:t xml:space="preserve">高齢者の退院支援をするために必要な介護保険制度のサービスを説明できる。</w:t>
      </w:r>
    </w:p>
    <w:bookmarkEnd w:id="146"/>
    <w:bookmarkStart w:id="147" w:name="思春期青年期"/>
    <w:p>
      <w:pPr>
        <w:pStyle w:val="Heading3"/>
      </w:pPr>
      <w:r>
        <w:t xml:space="preserve">思春期・青年期</w:t>
      </w:r>
    </w:p>
    <w:p>
      <w:pPr>
        <w:numPr>
          <w:ilvl w:val="0"/>
          <w:numId w:val="1089"/>
        </w:numPr>
        <w:pStyle w:val="Compact"/>
      </w:pPr>
      <w:r>
        <w:t xml:space="preserve">思春期発現の機序と性徴の知識を活用して、個別の事例を分析できる。</w:t>
      </w:r>
    </w:p>
    <w:p>
      <w:pPr>
        <w:numPr>
          <w:ilvl w:val="0"/>
          <w:numId w:val="1089"/>
        </w:numPr>
        <w:pStyle w:val="Compact"/>
      </w:pPr>
      <w:r>
        <w:t xml:space="preserve">思春期と関連する課題(学業、友達などに関わる課題)の知識を活用して、個別の事例を分析できる。</w:t>
      </w:r>
    </w:p>
    <w:p>
      <w:pPr>
        <w:numPr>
          <w:ilvl w:val="0"/>
          <w:numId w:val="1089"/>
        </w:numPr>
        <w:pStyle w:val="Compact"/>
      </w:pPr>
      <w:r>
        <w:t xml:space="preserve">青年期と関連する課題(生殖、いのちなどに関わる課題)の知識を活用して、個別の事例を分析できる。</w:t>
      </w:r>
    </w:p>
    <w:p>
      <w:pPr>
        <w:numPr>
          <w:ilvl w:val="0"/>
          <w:numId w:val="1089"/>
        </w:numPr>
        <w:pStyle w:val="Compact"/>
      </w:pPr>
      <w:r>
        <w:t xml:space="preserve">成人期と関連する課題(メンタルヘルス、仕事、不妊などに関わる課題)の知識を活用して、個別の事例を分析できる。</w:t>
      </w:r>
    </w:p>
    <w:p>
      <w:pPr>
        <w:numPr>
          <w:ilvl w:val="0"/>
          <w:numId w:val="1089"/>
        </w:numPr>
        <w:pStyle w:val="Compact"/>
      </w:pPr>
      <w:r>
        <w:t xml:space="preserve">小児期から成人期への医療の移行について、現状と課題を説明できる。</w:t>
      </w:r>
    </w:p>
    <w:bookmarkEnd w:id="147"/>
    <w:bookmarkStart w:id="148" w:name="胎児幼児期"/>
    <w:p>
      <w:pPr>
        <w:pStyle w:val="Heading3"/>
      </w:pPr>
      <w:r>
        <w:t xml:space="preserve">胎児・幼児期</w:t>
      </w:r>
    </w:p>
    <w:p>
      <w:pPr>
        <w:numPr>
          <w:ilvl w:val="0"/>
          <w:numId w:val="1090"/>
        </w:numPr>
        <w:pStyle w:val="Compact"/>
      </w:pPr>
      <w:r>
        <w:t xml:space="preserve">胎児の循環・呼吸の生理的特徴と出生時の変化の知識を活用して、個別の事例を分析できる。</w:t>
      </w:r>
    </w:p>
    <w:p>
      <w:pPr>
        <w:numPr>
          <w:ilvl w:val="0"/>
          <w:numId w:val="1090"/>
        </w:numPr>
        <w:pStyle w:val="Compact"/>
      </w:pPr>
      <w:r>
        <w:t xml:space="preserve">新生児・乳幼児の生理的特徴の知識を活用して、個別の事例を分析できる。</w:t>
      </w:r>
    </w:p>
    <w:p>
      <w:pPr>
        <w:numPr>
          <w:ilvl w:val="0"/>
          <w:numId w:val="1090"/>
        </w:numPr>
        <w:pStyle w:val="Compact"/>
      </w:pPr>
      <w:r>
        <w:t xml:space="preserve">正常児・早産低出生体重児・病児の管理の基本の知識を活用して、個別の事例を分析できる。</w:t>
      </w:r>
    </w:p>
    <w:bookmarkEnd w:id="148"/>
    <w:bookmarkEnd w:id="149"/>
    <w:bookmarkStart w:id="155"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150" w:name="根拠に基づいた医療"/>
    <w:p>
      <w:pPr>
        <w:pStyle w:val="Heading3"/>
      </w:pPr>
      <w:r>
        <w:t xml:space="preserve">根拠に基づいた医療</w:t>
      </w:r>
    </w:p>
    <w:p>
      <w:pPr>
        <w:numPr>
          <w:ilvl w:val="0"/>
          <w:numId w:val="1091"/>
        </w:numPr>
        <w:pStyle w:val="Compact"/>
      </w:pPr>
      <w:r>
        <w:t xml:space="preserve">根拠に基づいた医療</w:t>
      </w:r>
      <w:r>
        <w:t xml:space="preserve">の5つのステップを列挙できる。</w:t>
      </w:r>
    </w:p>
    <w:p>
      <w:pPr>
        <w:numPr>
          <w:ilvl w:val="0"/>
          <w:numId w:val="1091"/>
        </w:numPr>
        <w:pStyle w:val="Compact"/>
      </w:pPr>
      <w:r>
        <w:t xml:space="preserve">Patient, population, problem, intervention (exposure), comparison, outcome &lt;PICO (PECO)&gt;を用いた問題の定式化ができる。</w:t>
      </w:r>
    </w:p>
    <w:p>
      <w:pPr>
        <w:numPr>
          <w:ilvl w:val="0"/>
          <w:numId w:val="1091"/>
        </w:numPr>
        <w:pStyle w:val="Compact"/>
      </w:pPr>
      <w:r>
        <w:t xml:space="preserve">データベースや二次文献からのエビデンス、診療ガイドラインを検索することができる。</w:t>
      </w:r>
    </w:p>
    <w:p>
      <w:pPr>
        <w:numPr>
          <w:ilvl w:val="0"/>
          <w:numId w:val="1091"/>
        </w:numPr>
        <w:pStyle w:val="Compact"/>
      </w:pPr>
      <w:r>
        <w:t xml:space="preserve">得られたエビデンスの批判的吟味ができる。</w:t>
      </w:r>
    </w:p>
    <w:p>
      <w:pPr>
        <w:numPr>
          <w:ilvl w:val="0"/>
          <w:numId w:val="1091"/>
        </w:numPr>
        <w:pStyle w:val="Compact"/>
      </w:pPr>
      <w:r>
        <w:t xml:space="preserve">診療ガイドラインの種類と使用上の注意を列挙できる。</w:t>
      </w:r>
    </w:p>
    <w:p>
      <w:pPr>
        <w:numPr>
          <w:ilvl w:val="0"/>
          <w:numId w:val="1091"/>
        </w:numPr>
        <w:pStyle w:val="Compact"/>
      </w:pPr>
      <w:r>
        <w:t xml:space="preserve">診療ガイドラインの推奨の強さについて違いを説明できる。</w:t>
      </w:r>
    </w:p>
    <w:p>
      <w:pPr>
        <w:numPr>
          <w:ilvl w:val="0"/>
          <w:numId w:val="1091"/>
        </w:numPr>
        <w:pStyle w:val="Compact"/>
      </w:pPr>
      <w:r>
        <w:t xml:space="preserve">得られたエビデンスを目の前の患者に適用できる。</w:t>
      </w:r>
    </w:p>
    <w:bookmarkEnd w:id="150"/>
    <w:bookmarkStart w:id="151" w:name="臓器横断的な診療"/>
    <w:p>
      <w:pPr>
        <w:pStyle w:val="Heading3"/>
      </w:pPr>
      <w:r>
        <w:t xml:space="preserve">臓器横断的な診療</w:t>
      </w:r>
    </w:p>
    <w:p>
      <w:pPr>
        <w:numPr>
          <w:ilvl w:val="0"/>
          <w:numId w:val="1092"/>
        </w:numPr>
        <w:pStyle w:val="Compact"/>
      </w:pPr>
      <w:r>
        <w:t xml:space="preserve">臓器横断的に医学的課題を捉えることができる。</w:t>
      </w:r>
    </w:p>
    <w:p>
      <w:pPr>
        <w:numPr>
          <w:ilvl w:val="0"/>
          <w:numId w:val="1092"/>
        </w:numPr>
        <w:pStyle w:val="Compact"/>
      </w:pPr>
      <w:r>
        <w:t xml:space="preserve">適切な医療機関や診療科につなぐ重要性について概説できる。</w:t>
      </w:r>
    </w:p>
    <w:p>
      <w:pPr>
        <w:numPr>
          <w:ilvl w:val="0"/>
          <w:numId w:val="1092"/>
        </w:numPr>
        <w:pStyle w:val="Compact"/>
      </w:pPr>
      <w:r>
        <w:t xml:space="preserve">主訴に応じて適切な鑑別疾患を挙げることができる。</w:t>
      </w:r>
    </w:p>
    <w:p>
      <w:pPr>
        <w:numPr>
          <w:ilvl w:val="0"/>
          <w:numId w:val="1092"/>
        </w:numPr>
        <w:pStyle w:val="Compact"/>
      </w:pPr>
      <w:r>
        <w:t xml:space="preserve">臨床推論の基本的なフレームワークを概説できる。</w:t>
      </w:r>
    </w:p>
    <w:p>
      <w:pPr>
        <w:numPr>
          <w:ilvl w:val="0"/>
          <w:numId w:val="1092"/>
        </w:numPr>
        <w:pStyle w:val="Compact"/>
      </w:pPr>
      <w:r>
        <w:t xml:space="preserve">主訴に応じて必要な問診・身体診察をすることができる。</w:t>
      </w:r>
    </w:p>
    <w:p>
      <w:pPr>
        <w:numPr>
          <w:ilvl w:val="0"/>
          <w:numId w:val="1092"/>
        </w:numPr>
        <w:pStyle w:val="Compact"/>
      </w:pPr>
      <w:r>
        <w:t xml:space="preserve">未分化で多様かつ複雑な健康問題を概説できる。</w:t>
      </w:r>
    </w:p>
    <w:p>
      <w:pPr>
        <w:numPr>
          <w:ilvl w:val="0"/>
          <w:numId w:val="1092"/>
        </w:numPr>
        <w:pStyle w:val="Compact"/>
      </w:pPr>
      <w:r>
        <w:t xml:space="preserve">多疾患併存や複数臓器にまたがる疾患のパターンや介入方法を概説できる。</w:t>
      </w:r>
    </w:p>
    <w:p>
      <w:pPr>
        <w:numPr>
          <w:ilvl w:val="0"/>
          <w:numId w:val="1092"/>
        </w:numPr>
        <w:pStyle w:val="Compact"/>
      </w:pPr>
      <w:r>
        <w:t xml:space="preserve">ポリファーマシーのパターンや介入方法を概説できる。</w:t>
      </w:r>
    </w:p>
    <w:bookmarkEnd w:id="151"/>
    <w:bookmarkStart w:id="152" w:name="行動科学"/>
    <w:p>
      <w:pPr>
        <w:pStyle w:val="Heading3"/>
      </w:pPr>
      <w:r>
        <w:t xml:space="preserve">行動科学</w:t>
      </w:r>
    </w:p>
    <w:p>
      <w:pPr>
        <w:numPr>
          <w:ilvl w:val="0"/>
          <w:numId w:val="1093"/>
        </w:numPr>
        <w:pStyle w:val="Compact"/>
      </w:pPr>
      <w:r>
        <w:t xml:space="preserve">動に関する知識や理論、面接法を予防医療(0 次-3 次予防)、診断、治療、ケアに適用することができる。</w:t>
      </w:r>
    </w:p>
    <w:p>
      <w:pPr>
        <w:numPr>
          <w:ilvl w:val="0"/>
          <w:numId w:val="1093"/>
        </w:numPr>
        <w:pStyle w:val="Compact"/>
      </w:pPr>
      <w:r>
        <w:t xml:space="preserve">適切な環境調整や心身医学療法も含めた包括的な心身への治療、支援を提案し、実践することができる。</w:t>
      </w:r>
    </w:p>
    <w:p>
      <w:pPr>
        <w:numPr>
          <w:ilvl w:val="0"/>
          <w:numId w:val="1093"/>
        </w:numPr>
        <w:pStyle w:val="Compact"/>
      </w:pPr>
      <w:r>
        <w:t xml:space="preserve">行動変容の原則を理解し、動機付けや行動変容を促す面接を行うことができる。</w:t>
      </w:r>
    </w:p>
    <w:p>
      <w:pPr>
        <w:numPr>
          <w:ilvl w:val="0"/>
          <w:numId w:val="1093"/>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93"/>
        </w:numPr>
        <w:pStyle w:val="Compact"/>
      </w:pPr>
      <w:r>
        <w:t xml:space="preserve">々の行動予測を踏まえ、医療行動経済学の視点から望ましい選択肢を選びやすくなるような仕組みを提案できる。</w:t>
      </w:r>
    </w:p>
    <w:bookmarkEnd w:id="152"/>
    <w:bookmarkStart w:id="153" w:name="患者中心の医療"/>
    <w:p>
      <w:pPr>
        <w:pStyle w:val="Heading3"/>
      </w:pPr>
      <w:r>
        <w:t xml:space="preserve">患者中心の医療</w:t>
      </w:r>
    </w:p>
    <w:p>
      <w:pPr>
        <w:numPr>
          <w:ilvl w:val="0"/>
          <w:numId w:val="1094"/>
        </w:numPr>
        <w:pStyle w:val="Compact"/>
      </w:pPr>
      <w:r>
        <w:t xml:space="preserve">個々の患者の医療への期待、解釈モデル、健康観を聞き出すことができる。</w:t>
      </w:r>
    </w:p>
    <w:p>
      <w:pPr>
        <w:numPr>
          <w:ilvl w:val="0"/>
          <w:numId w:val="1094"/>
        </w:numPr>
        <w:pStyle w:val="Compact"/>
      </w:pPr>
      <w:r>
        <w:t xml:space="preserve">患者の社会的背景（経済的・制度的側面など）が個々の病いに及ぼす影響を概説できる。</w:t>
      </w:r>
    </w:p>
    <w:p>
      <w:pPr>
        <w:numPr>
          <w:ilvl w:val="0"/>
          <w:numId w:val="1094"/>
        </w:numPr>
        <w:pStyle w:val="Compact"/>
      </w:pPr>
      <w:r>
        <w:t xml:space="preserve">医療者と患者が共通の理解基盤を築くための方法を概説できる。</w:t>
      </w:r>
    </w:p>
    <w:p>
      <w:pPr>
        <w:numPr>
          <w:ilvl w:val="0"/>
          <w:numId w:val="1094"/>
        </w:numPr>
        <w:pStyle w:val="Compact"/>
      </w:pPr>
      <w:r>
        <w:t xml:space="preserve">患者中心性が医療の質に及ぼす影響を概説できる。</w:t>
      </w:r>
    </w:p>
    <w:p>
      <w:pPr>
        <w:numPr>
          <w:ilvl w:val="0"/>
          <w:numId w:val="1094"/>
        </w:numPr>
        <w:pStyle w:val="Compact"/>
      </w:pPr>
      <w:r>
        <w:t xml:space="preserve">医療の継続性を概説できる。</w:t>
      </w:r>
    </w:p>
    <w:bookmarkEnd w:id="153"/>
    <w:bookmarkStart w:id="154" w:name="生物心理社会的な問題への包括的な視点"/>
    <w:p>
      <w:pPr>
        <w:pStyle w:val="Heading3"/>
      </w:pPr>
      <w:r>
        <w:t xml:space="preserve">生物・心理・社会的な問題への包括的な視点</w:t>
      </w:r>
    </w:p>
    <w:p>
      <w:pPr>
        <w:numPr>
          <w:ilvl w:val="0"/>
          <w:numId w:val="1095"/>
        </w:numPr>
        <w:pStyle w:val="Compact"/>
      </w:pPr>
      <w:r>
        <w:t xml:space="preserve">身体・心理・社会の問題を統合したアプローチについて概説できる。</w:t>
      </w:r>
    </w:p>
    <w:p>
      <w:pPr>
        <w:numPr>
          <w:ilvl w:val="0"/>
          <w:numId w:val="1095"/>
        </w:numPr>
        <w:pStyle w:val="Compact"/>
      </w:pPr>
      <w:r>
        <w:t xml:space="preserve">個人・家族の双方への影響を踏まえたアプローチについて概説できる。</w:t>
      </w:r>
    </w:p>
    <w:p>
      <w:pPr>
        <w:numPr>
          <w:ilvl w:val="0"/>
          <w:numId w:val="1095"/>
        </w:numPr>
        <w:pStyle w:val="Compact"/>
      </w:pPr>
      <w:r>
        <w:t xml:space="preserve">性別、国籍、障害、宗教など多様な背景を持つ患者の価値観を尊重できる。</w:t>
      </w:r>
    </w:p>
    <w:p>
      <w:pPr>
        <w:numPr>
          <w:ilvl w:val="0"/>
          <w:numId w:val="1095"/>
        </w:numPr>
        <w:pStyle w:val="Compact"/>
      </w:pPr>
      <w:r>
        <w:t xml:space="preserve">トラウマ・インフォームドケアの対応について概説できる。</w:t>
      </w:r>
    </w:p>
    <w:bookmarkEnd w:id="154"/>
    <w:bookmarkEnd w:id="155"/>
    <w:bookmarkStart w:id="159"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156" w:name="プライマリケアにおける基本概念"/>
    <w:p>
      <w:pPr>
        <w:pStyle w:val="Heading3"/>
      </w:pPr>
      <w:r>
        <w:t xml:space="preserve">プライマリ・ケアにおける基本概念</w:t>
      </w:r>
    </w:p>
    <w:p>
      <w:pPr>
        <w:numPr>
          <w:ilvl w:val="0"/>
          <w:numId w:val="1096"/>
        </w:numPr>
        <w:pStyle w:val="Compact"/>
      </w:pPr>
      <w:r>
        <w:t xml:space="preserve">地域の健康格差を理解し、医療へのアクセス障害等の医療システム上の課題を適切に判断しながら診療を行うことができる。</w:t>
      </w:r>
    </w:p>
    <w:p>
      <w:pPr>
        <w:numPr>
          <w:ilvl w:val="0"/>
          <w:numId w:val="1096"/>
        </w:numPr>
        <w:pStyle w:val="Compact"/>
      </w:pPr>
      <w:r>
        <w:t xml:space="preserve">地域の健康問題の文化的背景を理解し、言語や文化の障壁を乗り越えた診療対応について説明できる。</w:t>
      </w:r>
    </w:p>
    <w:p>
      <w:pPr>
        <w:numPr>
          <w:ilvl w:val="0"/>
          <w:numId w:val="1096"/>
        </w:numPr>
        <w:pStyle w:val="Compact"/>
      </w:pPr>
      <w:r>
        <w:t xml:space="preserve">患者の診療において、患者の所属する地域、背景集団に対するケアの視点を取り入れた診療を行うことができる。</w:t>
      </w:r>
    </w:p>
    <w:bookmarkEnd w:id="156"/>
    <w:bookmarkStart w:id="157" w:name="医療資源に応じたプライマリケア"/>
    <w:p>
      <w:pPr>
        <w:pStyle w:val="Heading3"/>
      </w:pPr>
      <w:r>
        <w:t xml:space="preserve">医療資源に応じたプライマリ・ケア</w:t>
      </w:r>
    </w:p>
    <w:p>
      <w:pPr>
        <w:numPr>
          <w:ilvl w:val="0"/>
          <w:numId w:val="1097"/>
        </w:numPr>
        <w:pStyle w:val="Compact"/>
      </w:pPr>
      <w:r>
        <w:t xml:space="preserve">医療を提供する上で必要となる、様々な専門職や医療保険・介護保険施設など地域の資源を説明できる。</w:t>
      </w:r>
    </w:p>
    <w:p>
      <w:pPr>
        <w:numPr>
          <w:ilvl w:val="0"/>
          <w:numId w:val="1097"/>
        </w:numPr>
        <w:pStyle w:val="Compact"/>
      </w:pPr>
      <w:r>
        <w:t xml:space="preserve">人的・物的資源を利活用して医療・サービスを提供できる。</w:t>
      </w:r>
    </w:p>
    <w:p>
      <w:pPr>
        <w:numPr>
          <w:ilvl w:val="0"/>
          <w:numId w:val="1097"/>
        </w:numPr>
        <w:pStyle w:val="Compact"/>
      </w:pPr>
      <w:r>
        <w:t xml:space="preserve">離島・へき地や医師不足地域等の医療医療資源が限られた状況での医療提供体制及び介護・保健・福祉の体制を説明できる。</w:t>
      </w:r>
    </w:p>
    <w:p>
      <w:pPr>
        <w:numPr>
          <w:ilvl w:val="0"/>
          <w:numId w:val="109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97"/>
        </w:numPr>
        <w:pStyle w:val="Compact"/>
      </w:pPr>
      <w:r>
        <w:t xml:space="preserve">離島・へき地や医師不足地域等の医療資源が限られた状況での医療に積極的に貢献することができる。</w:t>
      </w:r>
    </w:p>
    <w:bookmarkEnd w:id="157"/>
    <w:bookmarkStart w:id="158" w:name="地域におけるプライマリケア"/>
    <w:p>
      <w:pPr>
        <w:pStyle w:val="Heading3"/>
      </w:pPr>
      <w:r>
        <w:t xml:space="preserve">地域におけるプライマリ・ケア</w:t>
      </w:r>
    </w:p>
    <w:p>
      <w:pPr>
        <w:numPr>
          <w:ilvl w:val="0"/>
          <w:numId w:val="1098"/>
        </w:numPr>
        <w:pStyle w:val="Compact"/>
      </w:pPr>
      <w:r>
        <w:t xml:space="preserve">地域(都会・郊外・へき地・離島を含む)の実情に応じた医療の状況について概説できる。</w:t>
      </w:r>
    </w:p>
    <w:p>
      <w:pPr>
        <w:numPr>
          <w:ilvl w:val="0"/>
          <w:numId w:val="1098"/>
        </w:numPr>
        <w:pStyle w:val="Compact"/>
      </w:pPr>
      <w:r>
        <w:t xml:space="preserve">地域の医療提供体制に基づき、診療機関の規模・役割に応じた柔軟な医療を提供する。</w:t>
      </w:r>
    </w:p>
    <w:p>
      <w:pPr>
        <w:numPr>
          <w:ilvl w:val="0"/>
          <w:numId w:val="1098"/>
        </w:numPr>
        <w:pStyle w:val="Compact"/>
      </w:pPr>
      <w:r>
        <w:t xml:space="preserve">患者の居住する地域の頻度の高い疾病(コモンディジーズ)について罹患率、有病率などの指標を用いて概説できる。</w:t>
      </w:r>
    </w:p>
    <w:p>
      <w:pPr>
        <w:numPr>
          <w:ilvl w:val="0"/>
          <w:numId w:val="1098"/>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98"/>
        </w:numPr>
        <w:pStyle w:val="Compact"/>
      </w:pPr>
      <w:r>
        <w:t xml:space="preserve">地域の住民や専門職と協働して、地域住民に対する健康増進活動を計画・実践することができる。</w:t>
      </w:r>
    </w:p>
    <w:p>
      <w:pPr>
        <w:numPr>
          <w:ilvl w:val="0"/>
          <w:numId w:val="1098"/>
        </w:numPr>
        <w:pStyle w:val="Compact"/>
      </w:pPr>
      <w:r>
        <w:t xml:space="preserve">患者の居住する地域の頻度で高い疾病(コモンディジーズ)についてプライマリ・ケアの対応を説明できる。</w:t>
      </w:r>
    </w:p>
    <w:p>
      <w:pPr>
        <w:numPr>
          <w:ilvl w:val="0"/>
          <w:numId w:val="1098"/>
        </w:numPr>
        <w:pStyle w:val="Compact"/>
      </w:pPr>
      <w:r>
        <w:t xml:space="preserve">新型コロナウイルス感染症など地域全体の医療問題が起きた際に、専門領域を超えて地域医療で必要な医療を提供できる。</w:t>
      </w:r>
    </w:p>
    <w:bookmarkEnd w:id="158"/>
    <w:bookmarkEnd w:id="159"/>
    <w:bookmarkStart w:id="16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160" w:name="医学的文化的社会的文脈における健康"/>
    <w:p>
      <w:pPr>
        <w:pStyle w:val="Heading3"/>
      </w:pPr>
      <w:r>
        <w:t xml:space="preserve">医学的・文化的・社会的文脈における健康</w:t>
      </w:r>
    </w:p>
    <w:p>
      <w:pPr>
        <w:numPr>
          <w:ilvl w:val="0"/>
          <w:numId w:val="1099"/>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99"/>
        </w:numPr>
        <w:pStyle w:val="Compact"/>
      </w:pPr>
      <w:r>
        <w:t xml:space="preserve">患者が受療に至るまでにどのような過程があるかを生活者の視点から説明できる。</w:t>
      </w:r>
    </w:p>
    <w:p>
      <w:pPr>
        <w:numPr>
          <w:ilvl w:val="0"/>
          <w:numId w:val="1099"/>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99"/>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99"/>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99"/>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99"/>
        </w:numPr>
        <w:pStyle w:val="Compact"/>
      </w:pPr>
      <w:r>
        <w:t xml:space="preserve">健康の社会的決定要因とアドボカシーについて説明できる。</w:t>
      </w:r>
    </w:p>
    <w:bookmarkEnd w:id="160"/>
    <w:bookmarkStart w:id="161" w:name="社会科学"/>
    <w:p>
      <w:pPr>
        <w:pStyle w:val="Heading3"/>
      </w:pPr>
      <w:r>
        <w:t xml:space="preserve">社会科学</w:t>
      </w:r>
    </w:p>
    <w:p>
      <w:pPr>
        <w:numPr>
          <w:ilvl w:val="0"/>
          <w:numId w:val="1100"/>
        </w:numPr>
        <w:pStyle w:val="Compact"/>
      </w:pPr>
      <w:r>
        <w:t xml:space="preserve">人の言動の意味をその人の人生史・生活史や社会関係の文脈の中において検討することができる。</w:t>
      </w:r>
    </w:p>
    <w:p>
      <w:pPr>
        <w:numPr>
          <w:ilvl w:val="0"/>
          <w:numId w:val="1100"/>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100"/>
        </w:numPr>
        <w:pStyle w:val="Compact"/>
      </w:pPr>
      <w:r>
        <w:t xml:space="preserve">病人役割等の理論や概念を用いて、患者の行動や医療に関する社会的な諸事象を説明することができる。</w:t>
      </w:r>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2022-01-18T06:51:23Z</dcterms:created>
  <dcterms:modified xsi:type="dcterms:W3CDTF">2022-01-18T06:51:23Z</dcterms:modified>
</cp:coreProperties>
</file>

<file path=docProps/custom.xml><?xml version="1.0" encoding="utf-8"?>
<Properties xmlns="http://schemas.openxmlformats.org/officeDocument/2006/custom-properties" xmlns:vt="http://schemas.openxmlformats.org/officeDocument/2006/docPropsVTypes"/>
</file>