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12FF05" w:rsidR="00471C28" w:rsidRDefault="00471C28">
      <w:pPr>
        <w:spacing w:before="60" w:after="120"/>
        <w:rPr>
          <w:rFonts w:ascii="Century Gothic" w:eastAsia="Century Gothic" w:hAnsi="Century Gothic" w:cs="Century Gothic"/>
          <w:smallCaps/>
          <w:sz w:val="48"/>
          <w:szCs w:val="48"/>
        </w:rPr>
      </w:pPr>
    </w:p>
    <w:p w14:paraId="00000002" w14:textId="77777777" w:rsidR="00471C28" w:rsidRDefault="00CF15C9">
      <w:pPr>
        <w:pBdr>
          <w:top w:val="nil"/>
          <w:left w:val="nil"/>
          <w:bottom w:val="nil"/>
          <w:right w:val="nil"/>
          <w:between w:val="nil"/>
        </w:pBdr>
        <w:spacing w:before="60" w:after="120" w:line="264" w:lineRule="auto"/>
        <w:ind w:left="432" w:hanging="432"/>
        <w:jc w:val="center"/>
        <w:rPr>
          <w:rFonts w:ascii="Century Gothic" w:eastAsia="Century Gothic" w:hAnsi="Century Gothic" w:cs="Century Gothic"/>
          <w:smallCaps/>
          <w:color w:val="2B3A57"/>
          <w:sz w:val="48"/>
          <w:szCs w:val="48"/>
        </w:rPr>
      </w:pPr>
      <w:r>
        <w:rPr>
          <w:rFonts w:ascii="Century Gothic" w:eastAsia="Century Gothic" w:hAnsi="Century Gothic" w:cs="Century Gothic"/>
          <w:smallCaps/>
          <w:color w:val="2B3A57"/>
          <w:sz w:val="48"/>
          <w:szCs w:val="48"/>
        </w:rPr>
        <w:br/>
      </w:r>
    </w:p>
    <w:p w14:paraId="00000003" w14:textId="77777777" w:rsidR="00471C28" w:rsidRDefault="00CF15C9">
      <w:pPr>
        <w:pBdr>
          <w:top w:val="nil"/>
          <w:left w:val="nil"/>
          <w:bottom w:val="nil"/>
          <w:right w:val="nil"/>
          <w:between w:val="nil"/>
        </w:pBdr>
        <w:spacing w:before="60" w:after="120" w:line="264" w:lineRule="auto"/>
        <w:ind w:left="432" w:hanging="432"/>
        <w:jc w:val="center"/>
        <w:rPr>
          <w:rFonts w:ascii="Century Gothic" w:eastAsia="Century Gothic" w:hAnsi="Century Gothic" w:cs="Century Gothic"/>
          <w:smallCaps/>
          <w:color w:val="2B3A57"/>
          <w:sz w:val="48"/>
          <w:szCs w:val="48"/>
        </w:rPr>
      </w:pPr>
      <w:r>
        <w:rPr>
          <w:rFonts w:ascii="Century Gothic" w:eastAsia="Century Gothic" w:hAnsi="Century Gothic" w:cs="Century Gothic"/>
          <w:smallCaps/>
          <w:color w:val="2B3A57"/>
          <w:sz w:val="48"/>
          <w:szCs w:val="48"/>
        </w:rPr>
        <w:t>Methodology for improved forest management through targeted, short-term harvest deferral</w:t>
      </w:r>
    </w:p>
    <w:p w14:paraId="00000004" w14:textId="77777777" w:rsidR="00471C28" w:rsidRDefault="00CF15C9">
      <w:pPr>
        <w:spacing w:before="60" w:after="120"/>
        <w:jc w:val="center"/>
        <w:rPr>
          <w:rFonts w:ascii="Century Gothic" w:eastAsia="Century Gothic" w:hAnsi="Century Gothic" w:cs="Century Gothic"/>
          <w:color w:val="000000"/>
          <w:sz w:val="26"/>
          <w:szCs w:val="26"/>
        </w:rPr>
      </w:pPr>
      <w:r>
        <w:rPr>
          <w:rFonts w:ascii="Century Gothic" w:eastAsia="Century Gothic" w:hAnsi="Century Gothic" w:cs="Century Gothic"/>
          <w:color w:val="000000"/>
          <w:sz w:val="26"/>
          <w:szCs w:val="26"/>
        </w:rPr>
        <w:t>Document Prepared by NCX</w:t>
      </w:r>
    </w:p>
    <w:p w14:paraId="00000005" w14:textId="77777777" w:rsidR="00471C28" w:rsidRDefault="00471C28">
      <w:pPr>
        <w:spacing w:before="60" w:after="120"/>
        <w:rPr>
          <w:rFonts w:ascii="Century Gothic" w:eastAsia="Century Gothic" w:hAnsi="Century Gothic" w:cs="Century Gothic"/>
        </w:rPr>
      </w:pPr>
    </w:p>
    <w:tbl>
      <w:tblPr>
        <w:tblW w:w="97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396"/>
        <w:gridCol w:w="7379"/>
      </w:tblGrid>
      <w:tr w:rsidR="00471C28" w:rsidRPr="00E44C69" w14:paraId="51AC19AC" w14:textId="77777777" w:rsidTr="54A671BE">
        <w:trPr>
          <w:trHeight w:val="319"/>
        </w:trPr>
        <w:tc>
          <w:tcPr>
            <w:tcW w:w="2396" w:type="dxa"/>
            <w:shd w:val="clear" w:color="auto" w:fill="CCD4E5"/>
          </w:tcPr>
          <w:p w14:paraId="00000006"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 xml:space="preserve">Title </w:t>
            </w:r>
          </w:p>
        </w:tc>
        <w:tc>
          <w:tcPr>
            <w:tcW w:w="7379" w:type="dxa"/>
            <w:shd w:val="clear" w:color="auto" w:fill="F2F2F2" w:themeFill="background1" w:themeFillShade="F2"/>
          </w:tcPr>
          <w:p w14:paraId="00000007" w14:textId="77777777" w:rsidR="00471C28" w:rsidRPr="00E44C69" w:rsidRDefault="00CF15C9">
            <w:pPr>
              <w:spacing w:before="60" w:after="120"/>
              <w:rPr>
                <w:rFonts w:eastAsia="Century Gothic" w:cs="Century Gothic"/>
                <w:color w:val="404040"/>
                <w:szCs w:val="21"/>
              </w:rPr>
            </w:pPr>
            <w:r w:rsidRPr="00E44C69">
              <w:rPr>
                <w:rFonts w:eastAsia="Century Gothic" w:cs="Century Gothic"/>
                <w:color w:val="404040"/>
                <w:szCs w:val="21"/>
              </w:rPr>
              <w:t>Methodology for Improved Forest Management through Targeted, Short-Term Harvest Deferral</w:t>
            </w:r>
          </w:p>
        </w:tc>
      </w:tr>
      <w:tr w:rsidR="00471C28" w:rsidRPr="00E44C69" w14:paraId="5261BBFE" w14:textId="77777777" w:rsidTr="54A671BE">
        <w:trPr>
          <w:trHeight w:val="319"/>
        </w:trPr>
        <w:tc>
          <w:tcPr>
            <w:tcW w:w="2396" w:type="dxa"/>
            <w:shd w:val="clear" w:color="auto" w:fill="CCD4E5"/>
          </w:tcPr>
          <w:p w14:paraId="00000008"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Version</w:t>
            </w:r>
          </w:p>
        </w:tc>
        <w:tc>
          <w:tcPr>
            <w:tcW w:w="7379" w:type="dxa"/>
            <w:shd w:val="clear" w:color="auto" w:fill="F2F2F2" w:themeFill="background1" w:themeFillShade="F2"/>
          </w:tcPr>
          <w:p w14:paraId="00000009" w14:textId="77777777"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1.0</w:t>
            </w:r>
          </w:p>
        </w:tc>
      </w:tr>
      <w:tr w:rsidR="00471C28" w:rsidRPr="00E44C69" w14:paraId="0A75D751" w14:textId="77777777" w:rsidTr="54A671BE">
        <w:trPr>
          <w:trHeight w:val="319"/>
        </w:trPr>
        <w:tc>
          <w:tcPr>
            <w:tcW w:w="2396" w:type="dxa"/>
            <w:shd w:val="clear" w:color="auto" w:fill="CCD4E5"/>
          </w:tcPr>
          <w:p w14:paraId="0000000A"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Date of Issue</w:t>
            </w:r>
          </w:p>
        </w:tc>
        <w:tc>
          <w:tcPr>
            <w:tcW w:w="7379" w:type="dxa"/>
            <w:shd w:val="clear" w:color="auto" w:fill="F2F2F2" w:themeFill="background1" w:themeFillShade="F2"/>
          </w:tcPr>
          <w:p w14:paraId="0000000B" w14:textId="532AC636" w:rsidR="00471C28" w:rsidRPr="00E44C69" w:rsidRDefault="00E44C6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17 March 2021</w:t>
            </w:r>
          </w:p>
        </w:tc>
      </w:tr>
      <w:tr w:rsidR="00471C28" w:rsidRPr="00E44C69" w14:paraId="65D2024F" w14:textId="77777777" w:rsidTr="54A671BE">
        <w:trPr>
          <w:trHeight w:val="319"/>
        </w:trPr>
        <w:tc>
          <w:tcPr>
            <w:tcW w:w="2396" w:type="dxa"/>
            <w:shd w:val="clear" w:color="auto" w:fill="CCD4E5"/>
          </w:tcPr>
          <w:p w14:paraId="0000000C"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Type</w:t>
            </w:r>
          </w:p>
        </w:tc>
        <w:tc>
          <w:tcPr>
            <w:tcW w:w="7379" w:type="dxa"/>
            <w:shd w:val="clear" w:color="auto" w:fill="F2F2F2" w:themeFill="background1" w:themeFillShade="F2"/>
          </w:tcPr>
          <w:p w14:paraId="0000000D" w14:textId="77777777"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 xml:space="preserve">Methodology </w:t>
            </w:r>
          </w:p>
        </w:tc>
      </w:tr>
      <w:tr w:rsidR="00471C28" w:rsidRPr="00E44C69" w14:paraId="44AF8044" w14:textId="77777777" w:rsidTr="54A671BE">
        <w:trPr>
          <w:trHeight w:val="319"/>
        </w:trPr>
        <w:tc>
          <w:tcPr>
            <w:tcW w:w="2396" w:type="dxa"/>
            <w:shd w:val="clear" w:color="auto" w:fill="CCD4E5"/>
          </w:tcPr>
          <w:p w14:paraId="0000000E"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Sectoral Scope</w:t>
            </w:r>
          </w:p>
        </w:tc>
        <w:tc>
          <w:tcPr>
            <w:tcW w:w="7379" w:type="dxa"/>
            <w:shd w:val="clear" w:color="auto" w:fill="F2F2F2" w:themeFill="background1" w:themeFillShade="F2"/>
          </w:tcPr>
          <w:p w14:paraId="0000000F" w14:textId="437A7733"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Sectoral Scope 14</w:t>
            </w:r>
            <w:r w:rsidR="00726378" w:rsidRPr="00E44C69">
              <w:rPr>
                <w:rFonts w:eastAsia="Century Gothic" w:cs="Century Gothic"/>
                <w:color w:val="404040"/>
                <w:szCs w:val="21"/>
              </w:rPr>
              <w:t xml:space="preserve"> Agriculture, Forestry and Other Land Uses (AFOLU)</w:t>
            </w:r>
            <w:r w:rsidRPr="00E44C69">
              <w:rPr>
                <w:rFonts w:eastAsia="Century Gothic" w:cs="Century Gothic"/>
                <w:color w:val="404040"/>
                <w:szCs w:val="21"/>
              </w:rPr>
              <w:t>; Improved Forest Management</w:t>
            </w:r>
            <w:r w:rsidR="000957AD" w:rsidRPr="00E44C69">
              <w:rPr>
                <w:rFonts w:eastAsia="Century Gothic" w:cs="Century Gothic"/>
                <w:color w:val="404040"/>
                <w:szCs w:val="21"/>
              </w:rPr>
              <w:t>; Extended Rotation Age</w:t>
            </w:r>
          </w:p>
        </w:tc>
      </w:tr>
      <w:tr w:rsidR="00471C28" w:rsidRPr="00E44C69" w14:paraId="1BD89C4D" w14:textId="77777777" w:rsidTr="54A671BE">
        <w:trPr>
          <w:trHeight w:val="319"/>
        </w:trPr>
        <w:tc>
          <w:tcPr>
            <w:tcW w:w="2396" w:type="dxa"/>
            <w:shd w:val="clear" w:color="auto" w:fill="CCD4E5"/>
          </w:tcPr>
          <w:p w14:paraId="00000010"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Prepared By</w:t>
            </w:r>
          </w:p>
        </w:tc>
        <w:tc>
          <w:tcPr>
            <w:tcW w:w="7379" w:type="dxa"/>
            <w:shd w:val="clear" w:color="auto" w:fill="F2F2F2" w:themeFill="background1" w:themeFillShade="F2"/>
          </w:tcPr>
          <w:p w14:paraId="00000011" w14:textId="77777777"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NCX</w:t>
            </w:r>
          </w:p>
        </w:tc>
      </w:tr>
      <w:tr w:rsidR="00471C28" w:rsidRPr="00E44C69" w14:paraId="5FF10984" w14:textId="77777777" w:rsidTr="54A671BE">
        <w:trPr>
          <w:trHeight w:val="319"/>
        </w:trPr>
        <w:tc>
          <w:tcPr>
            <w:tcW w:w="2396" w:type="dxa"/>
            <w:shd w:val="clear" w:color="auto" w:fill="CCD4E5"/>
          </w:tcPr>
          <w:p w14:paraId="00000012" w14:textId="77777777" w:rsidR="00471C28" w:rsidRPr="00E44C69" w:rsidRDefault="00CF15C9">
            <w:pPr>
              <w:pBdr>
                <w:top w:val="nil"/>
                <w:left w:val="nil"/>
                <w:bottom w:val="nil"/>
                <w:right w:val="nil"/>
                <w:between w:val="nil"/>
              </w:pBdr>
              <w:tabs>
                <w:tab w:val="center" w:pos="4680"/>
                <w:tab w:val="right" w:pos="9360"/>
              </w:tabs>
              <w:spacing w:before="60" w:after="120"/>
              <w:jc w:val="right"/>
              <w:rPr>
                <w:rFonts w:eastAsia="Century Gothic" w:cs="Century Gothic"/>
                <w:szCs w:val="21"/>
              </w:rPr>
            </w:pPr>
            <w:r w:rsidRPr="00E44C69">
              <w:rPr>
                <w:rFonts w:eastAsia="Century Gothic" w:cs="Century Gothic"/>
                <w:szCs w:val="21"/>
              </w:rPr>
              <w:t>Contact</w:t>
            </w:r>
          </w:p>
        </w:tc>
        <w:tc>
          <w:tcPr>
            <w:tcW w:w="7379" w:type="dxa"/>
            <w:shd w:val="clear" w:color="auto" w:fill="F2F2F2" w:themeFill="background1" w:themeFillShade="F2"/>
          </w:tcPr>
          <w:p w14:paraId="00000013" w14:textId="33C39321"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 xml:space="preserve">2443 Fillmore St. #380-1418, San Francisco CA 94115. </w:t>
            </w:r>
            <w:hyperlink r:id="rId12">
              <w:r w:rsidRPr="00E44C69">
                <w:rPr>
                  <w:rFonts w:eastAsia="Century Gothic" w:cs="Century Gothic"/>
                  <w:color w:val="000000"/>
                  <w:szCs w:val="21"/>
                  <w:u w:val="single"/>
                </w:rPr>
                <w:t>www.ncx.com</w:t>
              </w:r>
            </w:hyperlink>
            <w:r w:rsidRPr="00E44C69">
              <w:rPr>
                <w:rFonts w:eastAsia="Century Gothic" w:cs="Century Gothic"/>
                <w:color w:val="404040"/>
                <w:szCs w:val="21"/>
              </w:rPr>
              <w:t>.</w:t>
            </w:r>
          </w:p>
          <w:p w14:paraId="00000014" w14:textId="70F03778" w:rsidR="00471C28" w:rsidRPr="00E44C69" w:rsidRDefault="00CF15C9">
            <w:pPr>
              <w:pBdr>
                <w:top w:val="nil"/>
                <w:left w:val="nil"/>
                <w:bottom w:val="nil"/>
                <w:right w:val="nil"/>
                <w:between w:val="nil"/>
              </w:pBdr>
              <w:spacing w:before="60" w:after="120" w:line="276" w:lineRule="auto"/>
              <w:rPr>
                <w:rFonts w:eastAsia="Century Gothic" w:cs="Century Gothic"/>
                <w:color w:val="000000"/>
                <w:szCs w:val="21"/>
                <w:u w:val="single"/>
              </w:rPr>
            </w:pPr>
            <w:r w:rsidRPr="00E44C69">
              <w:rPr>
                <w:rFonts w:eastAsia="Century Gothic" w:cs="Century Gothic"/>
                <w:color w:val="404040"/>
                <w:szCs w:val="21"/>
              </w:rPr>
              <w:t>Zack Parisa, Chief Executive Officer, NCX (</w:t>
            </w:r>
            <w:hyperlink r:id="rId13">
              <w:r w:rsidRPr="00E44C69">
                <w:rPr>
                  <w:rFonts w:eastAsia="Century Gothic" w:cs="Century Gothic"/>
                  <w:color w:val="000000"/>
                  <w:szCs w:val="21"/>
                  <w:u w:val="single"/>
                </w:rPr>
                <w:t>zack@ncx.com</w:t>
              </w:r>
            </w:hyperlink>
            <w:r w:rsidRPr="00E44C69">
              <w:rPr>
                <w:rFonts w:eastAsia="Century Gothic" w:cs="Century Gothic"/>
                <w:color w:val="000000"/>
                <w:szCs w:val="21"/>
                <w:u w:val="single"/>
              </w:rPr>
              <w:t>)</w:t>
            </w:r>
          </w:p>
          <w:p w14:paraId="00000015" w14:textId="798819FF"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 xml:space="preserve">Nan Pond, PhD, </w:t>
            </w:r>
            <w:r w:rsidR="00726378" w:rsidRPr="00E44C69">
              <w:rPr>
                <w:rFonts w:eastAsia="Century Gothic" w:cs="Century Gothic"/>
                <w:color w:val="404040"/>
                <w:szCs w:val="21"/>
              </w:rPr>
              <w:t xml:space="preserve">Science Director, </w:t>
            </w:r>
            <w:r w:rsidRPr="00E44C69">
              <w:rPr>
                <w:rFonts w:eastAsia="Century Gothic" w:cs="Century Gothic"/>
                <w:color w:val="404040"/>
                <w:szCs w:val="21"/>
              </w:rPr>
              <w:t>Forestry, NCX (</w:t>
            </w:r>
            <w:hyperlink r:id="rId14">
              <w:r w:rsidRPr="00E44C69">
                <w:rPr>
                  <w:rFonts w:eastAsia="Century Gothic" w:cs="Century Gothic"/>
                  <w:color w:val="000000"/>
                  <w:szCs w:val="21"/>
                  <w:u w:val="single"/>
                </w:rPr>
                <w:t>nan@ncx.com</w:t>
              </w:r>
            </w:hyperlink>
            <w:r w:rsidRPr="00E44C69">
              <w:rPr>
                <w:rFonts w:eastAsia="Century Gothic" w:cs="Century Gothic"/>
                <w:color w:val="404040"/>
                <w:szCs w:val="21"/>
              </w:rPr>
              <w:t xml:space="preserve">) </w:t>
            </w:r>
          </w:p>
          <w:p w14:paraId="00000016" w14:textId="1D2C9E8D"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 xml:space="preserve">Gordon Vermeer, Program </w:t>
            </w:r>
            <w:proofErr w:type="gramStart"/>
            <w:r w:rsidRPr="00E44C69">
              <w:rPr>
                <w:rFonts w:eastAsia="Century Gothic" w:cs="Century Gothic"/>
                <w:color w:val="404040"/>
                <w:szCs w:val="21"/>
              </w:rPr>
              <w:t>Director</w:t>
            </w:r>
            <w:proofErr w:type="gramEnd"/>
            <w:r w:rsidRPr="00E44C69">
              <w:rPr>
                <w:rFonts w:eastAsia="Century Gothic" w:cs="Century Gothic"/>
                <w:color w:val="404040"/>
                <w:szCs w:val="21"/>
              </w:rPr>
              <w:t xml:space="preserve"> and Chief Financial Officer, NCX (</w:t>
            </w:r>
            <w:hyperlink r:id="rId15">
              <w:r w:rsidRPr="00E44C69">
                <w:rPr>
                  <w:rFonts w:eastAsia="Century Gothic" w:cs="Century Gothic"/>
                  <w:color w:val="000000"/>
                  <w:szCs w:val="21"/>
                  <w:u w:val="single"/>
                </w:rPr>
                <w:t>gordon@ncx.com</w:t>
              </w:r>
            </w:hyperlink>
            <w:r w:rsidRPr="00E44C69">
              <w:rPr>
                <w:rFonts w:eastAsia="Century Gothic" w:cs="Century Gothic"/>
                <w:color w:val="000000"/>
                <w:szCs w:val="21"/>
                <w:u w:val="single"/>
              </w:rPr>
              <w:t>)</w:t>
            </w:r>
          </w:p>
          <w:p w14:paraId="00000017" w14:textId="53CB4650" w:rsidR="00471C28" w:rsidRPr="00E44C69" w:rsidRDefault="00CF15C9">
            <w:pPr>
              <w:pBdr>
                <w:top w:val="nil"/>
                <w:left w:val="nil"/>
                <w:bottom w:val="nil"/>
                <w:right w:val="nil"/>
                <w:between w:val="nil"/>
              </w:pBdr>
              <w:spacing w:before="60" w:after="120" w:line="276" w:lineRule="auto"/>
              <w:rPr>
                <w:rFonts w:eastAsia="Century Gothic" w:cs="Century Gothic"/>
                <w:color w:val="404040"/>
                <w:szCs w:val="21"/>
              </w:rPr>
            </w:pPr>
            <w:r w:rsidRPr="00E44C69">
              <w:rPr>
                <w:rFonts w:eastAsia="Century Gothic" w:cs="Century Gothic"/>
                <w:color w:val="404040"/>
                <w:szCs w:val="21"/>
              </w:rPr>
              <w:t>Jen Jenkins, PhD, Chief Sustainability Officer, NCX (</w:t>
            </w:r>
            <w:hyperlink r:id="rId16">
              <w:r w:rsidRPr="00E44C69">
                <w:rPr>
                  <w:rFonts w:eastAsia="Century Gothic" w:cs="Century Gothic"/>
                  <w:color w:val="000000"/>
                  <w:szCs w:val="21"/>
                  <w:u w:val="single"/>
                </w:rPr>
                <w:t>jen@ncx.com</w:t>
              </w:r>
            </w:hyperlink>
            <w:r w:rsidRPr="00E44C69">
              <w:rPr>
                <w:rFonts w:eastAsia="Century Gothic" w:cs="Century Gothic"/>
                <w:color w:val="000000"/>
                <w:szCs w:val="21"/>
                <w:u w:val="single"/>
              </w:rPr>
              <w:t>)</w:t>
            </w:r>
          </w:p>
        </w:tc>
      </w:tr>
    </w:tbl>
    <w:p w14:paraId="00000018" w14:textId="77777777" w:rsidR="00471C28" w:rsidRDefault="00471C28">
      <w:pPr>
        <w:spacing w:before="60" w:after="120" w:line="288" w:lineRule="auto"/>
        <w:rPr>
          <w:rFonts w:ascii="Century Gothic" w:eastAsia="Century Gothic" w:hAnsi="Century Gothic" w:cs="Century Gothic"/>
          <w:color w:val="005B82"/>
          <w:sz w:val="22"/>
          <w:szCs w:val="22"/>
        </w:rPr>
        <w:sectPr w:rsidR="00471C28">
          <w:pgSz w:w="12240" w:h="15840"/>
          <w:pgMar w:top="1440" w:right="1440" w:bottom="1440" w:left="1440" w:header="720" w:footer="720" w:gutter="0"/>
          <w:pgNumType w:start="1"/>
          <w:cols w:space="720"/>
        </w:sectPr>
      </w:pPr>
    </w:p>
    <w:p w14:paraId="00000019" w14:textId="77777777" w:rsidR="00471C28" w:rsidRPr="00F57B81" w:rsidRDefault="00CF15C9" w:rsidP="008D139B">
      <w:pPr>
        <w:pStyle w:val="Heading1"/>
        <w:numPr>
          <w:ilvl w:val="0"/>
          <w:numId w:val="0"/>
        </w:numPr>
        <w:ind w:left="720"/>
        <w:rPr>
          <w:rFonts w:eastAsia="Century Gothic"/>
        </w:rPr>
      </w:pPr>
      <w:bookmarkStart w:id="0" w:name="_heading=h.1fob9te" w:colFirst="0" w:colLast="0"/>
      <w:bookmarkStart w:id="1" w:name="_Toc98322278"/>
      <w:bookmarkEnd w:id="0"/>
      <w:r w:rsidRPr="00831BA8">
        <w:lastRenderedPageBreak/>
        <w:t>Relationship</w:t>
      </w:r>
      <w:r w:rsidRPr="00F57B81">
        <w:rPr>
          <w:rFonts w:eastAsia="Century Gothic"/>
        </w:rPr>
        <w:t xml:space="preserve"> to Approved or Pending Methodologies</w:t>
      </w:r>
      <w:bookmarkEnd w:id="1"/>
    </w:p>
    <w:p w14:paraId="0000001A" w14:textId="5B31A0BE" w:rsidR="00471C28" w:rsidRPr="00F57B81" w:rsidRDefault="00CF15C9">
      <w:pPr>
        <w:pBdr>
          <w:top w:val="nil"/>
          <w:left w:val="nil"/>
          <w:bottom w:val="nil"/>
          <w:right w:val="nil"/>
          <w:between w:val="nil"/>
        </w:pBdr>
        <w:spacing w:before="60" w:after="120" w:line="276" w:lineRule="auto"/>
        <w:rPr>
          <w:rFonts w:eastAsia="Century Gothic" w:cs="Century Gothic"/>
          <w:color w:val="000000"/>
          <w:szCs w:val="21"/>
        </w:rPr>
      </w:pPr>
      <w:bookmarkStart w:id="2" w:name="_heading=h.3znysh7"/>
      <w:bookmarkEnd w:id="2"/>
      <w:r w:rsidRPr="00F57B81">
        <w:rPr>
          <w:rFonts w:eastAsia="Century Gothic" w:cs="Century Gothic"/>
          <w:color w:val="000000" w:themeColor="text1"/>
          <w:szCs w:val="21"/>
        </w:rPr>
        <w:t xml:space="preserve">Approved and pending methodologies under the VCS Program and approved GHG programs that fall under the same sectoral scope </w:t>
      </w:r>
      <w:r w:rsidR="00360697" w:rsidRPr="00F57B81">
        <w:rPr>
          <w:rFonts w:eastAsia="Century Gothic" w:cs="Century Gothic"/>
          <w:color w:val="000000" w:themeColor="text1"/>
          <w:szCs w:val="21"/>
        </w:rPr>
        <w:t>(14 – Agriculture, Forestry and Other Land Uses - AFOLU) and AFOLU project category (Improved Forest Management - IFM</w:t>
      </w:r>
      <w:r w:rsidR="00D83DCA" w:rsidRPr="00F57B81">
        <w:rPr>
          <w:rFonts w:eastAsia="Century Gothic" w:cs="Century Gothic"/>
          <w:color w:val="000000" w:themeColor="text1"/>
          <w:szCs w:val="21"/>
        </w:rPr>
        <w:t>), were</w:t>
      </w:r>
      <w:r w:rsidRPr="00F57B81">
        <w:rPr>
          <w:rFonts w:eastAsia="Century Gothic" w:cs="Century Gothic"/>
          <w:color w:val="000000" w:themeColor="text1"/>
          <w:szCs w:val="21"/>
        </w:rPr>
        <w:t xml:space="preserve"> reviewed to determine whether an existing methodology could be reasonably revised to meet the objective of this proposed methodology. Four methodologies were identified and are set out below.</w:t>
      </w:r>
    </w:p>
    <w:p w14:paraId="0000001B" w14:textId="77777777" w:rsidR="00471C28" w:rsidRPr="00F57B81" w:rsidRDefault="00CF15C9">
      <w:pPr>
        <w:spacing w:before="60" w:after="120"/>
        <w:rPr>
          <w:rFonts w:eastAsia="Century Gothic" w:cs="Century Gothic"/>
          <w:szCs w:val="21"/>
        </w:rPr>
      </w:pPr>
      <w:bookmarkStart w:id="3" w:name="_heading=h.2et92p0" w:colFirst="0" w:colLast="0"/>
      <w:bookmarkEnd w:id="3"/>
      <w:r w:rsidRPr="00F57B81">
        <w:rPr>
          <w:rFonts w:eastAsia="Century Gothic" w:cs="Century Gothic"/>
          <w:color w:val="000000"/>
          <w:szCs w:val="21"/>
        </w:rPr>
        <w:t xml:space="preserve">These methodologies could not be reasonably revised for several reasons cited in the comments section of </w:t>
      </w:r>
      <w:r w:rsidRPr="00F57B81">
        <w:rPr>
          <w:rFonts w:eastAsia="Century Gothic" w:cs="Century Gothic"/>
          <w:szCs w:val="21"/>
        </w:rPr>
        <w:t>Table 1-1: Similar Methodologies</w:t>
      </w:r>
      <w:r w:rsidRPr="00F57B81">
        <w:rPr>
          <w:rFonts w:eastAsia="Century Gothic" w:cs="Century Gothic"/>
          <w:color w:val="000000"/>
          <w:szCs w:val="21"/>
        </w:rPr>
        <w:t xml:space="preserve">. </w:t>
      </w:r>
    </w:p>
    <w:p w14:paraId="0000001C" w14:textId="77777777" w:rsidR="00471C28" w:rsidRDefault="00CF15C9" w:rsidP="00B51944">
      <w:pPr>
        <w:pStyle w:val="FigureandTableTitles"/>
      </w:pPr>
      <w:bookmarkStart w:id="4" w:name="_heading=h.tyjcwt" w:colFirst="0" w:colLast="0"/>
      <w:bookmarkEnd w:id="4"/>
      <w:r>
        <w:t>Table 1-1: Similar Methodologies</w:t>
      </w:r>
    </w:p>
    <w:tbl>
      <w:tblPr>
        <w:tblW w:w="9450" w:type="dxa"/>
        <w:tblInd w:w="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1640"/>
        <w:gridCol w:w="1960"/>
        <w:gridCol w:w="1260"/>
        <w:gridCol w:w="4590"/>
      </w:tblGrid>
      <w:tr w:rsidR="00471C28" w14:paraId="0559BD4B" w14:textId="77777777" w:rsidTr="00471C28">
        <w:trPr>
          <w:trHeight w:val="594"/>
        </w:trPr>
        <w:tc>
          <w:tcPr>
            <w:tcW w:w="1640" w:type="dxa"/>
            <w:shd w:val="clear" w:color="auto" w:fill="CCD4E5"/>
          </w:tcPr>
          <w:p w14:paraId="0000001D" w14:textId="77777777" w:rsidR="00471C28" w:rsidRPr="00B51944" w:rsidRDefault="00CF15C9">
            <w:pPr>
              <w:spacing w:before="60" w:after="120"/>
              <w:rPr>
                <w:rFonts w:eastAsia="Century Gothic" w:cs="Century Gothic"/>
              </w:rPr>
            </w:pPr>
            <w:r w:rsidRPr="00B51944">
              <w:rPr>
                <w:rFonts w:eastAsia="Century Gothic" w:cs="Century Gothic"/>
              </w:rPr>
              <w:t>Methodology</w:t>
            </w:r>
          </w:p>
        </w:tc>
        <w:tc>
          <w:tcPr>
            <w:tcW w:w="1960" w:type="dxa"/>
            <w:shd w:val="clear" w:color="auto" w:fill="2B3957"/>
          </w:tcPr>
          <w:p w14:paraId="0000001E" w14:textId="77777777" w:rsidR="00471C28" w:rsidRPr="00B51944" w:rsidRDefault="00CF15C9">
            <w:pPr>
              <w:spacing w:before="60" w:after="120"/>
              <w:rPr>
                <w:rFonts w:eastAsia="Century Gothic" w:cs="Century Gothic"/>
                <w:b/>
                <w:color w:val="FFFFFF"/>
              </w:rPr>
            </w:pPr>
            <w:r w:rsidRPr="00B51944">
              <w:rPr>
                <w:rFonts w:eastAsia="Century Gothic" w:cs="Century Gothic"/>
                <w:b/>
                <w:color w:val="FFFFFF"/>
              </w:rPr>
              <w:t>Title</w:t>
            </w:r>
          </w:p>
        </w:tc>
        <w:tc>
          <w:tcPr>
            <w:tcW w:w="1260" w:type="dxa"/>
            <w:shd w:val="clear" w:color="auto" w:fill="2B3957"/>
          </w:tcPr>
          <w:p w14:paraId="0000001F" w14:textId="77777777" w:rsidR="00471C28" w:rsidRPr="00B51944" w:rsidRDefault="00CF15C9">
            <w:pPr>
              <w:spacing w:before="60" w:after="120"/>
              <w:rPr>
                <w:rFonts w:eastAsia="Century Gothic" w:cs="Century Gothic"/>
                <w:b/>
                <w:color w:val="FFFFFF"/>
              </w:rPr>
            </w:pPr>
            <w:r w:rsidRPr="00B51944">
              <w:rPr>
                <w:rFonts w:eastAsia="Century Gothic" w:cs="Century Gothic"/>
                <w:b/>
                <w:color w:val="FFFFFF"/>
              </w:rPr>
              <w:t>GHG Program</w:t>
            </w:r>
          </w:p>
        </w:tc>
        <w:tc>
          <w:tcPr>
            <w:tcW w:w="4590" w:type="dxa"/>
            <w:shd w:val="clear" w:color="auto" w:fill="2B3957"/>
          </w:tcPr>
          <w:p w14:paraId="00000020" w14:textId="77777777" w:rsidR="00471C28" w:rsidRPr="00B51944" w:rsidRDefault="00CF15C9">
            <w:pPr>
              <w:spacing w:before="60" w:after="120"/>
              <w:rPr>
                <w:rFonts w:eastAsia="Century Gothic" w:cs="Century Gothic"/>
                <w:b/>
                <w:color w:val="FFFFFF"/>
              </w:rPr>
            </w:pPr>
            <w:r w:rsidRPr="00B51944">
              <w:rPr>
                <w:rFonts w:eastAsia="Century Gothic" w:cs="Century Gothic"/>
                <w:b/>
                <w:color w:val="FFFFFF"/>
              </w:rPr>
              <w:t>Comments</w:t>
            </w:r>
          </w:p>
        </w:tc>
      </w:tr>
      <w:tr w:rsidR="00471C28" w14:paraId="5EBF8E8E" w14:textId="77777777" w:rsidTr="00471C28">
        <w:trPr>
          <w:trHeight w:val="594"/>
        </w:trPr>
        <w:tc>
          <w:tcPr>
            <w:tcW w:w="1640" w:type="dxa"/>
            <w:shd w:val="clear" w:color="auto" w:fill="F2F2F2"/>
          </w:tcPr>
          <w:p w14:paraId="00000021"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VM0003</w:t>
            </w:r>
          </w:p>
        </w:tc>
        <w:tc>
          <w:tcPr>
            <w:tcW w:w="1960" w:type="dxa"/>
            <w:shd w:val="clear" w:color="auto" w:fill="F2F2F2"/>
          </w:tcPr>
          <w:p w14:paraId="00000022"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Methodology for Improved Forest Management through Rotation Age Extension</w:t>
            </w:r>
          </w:p>
        </w:tc>
        <w:tc>
          <w:tcPr>
            <w:tcW w:w="1260" w:type="dxa"/>
            <w:shd w:val="clear" w:color="auto" w:fill="F2F2F2"/>
          </w:tcPr>
          <w:p w14:paraId="00000023"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VCS</w:t>
            </w:r>
          </w:p>
        </w:tc>
        <w:tc>
          <w:tcPr>
            <w:tcW w:w="4590" w:type="dxa"/>
            <w:shd w:val="clear" w:color="auto" w:fill="F2F2F2"/>
          </w:tcPr>
          <w:p w14:paraId="00000024"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 xml:space="preserve">VM0003 uses a project method for baseline and additionality determination, whereas the proposed methodology uses a performance method. Additionally, unlike VM0003, this methodology clarifies use of remote sensing data derivatives to increase measuring and monitoring efficiency and incorporates tonne-year accounting to determine and assure equivalent impact to permanent storage. Finally, VM0003 relies on growth and yield models for the determination of carbon stocking, whereas growth/yield models are not necessary in this methodology because of the quantification method.  </w:t>
            </w:r>
          </w:p>
        </w:tc>
      </w:tr>
      <w:tr w:rsidR="00471C28" w14:paraId="75CCD325" w14:textId="77777777" w:rsidTr="00471C28">
        <w:trPr>
          <w:trHeight w:val="594"/>
        </w:trPr>
        <w:tc>
          <w:tcPr>
            <w:tcW w:w="1640" w:type="dxa"/>
            <w:shd w:val="clear" w:color="auto" w:fill="F2F2F2"/>
          </w:tcPr>
          <w:p w14:paraId="00000025"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VM0012</w:t>
            </w:r>
          </w:p>
        </w:tc>
        <w:tc>
          <w:tcPr>
            <w:tcW w:w="1960" w:type="dxa"/>
            <w:shd w:val="clear" w:color="auto" w:fill="F2F2F2"/>
          </w:tcPr>
          <w:p w14:paraId="00000026"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Improved Forest Management in Temperate and Boreal Forests</w:t>
            </w:r>
          </w:p>
        </w:tc>
        <w:tc>
          <w:tcPr>
            <w:tcW w:w="1260" w:type="dxa"/>
            <w:shd w:val="clear" w:color="auto" w:fill="F2F2F2"/>
          </w:tcPr>
          <w:p w14:paraId="00000027"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VCS</w:t>
            </w:r>
          </w:p>
        </w:tc>
        <w:tc>
          <w:tcPr>
            <w:tcW w:w="4590" w:type="dxa"/>
            <w:shd w:val="clear" w:color="auto" w:fill="F2F2F2"/>
          </w:tcPr>
          <w:p w14:paraId="00000028"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 xml:space="preserve">VM0012 uses a project method for baseline and additionality determination whereas the proposed methodology uses a performance method. Additionally, unlike VM0012, this methodology clarifies use of remote sensing data derivatives to increase measuring and monitoring efficiency and incorporates tonne-year accounting to determine and assure </w:t>
            </w:r>
            <w:r w:rsidRPr="00B51944">
              <w:rPr>
                <w:rFonts w:eastAsia="Century Gothic" w:cs="Century Gothic"/>
                <w:color w:val="404040"/>
              </w:rPr>
              <w:lastRenderedPageBreak/>
              <w:t xml:space="preserve">equivalent impact to permanent storage. VM0012 relies on growth and yield models for the determination of carbon stocking where growth/yield models are not necessary in this methodology. Finally, VM0012 is not applicable to working forests, such as plantation forests, where that is not a restriction imposed by this methodology.   </w:t>
            </w:r>
          </w:p>
        </w:tc>
      </w:tr>
      <w:tr w:rsidR="00471C28" w14:paraId="4DCD326B" w14:textId="77777777" w:rsidTr="00471C28">
        <w:trPr>
          <w:trHeight w:val="594"/>
        </w:trPr>
        <w:tc>
          <w:tcPr>
            <w:tcW w:w="1640" w:type="dxa"/>
            <w:shd w:val="clear" w:color="auto" w:fill="F2F2F2"/>
          </w:tcPr>
          <w:p w14:paraId="00000029"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lastRenderedPageBreak/>
              <w:t>VM0034</w:t>
            </w:r>
          </w:p>
        </w:tc>
        <w:tc>
          <w:tcPr>
            <w:tcW w:w="1960" w:type="dxa"/>
            <w:shd w:val="clear" w:color="auto" w:fill="F2F2F2"/>
          </w:tcPr>
          <w:p w14:paraId="0000002A"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Canadian Forest Carbon Offset Methodology</w:t>
            </w:r>
          </w:p>
        </w:tc>
        <w:tc>
          <w:tcPr>
            <w:tcW w:w="1260" w:type="dxa"/>
            <w:shd w:val="clear" w:color="auto" w:fill="F2F2F2"/>
          </w:tcPr>
          <w:p w14:paraId="0000002B"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VCS</w:t>
            </w:r>
          </w:p>
        </w:tc>
        <w:tc>
          <w:tcPr>
            <w:tcW w:w="4590" w:type="dxa"/>
            <w:shd w:val="clear" w:color="auto" w:fill="F2F2F2"/>
          </w:tcPr>
          <w:p w14:paraId="0000002C"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 xml:space="preserve">VM0034 uses a project method for baseline and additionality determination, whereas the proposed methodology uses a performance method. Additionally, unlike VM0034, this methodology clarifies use of remote sensing data derivatives to increase measuring and monitoring efficiency and incorporates tonne-year accounting to determine and assure equivalent impact to permanent storage. Finally, VM0034 relies on growth and yield models for the determination of carbon stocking where growth/yield models are not necessary in this methodology.  </w:t>
            </w:r>
          </w:p>
        </w:tc>
      </w:tr>
      <w:tr w:rsidR="00471C28" w14:paraId="54141600" w14:textId="77777777" w:rsidTr="00471C28">
        <w:trPr>
          <w:trHeight w:val="594"/>
        </w:trPr>
        <w:tc>
          <w:tcPr>
            <w:tcW w:w="1640" w:type="dxa"/>
            <w:shd w:val="clear" w:color="auto" w:fill="F2F2F2"/>
          </w:tcPr>
          <w:p w14:paraId="0000002D"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Under development at time of writing (Family Forest Carbon Program, TNC and AFF)</w:t>
            </w:r>
          </w:p>
        </w:tc>
        <w:tc>
          <w:tcPr>
            <w:tcW w:w="1960" w:type="dxa"/>
            <w:shd w:val="clear" w:color="auto" w:fill="F2F2F2"/>
          </w:tcPr>
          <w:p w14:paraId="0000002E"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Methodology for Improved Forest Management</w:t>
            </w:r>
          </w:p>
        </w:tc>
        <w:tc>
          <w:tcPr>
            <w:tcW w:w="1260" w:type="dxa"/>
            <w:shd w:val="clear" w:color="auto" w:fill="F2F2F2"/>
          </w:tcPr>
          <w:p w14:paraId="0000002F"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VCS</w:t>
            </w:r>
          </w:p>
        </w:tc>
        <w:tc>
          <w:tcPr>
            <w:tcW w:w="4590" w:type="dxa"/>
            <w:shd w:val="clear" w:color="auto" w:fill="F2F2F2"/>
          </w:tcPr>
          <w:p w14:paraId="00000030" w14:textId="77777777" w:rsidR="00471C28" w:rsidRPr="00B51944" w:rsidRDefault="00CF15C9">
            <w:pPr>
              <w:spacing w:before="60" w:after="120"/>
              <w:rPr>
                <w:rFonts w:eastAsia="Century Gothic" w:cs="Century Gothic"/>
                <w:color w:val="404040"/>
              </w:rPr>
            </w:pPr>
            <w:r w:rsidRPr="00B51944">
              <w:rPr>
                <w:rFonts w:eastAsia="Century Gothic" w:cs="Century Gothic"/>
                <w:color w:val="404040"/>
              </w:rPr>
              <w:t>The methodology under development relies on measurement and correlation of project and composite control plots that form the project’s baseline. In contrast, this methodology uses a predictive modelling approach, based on USFS FIA data, to develop the baseline scenario and for the determination of additionality. Additionally, this methodology incorporates tonne-year accounting to determine and assure equivalent impact to permanent storage.</w:t>
            </w:r>
          </w:p>
        </w:tc>
      </w:tr>
    </w:tbl>
    <w:p w14:paraId="00000032" w14:textId="13885E7D" w:rsidR="008D139B" w:rsidRDefault="00CF15C9">
      <w:pPr>
        <w:spacing w:before="60" w:after="120" w:line="259" w:lineRule="auto"/>
        <w:rPr>
          <w:rFonts w:ascii="Century Gothic" w:eastAsia="Century Gothic" w:hAnsi="Century Gothic" w:cs="Century Gothic"/>
          <w:color w:val="2B3A57"/>
          <w:sz w:val="48"/>
          <w:szCs w:val="48"/>
        </w:rPr>
      </w:pPr>
      <w:r>
        <w:rPr>
          <w:rFonts w:ascii="Century Gothic" w:eastAsia="Century Gothic" w:hAnsi="Century Gothic" w:cs="Century Gothic"/>
          <w:color w:val="2B3A57"/>
          <w:sz w:val="48"/>
          <w:szCs w:val="48"/>
        </w:rPr>
        <w:t xml:space="preserve"> </w:t>
      </w:r>
      <w:r w:rsidR="008D139B">
        <w:rPr>
          <w:rFonts w:ascii="Century Gothic" w:eastAsia="Century Gothic" w:hAnsi="Century Gothic" w:cs="Century Gothic"/>
          <w:color w:val="2B3A57"/>
          <w:sz w:val="48"/>
          <w:szCs w:val="48"/>
        </w:rPr>
        <w:br w:type="page"/>
      </w:r>
    </w:p>
    <w:p w14:paraId="719D9722" w14:textId="77777777" w:rsidR="00471C28" w:rsidRDefault="00471C28">
      <w:pPr>
        <w:spacing w:before="60" w:after="120" w:line="259" w:lineRule="auto"/>
        <w:rPr>
          <w:rFonts w:ascii="Century Gothic" w:eastAsia="Century Gothic" w:hAnsi="Century Gothic" w:cs="Century Gothic"/>
        </w:rPr>
      </w:pPr>
    </w:p>
    <w:p w14:paraId="00000033" w14:textId="77777777" w:rsidR="00471C28" w:rsidRDefault="00000000">
      <w:pPr>
        <w:widowControl w:val="0"/>
        <w:pBdr>
          <w:top w:val="nil"/>
          <w:left w:val="nil"/>
          <w:bottom w:val="nil"/>
          <w:right w:val="nil"/>
          <w:between w:val="nil"/>
        </w:pBdr>
        <w:spacing w:before="60" w:after="120" w:line="276" w:lineRule="auto"/>
        <w:rPr>
          <w:rFonts w:ascii="Century Gothic" w:eastAsia="Century Gothic" w:hAnsi="Century Gothic" w:cs="Century Gothic"/>
          <w:smallCaps/>
          <w:color w:val="2B3A57"/>
          <w:sz w:val="48"/>
          <w:szCs w:val="48"/>
        </w:rPr>
      </w:pPr>
      <w:sdt>
        <w:sdtPr>
          <w:tag w:val="goog_rdk_0"/>
          <w:id w:val="530178702"/>
          <w:placeholder>
            <w:docPart w:val="DefaultPlaceholder_1081868574"/>
          </w:placeholder>
        </w:sdtPr>
        <w:sdtContent/>
      </w:sdt>
      <w:sdt>
        <w:sdtPr>
          <w:tag w:val="goog_rdk_1"/>
          <w:id w:val="901852613"/>
          <w:placeholder>
            <w:docPart w:val="DefaultPlaceholder_1081868574"/>
          </w:placeholder>
        </w:sdtPr>
        <w:sdtContent/>
      </w:sdt>
      <w:r w:rsidR="00CF15C9" w:rsidRPr="54A671BE">
        <w:rPr>
          <w:rFonts w:ascii="Century Gothic" w:eastAsia="Century Gothic" w:hAnsi="Century Gothic" w:cs="Century Gothic"/>
          <w:smallCaps/>
          <w:color w:val="2B3A57"/>
          <w:sz w:val="48"/>
          <w:szCs w:val="48"/>
        </w:rPr>
        <w:t>Contents</w:t>
      </w:r>
    </w:p>
    <w:sdt>
      <w:sdtPr>
        <w:rPr>
          <w:rFonts w:ascii="Franklin Gothic Book" w:eastAsia="Times New Roman" w:hAnsi="Franklin Gothic Book" w:cs="Times New Roman"/>
          <w:b w:val="0"/>
          <w:caps w:val="0"/>
          <w:color w:val="auto"/>
          <w:spacing w:val="2"/>
          <w:kern w:val="0"/>
          <w:sz w:val="21"/>
          <w:szCs w:val="24"/>
          <w:lang w:val="en-GB"/>
        </w:rPr>
        <w:id w:val="723654584"/>
        <w:docPartObj>
          <w:docPartGallery w:val="Table of Contents"/>
          <w:docPartUnique/>
        </w:docPartObj>
      </w:sdtPr>
      <w:sdtEndPr>
        <w:rPr>
          <w:rFonts w:eastAsia="MS Mincho"/>
        </w:rPr>
      </w:sdtEndPr>
      <w:sdtContent>
        <w:p w14:paraId="21B0FD29" w14:textId="2D8F01EF" w:rsidR="00C2392A" w:rsidRDefault="00CF15C9">
          <w:pPr>
            <w:pStyle w:val="TOC1"/>
            <w:rPr>
              <w:rFonts w:asciiTheme="minorHAnsi" w:eastAsiaTheme="minorEastAsia" w:hAnsiTheme="minorHAnsi"/>
              <w:b w:val="0"/>
              <w:caps w:val="0"/>
              <w:noProof/>
              <w:color w:val="auto"/>
              <w:kern w:val="0"/>
              <w:sz w:val="22"/>
            </w:rPr>
          </w:pPr>
          <w:r>
            <w:rPr>
              <w:rFonts w:eastAsia="Libre Franklin" w:cs="Libre Franklin"/>
              <w:color w:val="2B3A57"/>
              <w:szCs w:val="21"/>
            </w:rPr>
            <w:fldChar w:fldCharType="begin"/>
          </w:r>
          <w:r>
            <w:instrText xml:space="preserve"> TOC \h \u \z </w:instrText>
          </w:r>
          <w:r>
            <w:rPr>
              <w:rFonts w:eastAsia="Libre Franklin" w:cs="Libre Franklin"/>
              <w:color w:val="2B3A57"/>
              <w:szCs w:val="21"/>
            </w:rPr>
            <w:fldChar w:fldCharType="separate"/>
          </w:r>
        </w:p>
        <w:p w14:paraId="1DECCEC9" w14:textId="6FC64D5D" w:rsidR="00C2392A" w:rsidRDefault="00000000">
          <w:pPr>
            <w:pStyle w:val="TOC1"/>
            <w:rPr>
              <w:rFonts w:asciiTheme="minorHAnsi" w:eastAsiaTheme="minorEastAsia" w:hAnsiTheme="minorHAnsi"/>
              <w:b w:val="0"/>
              <w:caps w:val="0"/>
              <w:noProof/>
              <w:color w:val="auto"/>
              <w:kern w:val="0"/>
              <w:sz w:val="22"/>
            </w:rPr>
          </w:pPr>
          <w:hyperlink w:anchor="_Toc98322279" w:history="1">
            <w:r w:rsidR="00C2392A" w:rsidRPr="00C24CD8">
              <w:rPr>
                <w:rStyle w:val="Hyperlink"/>
                <w:noProof/>
              </w:rPr>
              <w:t>1</w:t>
            </w:r>
            <w:r w:rsidR="00C2392A">
              <w:rPr>
                <w:rFonts w:asciiTheme="minorHAnsi" w:eastAsiaTheme="minorEastAsia" w:hAnsiTheme="minorHAnsi"/>
                <w:b w:val="0"/>
                <w:caps w:val="0"/>
                <w:noProof/>
                <w:color w:val="auto"/>
                <w:kern w:val="0"/>
                <w:sz w:val="22"/>
              </w:rPr>
              <w:tab/>
            </w:r>
            <w:r w:rsidR="00C2392A" w:rsidRPr="00C24CD8">
              <w:rPr>
                <w:rStyle w:val="Hyperlink"/>
                <w:noProof/>
              </w:rPr>
              <w:t>Sources</w:t>
            </w:r>
            <w:r w:rsidR="00C2392A">
              <w:rPr>
                <w:noProof/>
                <w:webHidden/>
              </w:rPr>
              <w:tab/>
            </w:r>
            <w:r w:rsidR="00C2392A">
              <w:rPr>
                <w:noProof/>
                <w:webHidden/>
              </w:rPr>
              <w:fldChar w:fldCharType="begin"/>
            </w:r>
            <w:r w:rsidR="00C2392A">
              <w:rPr>
                <w:noProof/>
                <w:webHidden/>
              </w:rPr>
              <w:instrText xml:space="preserve"> PAGEREF _Toc98322279 \h </w:instrText>
            </w:r>
            <w:r w:rsidR="00C2392A">
              <w:rPr>
                <w:noProof/>
                <w:webHidden/>
              </w:rPr>
            </w:r>
            <w:r w:rsidR="00C2392A">
              <w:rPr>
                <w:noProof/>
                <w:webHidden/>
              </w:rPr>
              <w:fldChar w:fldCharType="separate"/>
            </w:r>
            <w:r w:rsidR="009B2CF5">
              <w:rPr>
                <w:noProof/>
                <w:webHidden/>
              </w:rPr>
              <w:t>6</w:t>
            </w:r>
            <w:r w:rsidR="00C2392A">
              <w:rPr>
                <w:noProof/>
                <w:webHidden/>
              </w:rPr>
              <w:fldChar w:fldCharType="end"/>
            </w:r>
          </w:hyperlink>
        </w:p>
        <w:p w14:paraId="20C5B409" w14:textId="08E1EAB0" w:rsidR="00C2392A" w:rsidRDefault="00000000">
          <w:pPr>
            <w:pStyle w:val="TOC1"/>
            <w:rPr>
              <w:rFonts w:asciiTheme="minorHAnsi" w:eastAsiaTheme="minorEastAsia" w:hAnsiTheme="minorHAnsi"/>
              <w:b w:val="0"/>
              <w:caps w:val="0"/>
              <w:noProof/>
              <w:color w:val="auto"/>
              <w:kern w:val="0"/>
              <w:sz w:val="22"/>
            </w:rPr>
          </w:pPr>
          <w:hyperlink w:anchor="_Toc98322280" w:history="1">
            <w:r w:rsidR="00C2392A" w:rsidRPr="00C24CD8">
              <w:rPr>
                <w:rStyle w:val="Hyperlink"/>
                <w:noProof/>
              </w:rPr>
              <w:t>2</w:t>
            </w:r>
            <w:r w:rsidR="00C2392A">
              <w:rPr>
                <w:rFonts w:asciiTheme="minorHAnsi" w:eastAsiaTheme="minorEastAsia" w:hAnsiTheme="minorHAnsi"/>
                <w:b w:val="0"/>
                <w:caps w:val="0"/>
                <w:noProof/>
                <w:color w:val="auto"/>
                <w:kern w:val="0"/>
                <w:sz w:val="22"/>
              </w:rPr>
              <w:tab/>
            </w:r>
            <w:r w:rsidR="00C2392A" w:rsidRPr="00C24CD8">
              <w:rPr>
                <w:rStyle w:val="Hyperlink"/>
                <w:noProof/>
              </w:rPr>
              <w:t>Summary description of the Methodology</w:t>
            </w:r>
            <w:r w:rsidR="00C2392A">
              <w:rPr>
                <w:noProof/>
                <w:webHidden/>
              </w:rPr>
              <w:tab/>
            </w:r>
            <w:r w:rsidR="00C2392A">
              <w:rPr>
                <w:noProof/>
                <w:webHidden/>
              </w:rPr>
              <w:fldChar w:fldCharType="begin"/>
            </w:r>
            <w:r w:rsidR="00C2392A">
              <w:rPr>
                <w:noProof/>
                <w:webHidden/>
              </w:rPr>
              <w:instrText xml:space="preserve"> PAGEREF _Toc98322280 \h </w:instrText>
            </w:r>
            <w:r w:rsidR="00C2392A">
              <w:rPr>
                <w:noProof/>
                <w:webHidden/>
              </w:rPr>
            </w:r>
            <w:r w:rsidR="00C2392A">
              <w:rPr>
                <w:noProof/>
                <w:webHidden/>
              </w:rPr>
              <w:fldChar w:fldCharType="separate"/>
            </w:r>
            <w:r w:rsidR="009B2CF5">
              <w:rPr>
                <w:noProof/>
                <w:webHidden/>
              </w:rPr>
              <w:t>6</w:t>
            </w:r>
            <w:r w:rsidR="00C2392A">
              <w:rPr>
                <w:noProof/>
                <w:webHidden/>
              </w:rPr>
              <w:fldChar w:fldCharType="end"/>
            </w:r>
          </w:hyperlink>
        </w:p>
        <w:p w14:paraId="5B988DE4" w14:textId="1FBBE43E" w:rsidR="00C2392A" w:rsidRDefault="00000000">
          <w:pPr>
            <w:pStyle w:val="TOC1"/>
            <w:rPr>
              <w:rFonts w:asciiTheme="minorHAnsi" w:eastAsiaTheme="minorEastAsia" w:hAnsiTheme="minorHAnsi"/>
              <w:b w:val="0"/>
              <w:caps w:val="0"/>
              <w:noProof/>
              <w:color w:val="auto"/>
              <w:kern w:val="0"/>
              <w:sz w:val="22"/>
            </w:rPr>
          </w:pPr>
          <w:hyperlink w:anchor="_Toc98322281" w:history="1">
            <w:r w:rsidR="00C2392A" w:rsidRPr="00C24CD8">
              <w:rPr>
                <w:rStyle w:val="Hyperlink"/>
                <w:noProof/>
              </w:rPr>
              <w:t>3</w:t>
            </w:r>
            <w:r w:rsidR="00C2392A">
              <w:rPr>
                <w:rFonts w:asciiTheme="minorHAnsi" w:eastAsiaTheme="minorEastAsia" w:hAnsiTheme="minorHAnsi"/>
                <w:b w:val="0"/>
                <w:caps w:val="0"/>
                <w:noProof/>
                <w:color w:val="auto"/>
                <w:kern w:val="0"/>
                <w:sz w:val="22"/>
              </w:rPr>
              <w:tab/>
            </w:r>
            <w:r w:rsidR="00C2392A" w:rsidRPr="00C24CD8">
              <w:rPr>
                <w:rStyle w:val="Hyperlink"/>
                <w:noProof/>
              </w:rPr>
              <w:t>Definitions</w:t>
            </w:r>
            <w:r w:rsidR="00C2392A">
              <w:rPr>
                <w:noProof/>
                <w:webHidden/>
              </w:rPr>
              <w:tab/>
            </w:r>
            <w:r w:rsidR="00C2392A">
              <w:rPr>
                <w:noProof/>
                <w:webHidden/>
              </w:rPr>
              <w:fldChar w:fldCharType="begin"/>
            </w:r>
            <w:r w:rsidR="00C2392A">
              <w:rPr>
                <w:noProof/>
                <w:webHidden/>
              </w:rPr>
              <w:instrText xml:space="preserve"> PAGEREF _Toc98322281 \h </w:instrText>
            </w:r>
            <w:r w:rsidR="00C2392A">
              <w:rPr>
                <w:noProof/>
                <w:webHidden/>
              </w:rPr>
            </w:r>
            <w:r w:rsidR="00C2392A">
              <w:rPr>
                <w:noProof/>
                <w:webHidden/>
              </w:rPr>
              <w:fldChar w:fldCharType="separate"/>
            </w:r>
            <w:r w:rsidR="009B2CF5">
              <w:rPr>
                <w:noProof/>
                <w:webHidden/>
              </w:rPr>
              <w:t>7</w:t>
            </w:r>
            <w:r w:rsidR="00C2392A">
              <w:rPr>
                <w:noProof/>
                <w:webHidden/>
              </w:rPr>
              <w:fldChar w:fldCharType="end"/>
            </w:r>
          </w:hyperlink>
        </w:p>
        <w:p w14:paraId="06884EC1" w14:textId="731C813B" w:rsidR="00C2392A" w:rsidRDefault="00000000">
          <w:pPr>
            <w:pStyle w:val="TOC1"/>
            <w:rPr>
              <w:rFonts w:asciiTheme="minorHAnsi" w:eastAsiaTheme="minorEastAsia" w:hAnsiTheme="minorHAnsi"/>
              <w:b w:val="0"/>
              <w:caps w:val="0"/>
              <w:noProof/>
              <w:color w:val="auto"/>
              <w:kern w:val="0"/>
              <w:sz w:val="22"/>
            </w:rPr>
          </w:pPr>
          <w:hyperlink w:anchor="_Toc98322282" w:history="1">
            <w:r w:rsidR="00C2392A" w:rsidRPr="00C24CD8">
              <w:rPr>
                <w:rStyle w:val="Hyperlink"/>
                <w:noProof/>
              </w:rPr>
              <w:t>4</w:t>
            </w:r>
            <w:r w:rsidR="00C2392A">
              <w:rPr>
                <w:rFonts w:asciiTheme="minorHAnsi" w:eastAsiaTheme="minorEastAsia" w:hAnsiTheme="minorHAnsi"/>
                <w:b w:val="0"/>
                <w:caps w:val="0"/>
                <w:noProof/>
                <w:color w:val="auto"/>
                <w:kern w:val="0"/>
                <w:sz w:val="22"/>
              </w:rPr>
              <w:tab/>
            </w:r>
            <w:r w:rsidR="00C2392A" w:rsidRPr="00C24CD8">
              <w:rPr>
                <w:rStyle w:val="Hyperlink"/>
                <w:noProof/>
              </w:rPr>
              <w:t>Applicability conditions</w:t>
            </w:r>
            <w:r w:rsidR="00C2392A">
              <w:rPr>
                <w:noProof/>
                <w:webHidden/>
              </w:rPr>
              <w:tab/>
            </w:r>
            <w:r w:rsidR="00C2392A">
              <w:rPr>
                <w:noProof/>
                <w:webHidden/>
              </w:rPr>
              <w:fldChar w:fldCharType="begin"/>
            </w:r>
            <w:r w:rsidR="00C2392A">
              <w:rPr>
                <w:noProof/>
                <w:webHidden/>
              </w:rPr>
              <w:instrText xml:space="preserve"> PAGEREF _Toc98322282 \h </w:instrText>
            </w:r>
            <w:r w:rsidR="00C2392A">
              <w:rPr>
                <w:noProof/>
                <w:webHidden/>
              </w:rPr>
            </w:r>
            <w:r w:rsidR="00C2392A">
              <w:rPr>
                <w:noProof/>
                <w:webHidden/>
              </w:rPr>
              <w:fldChar w:fldCharType="separate"/>
            </w:r>
            <w:r w:rsidR="009B2CF5">
              <w:rPr>
                <w:noProof/>
                <w:webHidden/>
              </w:rPr>
              <w:t>8</w:t>
            </w:r>
            <w:r w:rsidR="00C2392A">
              <w:rPr>
                <w:noProof/>
                <w:webHidden/>
              </w:rPr>
              <w:fldChar w:fldCharType="end"/>
            </w:r>
          </w:hyperlink>
        </w:p>
        <w:p w14:paraId="3641FD4F" w14:textId="595ADD08" w:rsidR="00C2392A" w:rsidRDefault="00000000">
          <w:pPr>
            <w:pStyle w:val="TOC1"/>
            <w:rPr>
              <w:rFonts w:asciiTheme="minorHAnsi" w:eastAsiaTheme="minorEastAsia" w:hAnsiTheme="minorHAnsi"/>
              <w:b w:val="0"/>
              <w:caps w:val="0"/>
              <w:noProof/>
              <w:color w:val="auto"/>
              <w:kern w:val="0"/>
              <w:sz w:val="22"/>
            </w:rPr>
          </w:pPr>
          <w:hyperlink w:anchor="_Toc98322283" w:history="1">
            <w:r w:rsidR="00C2392A" w:rsidRPr="00C24CD8">
              <w:rPr>
                <w:rStyle w:val="Hyperlink"/>
                <w:noProof/>
              </w:rPr>
              <w:t>5</w:t>
            </w:r>
            <w:r w:rsidR="00C2392A">
              <w:rPr>
                <w:rFonts w:asciiTheme="minorHAnsi" w:eastAsiaTheme="minorEastAsia" w:hAnsiTheme="minorHAnsi"/>
                <w:b w:val="0"/>
                <w:caps w:val="0"/>
                <w:noProof/>
                <w:color w:val="auto"/>
                <w:kern w:val="0"/>
                <w:sz w:val="22"/>
              </w:rPr>
              <w:tab/>
            </w:r>
            <w:r w:rsidR="00C2392A" w:rsidRPr="00C24CD8">
              <w:rPr>
                <w:rStyle w:val="Hyperlink"/>
                <w:noProof/>
              </w:rPr>
              <w:t>Project Boundary</w:t>
            </w:r>
            <w:r w:rsidR="00C2392A">
              <w:rPr>
                <w:noProof/>
                <w:webHidden/>
              </w:rPr>
              <w:tab/>
            </w:r>
            <w:r w:rsidR="00C2392A">
              <w:rPr>
                <w:noProof/>
                <w:webHidden/>
              </w:rPr>
              <w:fldChar w:fldCharType="begin"/>
            </w:r>
            <w:r w:rsidR="00C2392A">
              <w:rPr>
                <w:noProof/>
                <w:webHidden/>
              </w:rPr>
              <w:instrText xml:space="preserve"> PAGEREF _Toc98322283 \h </w:instrText>
            </w:r>
            <w:r w:rsidR="00C2392A">
              <w:rPr>
                <w:noProof/>
                <w:webHidden/>
              </w:rPr>
            </w:r>
            <w:r w:rsidR="00C2392A">
              <w:rPr>
                <w:noProof/>
                <w:webHidden/>
              </w:rPr>
              <w:fldChar w:fldCharType="separate"/>
            </w:r>
            <w:r w:rsidR="009B2CF5">
              <w:rPr>
                <w:noProof/>
                <w:webHidden/>
              </w:rPr>
              <w:t>10</w:t>
            </w:r>
            <w:r w:rsidR="00C2392A">
              <w:rPr>
                <w:noProof/>
                <w:webHidden/>
              </w:rPr>
              <w:fldChar w:fldCharType="end"/>
            </w:r>
          </w:hyperlink>
        </w:p>
        <w:p w14:paraId="1C9F8636" w14:textId="2538F5D0" w:rsidR="00C2392A" w:rsidRDefault="00000000">
          <w:pPr>
            <w:pStyle w:val="TOC1"/>
            <w:rPr>
              <w:rFonts w:asciiTheme="minorHAnsi" w:eastAsiaTheme="minorEastAsia" w:hAnsiTheme="minorHAnsi"/>
              <w:b w:val="0"/>
              <w:caps w:val="0"/>
              <w:noProof/>
              <w:color w:val="auto"/>
              <w:kern w:val="0"/>
              <w:sz w:val="22"/>
            </w:rPr>
          </w:pPr>
          <w:hyperlink w:anchor="_Toc98322284" w:history="1">
            <w:r w:rsidR="00C2392A" w:rsidRPr="00C24CD8">
              <w:rPr>
                <w:rStyle w:val="Hyperlink"/>
                <w:noProof/>
              </w:rPr>
              <w:t>6</w:t>
            </w:r>
            <w:r w:rsidR="00C2392A">
              <w:rPr>
                <w:rFonts w:asciiTheme="minorHAnsi" w:eastAsiaTheme="minorEastAsia" w:hAnsiTheme="minorHAnsi"/>
                <w:b w:val="0"/>
                <w:caps w:val="0"/>
                <w:noProof/>
                <w:color w:val="auto"/>
                <w:kern w:val="0"/>
                <w:sz w:val="22"/>
              </w:rPr>
              <w:tab/>
            </w:r>
            <w:r w:rsidR="00C2392A" w:rsidRPr="00C24CD8">
              <w:rPr>
                <w:rStyle w:val="Hyperlink"/>
                <w:noProof/>
              </w:rPr>
              <w:t>Baseline Scenario</w:t>
            </w:r>
            <w:r w:rsidR="00C2392A">
              <w:rPr>
                <w:noProof/>
                <w:webHidden/>
              </w:rPr>
              <w:tab/>
            </w:r>
            <w:r w:rsidR="00C2392A">
              <w:rPr>
                <w:noProof/>
                <w:webHidden/>
              </w:rPr>
              <w:fldChar w:fldCharType="begin"/>
            </w:r>
            <w:r w:rsidR="00C2392A">
              <w:rPr>
                <w:noProof/>
                <w:webHidden/>
              </w:rPr>
              <w:instrText xml:space="preserve"> PAGEREF _Toc98322284 \h </w:instrText>
            </w:r>
            <w:r w:rsidR="00C2392A">
              <w:rPr>
                <w:noProof/>
                <w:webHidden/>
              </w:rPr>
            </w:r>
            <w:r w:rsidR="00C2392A">
              <w:rPr>
                <w:noProof/>
                <w:webHidden/>
              </w:rPr>
              <w:fldChar w:fldCharType="separate"/>
            </w:r>
            <w:r w:rsidR="009B2CF5">
              <w:rPr>
                <w:noProof/>
                <w:webHidden/>
              </w:rPr>
              <w:t>11</w:t>
            </w:r>
            <w:r w:rsidR="00C2392A">
              <w:rPr>
                <w:noProof/>
                <w:webHidden/>
              </w:rPr>
              <w:fldChar w:fldCharType="end"/>
            </w:r>
          </w:hyperlink>
        </w:p>
        <w:p w14:paraId="2EEC762C" w14:textId="0F4A0A74" w:rsidR="00C2392A" w:rsidRDefault="00000000">
          <w:pPr>
            <w:pStyle w:val="TOC1"/>
            <w:rPr>
              <w:rFonts w:asciiTheme="minorHAnsi" w:eastAsiaTheme="minorEastAsia" w:hAnsiTheme="minorHAnsi"/>
              <w:b w:val="0"/>
              <w:caps w:val="0"/>
              <w:noProof/>
              <w:color w:val="auto"/>
              <w:kern w:val="0"/>
              <w:sz w:val="22"/>
            </w:rPr>
          </w:pPr>
          <w:hyperlink w:anchor="_Toc98322285" w:history="1">
            <w:r w:rsidR="00C2392A" w:rsidRPr="00C24CD8">
              <w:rPr>
                <w:rStyle w:val="Hyperlink"/>
                <w:noProof/>
              </w:rPr>
              <w:t>7</w:t>
            </w:r>
            <w:r w:rsidR="00C2392A">
              <w:rPr>
                <w:rFonts w:asciiTheme="minorHAnsi" w:eastAsiaTheme="minorEastAsia" w:hAnsiTheme="minorHAnsi"/>
                <w:b w:val="0"/>
                <w:caps w:val="0"/>
                <w:noProof/>
                <w:color w:val="auto"/>
                <w:kern w:val="0"/>
                <w:sz w:val="22"/>
              </w:rPr>
              <w:tab/>
            </w:r>
            <w:r w:rsidR="00C2392A" w:rsidRPr="00C24CD8">
              <w:rPr>
                <w:rStyle w:val="Hyperlink"/>
                <w:noProof/>
              </w:rPr>
              <w:t>Additionality</w:t>
            </w:r>
            <w:r w:rsidR="00C2392A">
              <w:rPr>
                <w:noProof/>
                <w:webHidden/>
              </w:rPr>
              <w:tab/>
            </w:r>
            <w:r w:rsidR="00C2392A">
              <w:rPr>
                <w:noProof/>
                <w:webHidden/>
              </w:rPr>
              <w:fldChar w:fldCharType="begin"/>
            </w:r>
            <w:r w:rsidR="00C2392A">
              <w:rPr>
                <w:noProof/>
                <w:webHidden/>
              </w:rPr>
              <w:instrText xml:space="preserve"> PAGEREF _Toc98322285 \h </w:instrText>
            </w:r>
            <w:r w:rsidR="00C2392A">
              <w:rPr>
                <w:noProof/>
                <w:webHidden/>
              </w:rPr>
            </w:r>
            <w:r w:rsidR="00C2392A">
              <w:rPr>
                <w:noProof/>
                <w:webHidden/>
              </w:rPr>
              <w:fldChar w:fldCharType="separate"/>
            </w:r>
            <w:r w:rsidR="009B2CF5">
              <w:rPr>
                <w:noProof/>
                <w:webHidden/>
              </w:rPr>
              <w:t>13</w:t>
            </w:r>
            <w:r w:rsidR="00C2392A">
              <w:rPr>
                <w:noProof/>
                <w:webHidden/>
              </w:rPr>
              <w:fldChar w:fldCharType="end"/>
            </w:r>
          </w:hyperlink>
        </w:p>
        <w:p w14:paraId="407E446F" w14:textId="0E66068C" w:rsidR="00C2392A" w:rsidRDefault="00000000">
          <w:pPr>
            <w:pStyle w:val="TOC1"/>
            <w:rPr>
              <w:rFonts w:asciiTheme="minorHAnsi" w:eastAsiaTheme="minorEastAsia" w:hAnsiTheme="minorHAnsi"/>
              <w:b w:val="0"/>
              <w:caps w:val="0"/>
              <w:noProof/>
              <w:color w:val="auto"/>
              <w:kern w:val="0"/>
              <w:sz w:val="22"/>
            </w:rPr>
          </w:pPr>
          <w:hyperlink w:anchor="_Toc98322286" w:history="1">
            <w:r w:rsidR="00C2392A" w:rsidRPr="00C24CD8">
              <w:rPr>
                <w:rStyle w:val="Hyperlink"/>
                <w:noProof/>
              </w:rPr>
              <w:t>8</w:t>
            </w:r>
            <w:r w:rsidR="00C2392A">
              <w:rPr>
                <w:rFonts w:asciiTheme="minorHAnsi" w:eastAsiaTheme="minorEastAsia" w:hAnsiTheme="minorHAnsi"/>
                <w:b w:val="0"/>
                <w:caps w:val="0"/>
                <w:noProof/>
                <w:color w:val="auto"/>
                <w:kern w:val="0"/>
                <w:sz w:val="22"/>
              </w:rPr>
              <w:tab/>
            </w:r>
            <w:r w:rsidR="00C2392A" w:rsidRPr="00C24CD8">
              <w:rPr>
                <w:rStyle w:val="Hyperlink"/>
                <w:noProof/>
              </w:rPr>
              <w:t>Quantification of GHG Emission Reductions &amp; Removals</w:t>
            </w:r>
            <w:r w:rsidR="00C2392A">
              <w:rPr>
                <w:noProof/>
                <w:webHidden/>
              </w:rPr>
              <w:tab/>
            </w:r>
            <w:r w:rsidR="00C2392A">
              <w:rPr>
                <w:noProof/>
                <w:webHidden/>
              </w:rPr>
              <w:fldChar w:fldCharType="begin"/>
            </w:r>
            <w:r w:rsidR="00C2392A">
              <w:rPr>
                <w:noProof/>
                <w:webHidden/>
              </w:rPr>
              <w:instrText xml:space="preserve"> PAGEREF _Toc98322286 \h </w:instrText>
            </w:r>
            <w:r w:rsidR="00C2392A">
              <w:rPr>
                <w:noProof/>
                <w:webHidden/>
              </w:rPr>
            </w:r>
            <w:r w:rsidR="00C2392A">
              <w:rPr>
                <w:noProof/>
                <w:webHidden/>
              </w:rPr>
              <w:fldChar w:fldCharType="separate"/>
            </w:r>
            <w:r w:rsidR="009B2CF5">
              <w:rPr>
                <w:noProof/>
                <w:webHidden/>
              </w:rPr>
              <w:t>13</w:t>
            </w:r>
            <w:r w:rsidR="00C2392A">
              <w:rPr>
                <w:noProof/>
                <w:webHidden/>
              </w:rPr>
              <w:fldChar w:fldCharType="end"/>
            </w:r>
          </w:hyperlink>
        </w:p>
        <w:p w14:paraId="471436FB" w14:textId="0F5C904F" w:rsidR="00C2392A" w:rsidRDefault="00000000">
          <w:pPr>
            <w:pStyle w:val="TOC2"/>
            <w:tabs>
              <w:tab w:val="right" w:leader="dot" w:pos="9350"/>
            </w:tabs>
            <w:rPr>
              <w:rFonts w:asciiTheme="minorHAnsi" w:eastAsiaTheme="minorEastAsia" w:hAnsiTheme="minorHAnsi"/>
              <w:noProof/>
              <w:color w:val="auto"/>
              <w:kern w:val="0"/>
              <w:sz w:val="22"/>
            </w:rPr>
          </w:pPr>
          <w:hyperlink w:anchor="_Toc98322287" w:history="1">
            <w:r w:rsidR="00C2392A" w:rsidRPr="00C24CD8">
              <w:rPr>
                <w:rStyle w:val="Hyperlink"/>
                <w:noProof/>
              </w:rPr>
              <w:t>8.1</w:t>
            </w:r>
            <w:r w:rsidR="00C2392A">
              <w:rPr>
                <w:rFonts w:asciiTheme="minorHAnsi" w:eastAsiaTheme="minorEastAsia" w:hAnsiTheme="minorHAnsi"/>
                <w:noProof/>
                <w:color w:val="auto"/>
                <w:kern w:val="0"/>
                <w:sz w:val="22"/>
              </w:rPr>
              <w:tab/>
            </w:r>
            <w:r w:rsidR="00C2392A" w:rsidRPr="00C24CD8">
              <w:rPr>
                <w:rStyle w:val="Hyperlink"/>
                <w:noProof/>
              </w:rPr>
              <w:t>Baseline Emissions</w:t>
            </w:r>
            <w:r w:rsidR="00C2392A">
              <w:rPr>
                <w:noProof/>
                <w:webHidden/>
              </w:rPr>
              <w:tab/>
            </w:r>
            <w:r w:rsidR="00C2392A">
              <w:rPr>
                <w:noProof/>
                <w:webHidden/>
              </w:rPr>
              <w:fldChar w:fldCharType="begin"/>
            </w:r>
            <w:r w:rsidR="00C2392A">
              <w:rPr>
                <w:noProof/>
                <w:webHidden/>
              </w:rPr>
              <w:instrText xml:space="preserve"> PAGEREF _Toc98322287 \h </w:instrText>
            </w:r>
            <w:r w:rsidR="00C2392A">
              <w:rPr>
                <w:noProof/>
                <w:webHidden/>
              </w:rPr>
            </w:r>
            <w:r w:rsidR="00C2392A">
              <w:rPr>
                <w:noProof/>
                <w:webHidden/>
              </w:rPr>
              <w:fldChar w:fldCharType="separate"/>
            </w:r>
            <w:r w:rsidR="009B2CF5">
              <w:rPr>
                <w:noProof/>
                <w:webHidden/>
              </w:rPr>
              <w:t>14</w:t>
            </w:r>
            <w:r w:rsidR="00C2392A">
              <w:rPr>
                <w:noProof/>
                <w:webHidden/>
              </w:rPr>
              <w:fldChar w:fldCharType="end"/>
            </w:r>
          </w:hyperlink>
        </w:p>
        <w:p w14:paraId="6D8E2129" w14:textId="6C295105" w:rsidR="00C2392A" w:rsidRDefault="00000000">
          <w:pPr>
            <w:pStyle w:val="TOC2"/>
            <w:tabs>
              <w:tab w:val="right" w:leader="dot" w:pos="9350"/>
            </w:tabs>
            <w:rPr>
              <w:rFonts w:asciiTheme="minorHAnsi" w:eastAsiaTheme="minorEastAsia" w:hAnsiTheme="minorHAnsi"/>
              <w:noProof/>
              <w:color w:val="auto"/>
              <w:kern w:val="0"/>
              <w:sz w:val="22"/>
            </w:rPr>
          </w:pPr>
          <w:hyperlink w:anchor="_Toc98322288" w:history="1">
            <w:r w:rsidR="00C2392A" w:rsidRPr="00C24CD8">
              <w:rPr>
                <w:rStyle w:val="Hyperlink"/>
                <w:noProof/>
              </w:rPr>
              <w:t>8.2</w:t>
            </w:r>
            <w:r w:rsidR="00C2392A">
              <w:rPr>
                <w:rFonts w:asciiTheme="minorHAnsi" w:eastAsiaTheme="minorEastAsia" w:hAnsiTheme="minorHAnsi"/>
                <w:noProof/>
                <w:color w:val="auto"/>
                <w:kern w:val="0"/>
                <w:sz w:val="22"/>
              </w:rPr>
              <w:tab/>
            </w:r>
            <w:r w:rsidR="00C2392A" w:rsidRPr="00C24CD8">
              <w:rPr>
                <w:rStyle w:val="Hyperlink"/>
                <w:noProof/>
              </w:rPr>
              <w:t>Project Emissions</w:t>
            </w:r>
            <w:r w:rsidR="00C2392A">
              <w:rPr>
                <w:noProof/>
                <w:webHidden/>
              </w:rPr>
              <w:tab/>
            </w:r>
            <w:r w:rsidR="00C2392A">
              <w:rPr>
                <w:noProof/>
                <w:webHidden/>
              </w:rPr>
              <w:fldChar w:fldCharType="begin"/>
            </w:r>
            <w:r w:rsidR="00C2392A">
              <w:rPr>
                <w:noProof/>
                <w:webHidden/>
              </w:rPr>
              <w:instrText xml:space="preserve"> PAGEREF _Toc98322288 \h </w:instrText>
            </w:r>
            <w:r w:rsidR="00C2392A">
              <w:rPr>
                <w:noProof/>
                <w:webHidden/>
              </w:rPr>
            </w:r>
            <w:r w:rsidR="00C2392A">
              <w:rPr>
                <w:noProof/>
                <w:webHidden/>
              </w:rPr>
              <w:fldChar w:fldCharType="separate"/>
            </w:r>
            <w:r w:rsidR="009B2CF5">
              <w:rPr>
                <w:noProof/>
                <w:webHidden/>
              </w:rPr>
              <w:t>15</w:t>
            </w:r>
            <w:r w:rsidR="00C2392A">
              <w:rPr>
                <w:noProof/>
                <w:webHidden/>
              </w:rPr>
              <w:fldChar w:fldCharType="end"/>
            </w:r>
          </w:hyperlink>
        </w:p>
        <w:p w14:paraId="009B03E8" w14:textId="52A50EC6" w:rsidR="00C2392A" w:rsidRDefault="00000000">
          <w:pPr>
            <w:pStyle w:val="TOC2"/>
            <w:tabs>
              <w:tab w:val="right" w:leader="dot" w:pos="9350"/>
            </w:tabs>
            <w:rPr>
              <w:rFonts w:asciiTheme="minorHAnsi" w:eastAsiaTheme="minorEastAsia" w:hAnsiTheme="minorHAnsi"/>
              <w:noProof/>
              <w:color w:val="auto"/>
              <w:kern w:val="0"/>
              <w:sz w:val="22"/>
            </w:rPr>
          </w:pPr>
          <w:hyperlink w:anchor="_Toc98322289" w:history="1">
            <w:r w:rsidR="00C2392A" w:rsidRPr="00C24CD8">
              <w:rPr>
                <w:rStyle w:val="Hyperlink"/>
                <w:noProof/>
              </w:rPr>
              <w:t>8.3</w:t>
            </w:r>
            <w:r w:rsidR="00C2392A">
              <w:rPr>
                <w:rFonts w:asciiTheme="minorHAnsi" w:eastAsiaTheme="minorEastAsia" w:hAnsiTheme="minorHAnsi"/>
                <w:noProof/>
                <w:color w:val="auto"/>
                <w:kern w:val="0"/>
                <w:sz w:val="22"/>
              </w:rPr>
              <w:tab/>
            </w:r>
            <w:r w:rsidR="00C2392A" w:rsidRPr="00C24CD8">
              <w:rPr>
                <w:rStyle w:val="Hyperlink"/>
                <w:noProof/>
              </w:rPr>
              <w:t>Leakage</w:t>
            </w:r>
            <w:r w:rsidR="00C2392A">
              <w:rPr>
                <w:noProof/>
                <w:webHidden/>
              </w:rPr>
              <w:tab/>
            </w:r>
            <w:r w:rsidR="00C2392A">
              <w:rPr>
                <w:noProof/>
                <w:webHidden/>
              </w:rPr>
              <w:fldChar w:fldCharType="begin"/>
            </w:r>
            <w:r w:rsidR="00C2392A">
              <w:rPr>
                <w:noProof/>
                <w:webHidden/>
              </w:rPr>
              <w:instrText xml:space="preserve"> PAGEREF _Toc98322289 \h </w:instrText>
            </w:r>
            <w:r w:rsidR="00C2392A">
              <w:rPr>
                <w:noProof/>
                <w:webHidden/>
              </w:rPr>
            </w:r>
            <w:r w:rsidR="00C2392A">
              <w:rPr>
                <w:noProof/>
                <w:webHidden/>
              </w:rPr>
              <w:fldChar w:fldCharType="separate"/>
            </w:r>
            <w:r w:rsidR="009B2CF5">
              <w:rPr>
                <w:noProof/>
                <w:webHidden/>
              </w:rPr>
              <w:t>16</w:t>
            </w:r>
            <w:r w:rsidR="00C2392A">
              <w:rPr>
                <w:noProof/>
                <w:webHidden/>
              </w:rPr>
              <w:fldChar w:fldCharType="end"/>
            </w:r>
          </w:hyperlink>
        </w:p>
        <w:p w14:paraId="55F17EDF" w14:textId="7BB5B5CF" w:rsidR="00C2392A" w:rsidRDefault="00000000">
          <w:pPr>
            <w:pStyle w:val="TOC2"/>
            <w:tabs>
              <w:tab w:val="right" w:leader="dot" w:pos="9350"/>
            </w:tabs>
            <w:rPr>
              <w:rFonts w:asciiTheme="minorHAnsi" w:eastAsiaTheme="minorEastAsia" w:hAnsiTheme="minorHAnsi"/>
              <w:noProof/>
              <w:color w:val="auto"/>
              <w:kern w:val="0"/>
              <w:sz w:val="22"/>
            </w:rPr>
          </w:pPr>
          <w:hyperlink w:anchor="_Toc98322290" w:history="1">
            <w:r w:rsidR="00C2392A" w:rsidRPr="00C24CD8">
              <w:rPr>
                <w:rStyle w:val="Hyperlink"/>
                <w:noProof/>
              </w:rPr>
              <w:t>8.4</w:t>
            </w:r>
            <w:r w:rsidR="00C2392A">
              <w:rPr>
                <w:rFonts w:asciiTheme="minorHAnsi" w:eastAsiaTheme="minorEastAsia" w:hAnsiTheme="minorHAnsi"/>
                <w:noProof/>
                <w:color w:val="auto"/>
                <w:kern w:val="0"/>
                <w:sz w:val="22"/>
              </w:rPr>
              <w:tab/>
            </w:r>
            <w:r w:rsidR="00C2392A" w:rsidRPr="00C24CD8">
              <w:rPr>
                <w:rStyle w:val="Hyperlink"/>
                <w:noProof/>
              </w:rPr>
              <w:t>Uncertainty</w:t>
            </w:r>
            <w:r w:rsidR="00C2392A">
              <w:rPr>
                <w:noProof/>
                <w:webHidden/>
              </w:rPr>
              <w:tab/>
            </w:r>
            <w:r w:rsidR="00C2392A">
              <w:rPr>
                <w:noProof/>
                <w:webHidden/>
              </w:rPr>
              <w:fldChar w:fldCharType="begin"/>
            </w:r>
            <w:r w:rsidR="00C2392A">
              <w:rPr>
                <w:noProof/>
                <w:webHidden/>
              </w:rPr>
              <w:instrText xml:space="preserve"> PAGEREF _Toc98322290 \h </w:instrText>
            </w:r>
            <w:r w:rsidR="00C2392A">
              <w:rPr>
                <w:noProof/>
                <w:webHidden/>
              </w:rPr>
            </w:r>
            <w:r w:rsidR="00C2392A">
              <w:rPr>
                <w:noProof/>
                <w:webHidden/>
              </w:rPr>
              <w:fldChar w:fldCharType="separate"/>
            </w:r>
            <w:r w:rsidR="009B2CF5">
              <w:rPr>
                <w:noProof/>
                <w:webHidden/>
              </w:rPr>
              <w:t>18</w:t>
            </w:r>
            <w:r w:rsidR="00C2392A">
              <w:rPr>
                <w:noProof/>
                <w:webHidden/>
              </w:rPr>
              <w:fldChar w:fldCharType="end"/>
            </w:r>
          </w:hyperlink>
        </w:p>
        <w:p w14:paraId="2C9D1591" w14:textId="5820F833" w:rsidR="00C2392A" w:rsidRDefault="00000000">
          <w:pPr>
            <w:pStyle w:val="TOC2"/>
            <w:tabs>
              <w:tab w:val="right" w:leader="dot" w:pos="9350"/>
            </w:tabs>
            <w:rPr>
              <w:rFonts w:asciiTheme="minorHAnsi" w:eastAsiaTheme="minorEastAsia" w:hAnsiTheme="minorHAnsi"/>
              <w:noProof/>
              <w:color w:val="auto"/>
              <w:kern w:val="0"/>
              <w:sz w:val="22"/>
            </w:rPr>
          </w:pPr>
          <w:hyperlink w:anchor="_Toc98322291" w:history="1">
            <w:r w:rsidR="00C2392A" w:rsidRPr="00C24CD8">
              <w:rPr>
                <w:rStyle w:val="Hyperlink"/>
                <w:noProof/>
              </w:rPr>
              <w:t>8.5</w:t>
            </w:r>
            <w:r w:rsidR="00C2392A">
              <w:rPr>
                <w:rFonts w:asciiTheme="minorHAnsi" w:eastAsiaTheme="minorEastAsia" w:hAnsiTheme="minorHAnsi"/>
                <w:noProof/>
                <w:color w:val="auto"/>
                <w:kern w:val="0"/>
                <w:sz w:val="22"/>
              </w:rPr>
              <w:tab/>
            </w:r>
            <w:r w:rsidR="00C2392A" w:rsidRPr="00C24CD8">
              <w:rPr>
                <w:rStyle w:val="Hyperlink"/>
                <w:noProof/>
              </w:rPr>
              <w:t>Net GHG Emission Reductions / Removals</w:t>
            </w:r>
            <w:r w:rsidR="00C2392A">
              <w:rPr>
                <w:noProof/>
                <w:webHidden/>
              </w:rPr>
              <w:tab/>
            </w:r>
            <w:r w:rsidR="00C2392A">
              <w:rPr>
                <w:noProof/>
                <w:webHidden/>
              </w:rPr>
              <w:fldChar w:fldCharType="begin"/>
            </w:r>
            <w:r w:rsidR="00C2392A">
              <w:rPr>
                <w:noProof/>
                <w:webHidden/>
              </w:rPr>
              <w:instrText xml:space="preserve"> PAGEREF _Toc98322291 \h </w:instrText>
            </w:r>
            <w:r w:rsidR="00C2392A">
              <w:rPr>
                <w:noProof/>
                <w:webHidden/>
              </w:rPr>
            </w:r>
            <w:r w:rsidR="00C2392A">
              <w:rPr>
                <w:noProof/>
                <w:webHidden/>
              </w:rPr>
              <w:fldChar w:fldCharType="separate"/>
            </w:r>
            <w:r w:rsidR="009B2CF5">
              <w:rPr>
                <w:noProof/>
                <w:webHidden/>
              </w:rPr>
              <w:t>20</w:t>
            </w:r>
            <w:r w:rsidR="00C2392A">
              <w:rPr>
                <w:noProof/>
                <w:webHidden/>
              </w:rPr>
              <w:fldChar w:fldCharType="end"/>
            </w:r>
          </w:hyperlink>
        </w:p>
        <w:p w14:paraId="215137D7" w14:textId="0D160781" w:rsidR="00C2392A" w:rsidRDefault="00000000">
          <w:pPr>
            <w:pStyle w:val="TOC1"/>
            <w:rPr>
              <w:rFonts w:asciiTheme="minorHAnsi" w:eastAsiaTheme="minorEastAsia" w:hAnsiTheme="minorHAnsi"/>
              <w:b w:val="0"/>
              <w:caps w:val="0"/>
              <w:noProof/>
              <w:color w:val="auto"/>
              <w:kern w:val="0"/>
              <w:sz w:val="22"/>
            </w:rPr>
          </w:pPr>
          <w:hyperlink w:anchor="_Toc98322292" w:history="1">
            <w:r w:rsidR="00C2392A" w:rsidRPr="00C24CD8">
              <w:rPr>
                <w:rStyle w:val="Hyperlink"/>
                <w:noProof/>
              </w:rPr>
              <w:t>9</w:t>
            </w:r>
            <w:r w:rsidR="00C2392A">
              <w:rPr>
                <w:rFonts w:asciiTheme="minorHAnsi" w:eastAsiaTheme="minorEastAsia" w:hAnsiTheme="minorHAnsi"/>
                <w:b w:val="0"/>
                <w:caps w:val="0"/>
                <w:noProof/>
                <w:color w:val="auto"/>
                <w:kern w:val="0"/>
                <w:sz w:val="22"/>
              </w:rPr>
              <w:tab/>
            </w:r>
            <w:r w:rsidR="00C2392A" w:rsidRPr="00C24CD8">
              <w:rPr>
                <w:rStyle w:val="Hyperlink"/>
                <w:noProof/>
              </w:rPr>
              <w:t>Monitoring</w:t>
            </w:r>
            <w:r w:rsidR="00C2392A">
              <w:rPr>
                <w:noProof/>
                <w:webHidden/>
              </w:rPr>
              <w:tab/>
            </w:r>
            <w:r w:rsidR="00C2392A">
              <w:rPr>
                <w:noProof/>
                <w:webHidden/>
              </w:rPr>
              <w:fldChar w:fldCharType="begin"/>
            </w:r>
            <w:r w:rsidR="00C2392A">
              <w:rPr>
                <w:noProof/>
                <w:webHidden/>
              </w:rPr>
              <w:instrText xml:space="preserve"> PAGEREF _Toc98322292 \h </w:instrText>
            </w:r>
            <w:r w:rsidR="00C2392A">
              <w:rPr>
                <w:noProof/>
                <w:webHidden/>
              </w:rPr>
            </w:r>
            <w:r w:rsidR="00C2392A">
              <w:rPr>
                <w:noProof/>
                <w:webHidden/>
              </w:rPr>
              <w:fldChar w:fldCharType="separate"/>
            </w:r>
            <w:r w:rsidR="009B2CF5">
              <w:rPr>
                <w:noProof/>
                <w:webHidden/>
              </w:rPr>
              <w:t>21</w:t>
            </w:r>
            <w:r w:rsidR="00C2392A">
              <w:rPr>
                <w:noProof/>
                <w:webHidden/>
              </w:rPr>
              <w:fldChar w:fldCharType="end"/>
            </w:r>
          </w:hyperlink>
        </w:p>
        <w:p w14:paraId="43D7F69E" w14:textId="7B9988CC" w:rsidR="00C2392A" w:rsidRDefault="00000000">
          <w:pPr>
            <w:pStyle w:val="TOC2"/>
            <w:tabs>
              <w:tab w:val="right" w:leader="dot" w:pos="9350"/>
            </w:tabs>
            <w:rPr>
              <w:rFonts w:asciiTheme="minorHAnsi" w:eastAsiaTheme="minorEastAsia" w:hAnsiTheme="minorHAnsi"/>
              <w:noProof/>
              <w:color w:val="auto"/>
              <w:kern w:val="0"/>
              <w:sz w:val="22"/>
            </w:rPr>
          </w:pPr>
          <w:hyperlink w:anchor="_Toc98322293" w:history="1">
            <w:r w:rsidR="00C2392A" w:rsidRPr="00C24CD8">
              <w:rPr>
                <w:rStyle w:val="Hyperlink"/>
                <w:noProof/>
              </w:rPr>
              <w:t>9.1</w:t>
            </w:r>
            <w:r w:rsidR="00C2392A">
              <w:rPr>
                <w:rFonts w:asciiTheme="minorHAnsi" w:eastAsiaTheme="minorEastAsia" w:hAnsiTheme="minorHAnsi"/>
                <w:noProof/>
                <w:color w:val="auto"/>
                <w:kern w:val="0"/>
                <w:sz w:val="22"/>
              </w:rPr>
              <w:tab/>
            </w:r>
            <w:r w:rsidR="00C2392A" w:rsidRPr="00C24CD8">
              <w:rPr>
                <w:rStyle w:val="Hyperlink"/>
                <w:noProof/>
              </w:rPr>
              <w:t>Data and Parameters Available at Validation</w:t>
            </w:r>
            <w:r w:rsidR="00C2392A">
              <w:rPr>
                <w:noProof/>
                <w:webHidden/>
              </w:rPr>
              <w:tab/>
            </w:r>
            <w:r w:rsidR="00C2392A">
              <w:rPr>
                <w:noProof/>
                <w:webHidden/>
              </w:rPr>
              <w:fldChar w:fldCharType="begin"/>
            </w:r>
            <w:r w:rsidR="00C2392A">
              <w:rPr>
                <w:noProof/>
                <w:webHidden/>
              </w:rPr>
              <w:instrText xml:space="preserve"> PAGEREF _Toc98322293 \h </w:instrText>
            </w:r>
            <w:r w:rsidR="00C2392A">
              <w:rPr>
                <w:noProof/>
                <w:webHidden/>
              </w:rPr>
            </w:r>
            <w:r w:rsidR="00C2392A">
              <w:rPr>
                <w:noProof/>
                <w:webHidden/>
              </w:rPr>
              <w:fldChar w:fldCharType="separate"/>
            </w:r>
            <w:r w:rsidR="009B2CF5">
              <w:rPr>
                <w:noProof/>
                <w:webHidden/>
              </w:rPr>
              <w:t>21</w:t>
            </w:r>
            <w:r w:rsidR="00C2392A">
              <w:rPr>
                <w:noProof/>
                <w:webHidden/>
              </w:rPr>
              <w:fldChar w:fldCharType="end"/>
            </w:r>
          </w:hyperlink>
        </w:p>
        <w:p w14:paraId="4F1CD820" w14:textId="4D8CCC65" w:rsidR="00C2392A" w:rsidRDefault="00000000">
          <w:pPr>
            <w:pStyle w:val="TOC2"/>
            <w:tabs>
              <w:tab w:val="right" w:leader="dot" w:pos="9350"/>
            </w:tabs>
            <w:rPr>
              <w:rFonts w:asciiTheme="minorHAnsi" w:eastAsiaTheme="minorEastAsia" w:hAnsiTheme="minorHAnsi"/>
              <w:noProof/>
              <w:color w:val="auto"/>
              <w:kern w:val="0"/>
              <w:sz w:val="22"/>
            </w:rPr>
          </w:pPr>
          <w:hyperlink w:anchor="_Toc98322294" w:history="1">
            <w:r w:rsidR="00C2392A" w:rsidRPr="00C24CD8">
              <w:rPr>
                <w:rStyle w:val="Hyperlink"/>
                <w:noProof/>
              </w:rPr>
              <w:t>9.2</w:t>
            </w:r>
            <w:r w:rsidR="00C2392A">
              <w:rPr>
                <w:rFonts w:asciiTheme="minorHAnsi" w:eastAsiaTheme="minorEastAsia" w:hAnsiTheme="minorHAnsi"/>
                <w:noProof/>
                <w:color w:val="auto"/>
                <w:kern w:val="0"/>
                <w:sz w:val="22"/>
              </w:rPr>
              <w:tab/>
            </w:r>
            <w:r w:rsidR="00C2392A" w:rsidRPr="00C24CD8">
              <w:rPr>
                <w:rStyle w:val="Hyperlink"/>
                <w:noProof/>
              </w:rPr>
              <w:t>Data and Parameters Monitored</w:t>
            </w:r>
            <w:r w:rsidR="00C2392A">
              <w:rPr>
                <w:noProof/>
                <w:webHidden/>
              </w:rPr>
              <w:tab/>
            </w:r>
            <w:r w:rsidR="00C2392A">
              <w:rPr>
                <w:noProof/>
                <w:webHidden/>
              </w:rPr>
              <w:fldChar w:fldCharType="begin"/>
            </w:r>
            <w:r w:rsidR="00C2392A">
              <w:rPr>
                <w:noProof/>
                <w:webHidden/>
              </w:rPr>
              <w:instrText xml:space="preserve"> PAGEREF _Toc98322294 \h </w:instrText>
            </w:r>
            <w:r w:rsidR="00C2392A">
              <w:rPr>
                <w:noProof/>
                <w:webHidden/>
              </w:rPr>
            </w:r>
            <w:r w:rsidR="00C2392A">
              <w:rPr>
                <w:noProof/>
                <w:webHidden/>
              </w:rPr>
              <w:fldChar w:fldCharType="separate"/>
            </w:r>
            <w:r w:rsidR="009B2CF5">
              <w:rPr>
                <w:noProof/>
                <w:webHidden/>
              </w:rPr>
              <w:t>22</w:t>
            </w:r>
            <w:r w:rsidR="00C2392A">
              <w:rPr>
                <w:noProof/>
                <w:webHidden/>
              </w:rPr>
              <w:fldChar w:fldCharType="end"/>
            </w:r>
          </w:hyperlink>
        </w:p>
        <w:p w14:paraId="209C1D77" w14:textId="255A90E6" w:rsidR="00C2392A" w:rsidRDefault="00000000">
          <w:pPr>
            <w:pStyle w:val="TOC2"/>
            <w:tabs>
              <w:tab w:val="right" w:leader="dot" w:pos="9350"/>
            </w:tabs>
            <w:rPr>
              <w:rFonts w:asciiTheme="minorHAnsi" w:eastAsiaTheme="minorEastAsia" w:hAnsiTheme="minorHAnsi"/>
              <w:noProof/>
              <w:color w:val="auto"/>
              <w:kern w:val="0"/>
              <w:sz w:val="22"/>
            </w:rPr>
          </w:pPr>
          <w:hyperlink w:anchor="_Toc98322295" w:history="1">
            <w:r w:rsidR="00C2392A" w:rsidRPr="00C24CD8">
              <w:rPr>
                <w:rStyle w:val="Hyperlink"/>
                <w:noProof/>
              </w:rPr>
              <w:t>9.3</w:t>
            </w:r>
            <w:r w:rsidR="00C2392A">
              <w:rPr>
                <w:rFonts w:asciiTheme="minorHAnsi" w:eastAsiaTheme="minorEastAsia" w:hAnsiTheme="minorHAnsi"/>
                <w:noProof/>
                <w:color w:val="auto"/>
                <w:kern w:val="0"/>
                <w:sz w:val="22"/>
              </w:rPr>
              <w:tab/>
            </w:r>
            <w:r w:rsidR="00C2392A" w:rsidRPr="00C24CD8">
              <w:rPr>
                <w:rStyle w:val="Hyperlink"/>
                <w:noProof/>
              </w:rPr>
              <w:t>Description of the Monitoring Plan</w:t>
            </w:r>
            <w:r w:rsidR="00C2392A">
              <w:rPr>
                <w:noProof/>
                <w:webHidden/>
              </w:rPr>
              <w:tab/>
            </w:r>
            <w:r w:rsidR="00C2392A">
              <w:rPr>
                <w:noProof/>
                <w:webHidden/>
              </w:rPr>
              <w:fldChar w:fldCharType="begin"/>
            </w:r>
            <w:r w:rsidR="00C2392A">
              <w:rPr>
                <w:noProof/>
                <w:webHidden/>
              </w:rPr>
              <w:instrText xml:space="preserve"> PAGEREF _Toc98322295 \h </w:instrText>
            </w:r>
            <w:r w:rsidR="00C2392A">
              <w:rPr>
                <w:noProof/>
                <w:webHidden/>
              </w:rPr>
            </w:r>
            <w:r w:rsidR="00C2392A">
              <w:rPr>
                <w:noProof/>
                <w:webHidden/>
              </w:rPr>
              <w:fldChar w:fldCharType="separate"/>
            </w:r>
            <w:r w:rsidR="009B2CF5">
              <w:rPr>
                <w:noProof/>
                <w:webHidden/>
              </w:rPr>
              <w:t>30</w:t>
            </w:r>
            <w:r w:rsidR="00C2392A">
              <w:rPr>
                <w:noProof/>
                <w:webHidden/>
              </w:rPr>
              <w:fldChar w:fldCharType="end"/>
            </w:r>
          </w:hyperlink>
        </w:p>
        <w:p w14:paraId="20232FE8" w14:textId="20B7DD22" w:rsidR="00C2392A" w:rsidRDefault="00000000">
          <w:pPr>
            <w:pStyle w:val="TOC1"/>
            <w:rPr>
              <w:rFonts w:asciiTheme="minorHAnsi" w:eastAsiaTheme="minorEastAsia" w:hAnsiTheme="minorHAnsi"/>
              <w:b w:val="0"/>
              <w:caps w:val="0"/>
              <w:noProof/>
              <w:color w:val="auto"/>
              <w:kern w:val="0"/>
              <w:sz w:val="22"/>
            </w:rPr>
          </w:pPr>
          <w:hyperlink w:anchor="_Toc98322296" w:history="1">
            <w:r w:rsidR="00C2392A" w:rsidRPr="00C24CD8">
              <w:rPr>
                <w:rStyle w:val="Hyperlink"/>
                <w:noProof/>
              </w:rPr>
              <w:t>10</w:t>
            </w:r>
            <w:r w:rsidR="00C2392A">
              <w:rPr>
                <w:rFonts w:asciiTheme="minorHAnsi" w:eastAsiaTheme="minorEastAsia" w:hAnsiTheme="minorHAnsi"/>
                <w:b w:val="0"/>
                <w:caps w:val="0"/>
                <w:noProof/>
                <w:color w:val="auto"/>
                <w:kern w:val="0"/>
                <w:sz w:val="22"/>
              </w:rPr>
              <w:tab/>
            </w:r>
            <w:r w:rsidR="00C2392A" w:rsidRPr="00C24CD8">
              <w:rPr>
                <w:rStyle w:val="Hyperlink"/>
                <w:noProof/>
              </w:rPr>
              <w:t>References</w:t>
            </w:r>
            <w:r w:rsidR="00C2392A">
              <w:rPr>
                <w:noProof/>
                <w:webHidden/>
              </w:rPr>
              <w:tab/>
            </w:r>
            <w:r w:rsidR="00C2392A">
              <w:rPr>
                <w:noProof/>
                <w:webHidden/>
              </w:rPr>
              <w:fldChar w:fldCharType="begin"/>
            </w:r>
            <w:r w:rsidR="00C2392A">
              <w:rPr>
                <w:noProof/>
                <w:webHidden/>
              </w:rPr>
              <w:instrText xml:space="preserve"> PAGEREF _Toc98322296 \h </w:instrText>
            </w:r>
            <w:r w:rsidR="00C2392A">
              <w:rPr>
                <w:noProof/>
                <w:webHidden/>
              </w:rPr>
            </w:r>
            <w:r w:rsidR="00C2392A">
              <w:rPr>
                <w:noProof/>
                <w:webHidden/>
              </w:rPr>
              <w:fldChar w:fldCharType="separate"/>
            </w:r>
            <w:r w:rsidR="009B2CF5">
              <w:rPr>
                <w:noProof/>
                <w:webHidden/>
              </w:rPr>
              <w:t>31</w:t>
            </w:r>
            <w:r w:rsidR="00C2392A">
              <w:rPr>
                <w:noProof/>
                <w:webHidden/>
              </w:rPr>
              <w:fldChar w:fldCharType="end"/>
            </w:r>
          </w:hyperlink>
        </w:p>
        <w:p w14:paraId="00F18A50" w14:textId="6AAEC81E" w:rsidR="00C2392A" w:rsidRDefault="00000000">
          <w:pPr>
            <w:pStyle w:val="TOC1"/>
            <w:rPr>
              <w:rFonts w:asciiTheme="minorHAnsi" w:eastAsiaTheme="minorEastAsia" w:hAnsiTheme="minorHAnsi"/>
              <w:b w:val="0"/>
              <w:caps w:val="0"/>
              <w:noProof/>
              <w:color w:val="auto"/>
              <w:kern w:val="0"/>
              <w:sz w:val="22"/>
            </w:rPr>
          </w:pPr>
          <w:hyperlink w:anchor="_Toc98322297" w:history="1">
            <w:r w:rsidR="00C2392A" w:rsidRPr="00C24CD8">
              <w:rPr>
                <w:rStyle w:val="Hyperlink"/>
                <w:noProof/>
              </w:rPr>
              <w:t>11</w:t>
            </w:r>
            <w:r w:rsidR="00C2392A">
              <w:rPr>
                <w:rFonts w:asciiTheme="minorHAnsi" w:eastAsiaTheme="minorEastAsia" w:hAnsiTheme="minorHAnsi"/>
                <w:b w:val="0"/>
                <w:caps w:val="0"/>
                <w:noProof/>
                <w:color w:val="auto"/>
                <w:kern w:val="0"/>
                <w:sz w:val="22"/>
              </w:rPr>
              <w:tab/>
            </w:r>
            <w:r w:rsidR="00C2392A" w:rsidRPr="00C24CD8">
              <w:rPr>
                <w:rStyle w:val="Hyperlink"/>
                <w:noProof/>
              </w:rPr>
              <w:t>Appendix A: Baseline Common practice harvest model</w:t>
            </w:r>
            <w:r w:rsidR="00C2392A">
              <w:rPr>
                <w:noProof/>
                <w:webHidden/>
              </w:rPr>
              <w:tab/>
            </w:r>
            <w:r w:rsidR="00C2392A">
              <w:rPr>
                <w:noProof/>
                <w:webHidden/>
              </w:rPr>
              <w:fldChar w:fldCharType="begin"/>
            </w:r>
            <w:r w:rsidR="00C2392A">
              <w:rPr>
                <w:noProof/>
                <w:webHidden/>
              </w:rPr>
              <w:instrText xml:space="preserve"> PAGEREF _Toc98322297 \h </w:instrText>
            </w:r>
            <w:r w:rsidR="00C2392A">
              <w:rPr>
                <w:noProof/>
                <w:webHidden/>
              </w:rPr>
            </w:r>
            <w:r w:rsidR="00C2392A">
              <w:rPr>
                <w:noProof/>
                <w:webHidden/>
              </w:rPr>
              <w:fldChar w:fldCharType="separate"/>
            </w:r>
            <w:r w:rsidR="009B2CF5">
              <w:rPr>
                <w:noProof/>
                <w:webHidden/>
              </w:rPr>
              <w:t>32</w:t>
            </w:r>
            <w:r w:rsidR="00C2392A">
              <w:rPr>
                <w:noProof/>
                <w:webHidden/>
              </w:rPr>
              <w:fldChar w:fldCharType="end"/>
            </w:r>
          </w:hyperlink>
        </w:p>
        <w:p w14:paraId="4D53C6ED" w14:textId="0E14C307" w:rsidR="00C2392A" w:rsidRDefault="00000000">
          <w:pPr>
            <w:pStyle w:val="TOC2"/>
            <w:tabs>
              <w:tab w:val="right" w:leader="dot" w:pos="9350"/>
            </w:tabs>
            <w:rPr>
              <w:rFonts w:asciiTheme="minorHAnsi" w:eastAsiaTheme="minorEastAsia" w:hAnsiTheme="minorHAnsi"/>
              <w:noProof/>
              <w:color w:val="auto"/>
              <w:kern w:val="0"/>
              <w:sz w:val="22"/>
            </w:rPr>
          </w:pPr>
          <w:hyperlink w:anchor="_Toc98322298" w:history="1">
            <w:r w:rsidR="00C2392A" w:rsidRPr="00C24CD8">
              <w:rPr>
                <w:rStyle w:val="Hyperlink"/>
                <w:noProof/>
              </w:rPr>
              <w:t>11.1</w:t>
            </w:r>
            <w:r w:rsidR="00C2392A">
              <w:rPr>
                <w:rFonts w:asciiTheme="minorHAnsi" w:eastAsiaTheme="minorEastAsia" w:hAnsiTheme="minorHAnsi"/>
                <w:noProof/>
                <w:color w:val="auto"/>
                <w:kern w:val="0"/>
                <w:sz w:val="22"/>
              </w:rPr>
              <w:tab/>
            </w:r>
            <w:r w:rsidR="00C2392A" w:rsidRPr="00C24CD8">
              <w:rPr>
                <w:rStyle w:val="Hyperlink"/>
                <w:noProof/>
              </w:rPr>
              <w:t>Mathematical Representation of Model Form</w:t>
            </w:r>
            <w:r w:rsidR="00C2392A">
              <w:rPr>
                <w:noProof/>
                <w:webHidden/>
              </w:rPr>
              <w:tab/>
            </w:r>
            <w:r w:rsidR="00C2392A">
              <w:rPr>
                <w:noProof/>
                <w:webHidden/>
              </w:rPr>
              <w:fldChar w:fldCharType="begin"/>
            </w:r>
            <w:r w:rsidR="00C2392A">
              <w:rPr>
                <w:noProof/>
                <w:webHidden/>
              </w:rPr>
              <w:instrText xml:space="preserve"> PAGEREF _Toc98322298 \h </w:instrText>
            </w:r>
            <w:r w:rsidR="00C2392A">
              <w:rPr>
                <w:noProof/>
                <w:webHidden/>
              </w:rPr>
            </w:r>
            <w:r w:rsidR="00C2392A">
              <w:rPr>
                <w:noProof/>
                <w:webHidden/>
              </w:rPr>
              <w:fldChar w:fldCharType="separate"/>
            </w:r>
            <w:r w:rsidR="009B2CF5">
              <w:rPr>
                <w:noProof/>
                <w:webHidden/>
              </w:rPr>
              <w:t>32</w:t>
            </w:r>
            <w:r w:rsidR="00C2392A">
              <w:rPr>
                <w:noProof/>
                <w:webHidden/>
              </w:rPr>
              <w:fldChar w:fldCharType="end"/>
            </w:r>
          </w:hyperlink>
        </w:p>
        <w:p w14:paraId="22033DDA" w14:textId="57521DB0" w:rsidR="00C2392A" w:rsidRDefault="00000000">
          <w:pPr>
            <w:pStyle w:val="TOC2"/>
            <w:tabs>
              <w:tab w:val="right" w:leader="dot" w:pos="9350"/>
            </w:tabs>
            <w:rPr>
              <w:rFonts w:asciiTheme="minorHAnsi" w:eastAsiaTheme="minorEastAsia" w:hAnsiTheme="minorHAnsi"/>
              <w:noProof/>
              <w:color w:val="auto"/>
              <w:kern w:val="0"/>
              <w:sz w:val="22"/>
            </w:rPr>
          </w:pPr>
          <w:hyperlink w:anchor="_Toc98322299" w:history="1">
            <w:r w:rsidR="00C2392A" w:rsidRPr="00C24CD8">
              <w:rPr>
                <w:rStyle w:val="Hyperlink"/>
                <w:noProof/>
              </w:rPr>
              <w:t>11.2</w:t>
            </w:r>
            <w:r w:rsidR="00C2392A">
              <w:rPr>
                <w:rFonts w:asciiTheme="minorHAnsi" w:eastAsiaTheme="minorEastAsia" w:hAnsiTheme="minorHAnsi"/>
                <w:noProof/>
                <w:color w:val="auto"/>
                <w:kern w:val="0"/>
                <w:sz w:val="22"/>
              </w:rPr>
              <w:tab/>
            </w:r>
            <w:r w:rsidR="00C2392A" w:rsidRPr="00C24CD8">
              <w:rPr>
                <w:rStyle w:val="Hyperlink"/>
                <w:noProof/>
              </w:rPr>
              <w:t>Final Harvest Risk Model Form</w:t>
            </w:r>
            <w:r w:rsidR="00C2392A">
              <w:rPr>
                <w:noProof/>
                <w:webHidden/>
              </w:rPr>
              <w:tab/>
            </w:r>
            <w:r w:rsidR="00C2392A">
              <w:rPr>
                <w:noProof/>
                <w:webHidden/>
              </w:rPr>
              <w:fldChar w:fldCharType="begin"/>
            </w:r>
            <w:r w:rsidR="00C2392A">
              <w:rPr>
                <w:noProof/>
                <w:webHidden/>
              </w:rPr>
              <w:instrText xml:space="preserve"> PAGEREF _Toc98322299 \h </w:instrText>
            </w:r>
            <w:r w:rsidR="00C2392A">
              <w:rPr>
                <w:noProof/>
                <w:webHidden/>
              </w:rPr>
            </w:r>
            <w:r w:rsidR="00C2392A">
              <w:rPr>
                <w:noProof/>
                <w:webHidden/>
              </w:rPr>
              <w:fldChar w:fldCharType="separate"/>
            </w:r>
            <w:r w:rsidR="009B2CF5">
              <w:rPr>
                <w:noProof/>
                <w:webHidden/>
              </w:rPr>
              <w:t>33</w:t>
            </w:r>
            <w:r w:rsidR="00C2392A">
              <w:rPr>
                <w:noProof/>
                <w:webHidden/>
              </w:rPr>
              <w:fldChar w:fldCharType="end"/>
            </w:r>
          </w:hyperlink>
        </w:p>
        <w:p w14:paraId="7168ABA2" w14:textId="1E576BBB" w:rsidR="00C2392A" w:rsidRDefault="00000000">
          <w:pPr>
            <w:pStyle w:val="TOC2"/>
            <w:tabs>
              <w:tab w:val="right" w:leader="dot" w:pos="9350"/>
            </w:tabs>
            <w:rPr>
              <w:rFonts w:asciiTheme="minorHAnsi" w:eastAsiaTheme="minorEastAsia" w:hAnsiTheme="minorHAnsi"/>
              <w:noProof/>
              <w:color w:val="auto"/>
              <w:kern w:val="0"/>
              <w:sz w:val="22"/>
            </w:rPr>
          </w:pPr>
          <w:hyperlink w:anchor="_Toc98322300" w:history="1">
            <w:r w:rsidR="00C2392A" w:rsidRPr="00C24CD8">
              <w:rPr>
                <w:rStyle w:val="Hyperlink"/>
                <w:noProof/>
              </w:rPr>
              <w:t>11.3</w:t>
            </w:r>
            <w:r w:rsidR="00C2392A">
              <w:rPr>
                <w:rFonts w:asciiTheme="minorHAnsi" w:eastAsiaTheme="minorEastAsia" w:hAnsiTheme="minorHAnsi"/>
                <w:noProof/>
                <w:color w:val="auto"/>
                <w:kern w:val="0"/>
                <w:sz w:val="22"/>
              </w:rPr>
              <w:tab/>
            </w:r>
            <w:r w:rsidR="00C2392A" w:rsidRPr="00C24CD8">
              <w:rPr>
                <w:rStyle w:val="Hyperlink"/>
                <w:noProof/>
              </w:rPr>
              <w:t>Model Inputs</w:t>
            </w:r>
            <w:r w:rsidR="00C2392A">
              <w:rPr>
                <w:noProof/>
                <w:webHidden/>
              </w:rPr>
              <w:tab/>
            </w:r>
            <w:r w:rsidR="00C2392A">
              <w:rPr>
                <w:noProof/>
                <w:webHidden/>
              </w:rPr>
              <w:fldChar w:fldCharType="begin"/>
            </w:r>
            <w:r w:rsidR="00C2392A">
              <w:rPr>
                <w:noProof/>
                <w:webHidden/>
              </w:rPr>
              <w:instrText xml:space="preserve"> PAGEREF _Toc98322300 \h </w:instrText>
            </w:r>
            <w:r w:rsidR="00C2392A">
              <w:rPr>
                <w:noProof/>
                <w:webHidden/>
              </w:rPr>
            </w:r>
            <w:r w:rsidR="00C2392A">
              <w:rPr>
                <w:noProof/>
                <w:webHidden/>
              </w:rPr>
              <w:fldChar w:fldCharType="separate"/>
            </w:r>
            <w:r w:rsidR="009B2CF5">
              <w:rPr>
                <w:noProof/>
                <w:webHidden/>
              </w:rPr>
              <w:t>35</w:t>
            </w:r>
            <w:r w:rsidR="00C2392A">
              <w:rPr>
                <w:noProof/>
                <w:webHidden/>
              </w:rPr>
              <w:fldChar w:fldCharType="end"/>
            </w:r>
          </w:hyperlink>
        </w:p>
        <w:p w14:paraId="578D6514" w14:textId="3AD6AE14" w:rsidR="00C2392A" w:rsidRDefault="00000000">
          <w:pPr>
            <w:pStyle w:val="TOC2"/>
            <w:tabs>
              <w:tab w:val="right" w:leader="dot" w:pos="9350"/>
            </w:tabs>
            <w:rPr>
              <w:rFonts w:asciiTheme="minorHAnsi" w:eastAsiaTheme="minorEastAsia" w:hAnsiTheme="minorHAnsi"/>
              <w:noProof/>
              <w:color w:val="auto"/>
              <w:kern w:val="0"/>
              <w:sz w:val="22"/>
            </w:rPr>
          </w:pPr>
          <w:hyperlink w:anchor="_Toc98322301" w:history="1">
            <w:r w:rsidR="00C2392A" w:rsidRPr="00C24CD8">
              <w:rPr>
                <w:rStyle w:val="Hyperlink"/>
                <w:noProof/>
              </w:rPr>
              <w:t>11.4</w:t>
            </w:r>
            <w:r w:rsidR="00C2392A">
              <w:rPr>
                <w:rFonts w:asciiTheme="minorHAnsi" w:eastAsiaTheme="minorEastAsia" w:hAnsiTheme="minorHAnsi"/>
                <w:noProof/>
                <w:color w:val="auto"/>
                <w:kern w:val="0"/>
                <w:sz w:val="22"/>
              </w:rPr>
              <w:tab/>
            </w:r>
            <w:r w:rsidR="00C2392A" w:rsidRPr="00C24CD8">
              <w:rPr>
                <w:rStyle w:val="Hyperlink"/>
                <w:noProof/>
              </w:rPr>
              <w:t>Upper bounds on Carbon at Risk</w:t>
            </w:r>
            <w:r w:rsidR="00C2392A">
              <w:rPr>
                <w:noProof/>
                <w:webHidden/>
              </w:rPr>
              <w:tab/>
            </w:r>
            <w:r w:rsidR="00C2392A">
              <w:rPr>
                <w:noProof/>
                <w:webHidden/>
              </w:rPr>
              <w:fldChar w:fldCharType="begin"/>
            </w:r>
            <w:r w:rsidR="00C2392A">
              <w:rPr>
                <w:noProof/>
                <w:webHidden/>
              </w:rPr>
              <w:instrText xml:space="preserve"> PAGEREF _Toc98322301 \h </w:instrText>
            </w:r>
            <w:r w:rsidR="00C2392A">
              <w:rPr>
                <w:noProof/>
                <w:webHidden/>
              </w:rPr>
            </w:r>
            <w:r w:rsidR="00C2392A">
              <w:rPr>
                <w:noProof/>
                <w:webHidden/>
              </w:rPr>
              <w:fldChar w:fldCharType="separate"/>
            </w:r>
            <w:r w:rsidR="009B2CF5">
              <w:rPr>
                <w:noProof/>
                <w:webHidden/>
              </w:rPr>
              <w:t>40</w:t>
            </w:r>
            <w:r w:rsidR="00C2392A">
              <w:rPr>
                <w:noProof/>
                <w:webHidden/>
              </w:rPr>
              <w:fldChar w:fldCharType="end"/>
            </w:r>
          </w:hyperlink>
        </w:p>
        <w:p w14:paraId="666B9A96" w14:textId="4B44450B" w:rsidR="00C2392A" w:rsidRDefault="00000000">
          <w:pPr>
            <w:pStyle w:val="TOC2"/>
            <w:tabs>
              <w:tab w:val="right" w:leader="dot" w:pos="9350"/>
            </w:tabs>
            <w:rPr>
              <w:rFonts w:asciiTheme="minorHAnsi" w:eastAsiaTheme="minorEastAsia" w:hAnsiTheme="minorHAnsi"/>
              <w:noProof/>
              <w:color w:val="auto"/>
              <w:kern w:val="0"/>
              <w:sz w:val="22"/>
            </w:rPr>
          </w:pPr>
          <w:hyperlink w:anchor="_Toc98322302" w:history="1">
            <w:r w:rsidR="00C2392A" w:rsidRPr="00C24CD8">
              <w:rPr>
                <w:rStyle w:val="Hyperlink"/>
                <w:noProof/>
              </w:rPr>
              <w:t>11.5</w:t>
            </w:r>
            <w:r w:rsidR="00C2392A">
              <w:rPr>
                <w:rFonts w:asciiTheme="minorHAnsi" w:eastAsiaTheme="minorEastAsia" w:hAnsiTheme="minorHAnsi"/>
                <w:noProof/>
                <w:color w:val="auto"/>
                <w:kern w:val="0"/>
                <w:sz w:val="22"/>
              </w:rPr>
              <w:tab/>
            </w:r>
            <w:r w:rsidR="00C2392A" w:rsidRPr="00C24CD8">
              <w:rPr>
                <w:rStyle w:val="Hyperlink"/>
                <w:noProof/>
              </w:rPr>
              <w:t>References Used in Baseline Model Development</w:t>
            </w:r>
            <w:r w:rsidR="00C2392A">
              <w:rPr>
                <w:noProof/>
                <w:webHidden/>
              </w:rPr>
              <w:tab/>
            </w:r>
            <w:r w:rsidR="00C2392A">
              <w:rPr>
                <w:noProof/>
                <w:webHidden/>
              </w:rPr>
              <w:fldChar w:fldCharType="begin"/>
            </w:r>
            <w:r w:rsidR="00C2392A">
              <w:rPr>
                <w:noProof/>
                <w:webHidden/>
              </w:rPr>
              <w:instrText xml:space="preserve"> PAGEREF _Toc98322302 \h </w:instrText>
            </w:r>
            <w:r w:rsidR="00C2392A">
              <w:rPr>
                <w:noProof/>
                <w:webHidden/>
              </w:rPr>
            </w:r>
            <w:r w:rsidR="00C2392A">
              <w:rPr>
                <w:noProof/>
                <w:webHidden/>
              </w:rPr>
              <w:fldChar w:fldCharType="separate"/>
            </w:r>
            <w:r w:rsidR="009B2CF5">
              <w:rPr>
                <w:noProof/>
                <w:webHidden/>
              </w:rPr>
              <w:t>41</w:t>
            </w:r>
            <w:r w:rsidR="00C2392A">
              <w:rPr>
                <w:noProof/>
                <w:webHidden/>
              </w:rPr>
              <w:fldChar w:fldCharType="end"/>
            </w:r>
          </w:hyperlink>
        </w:p>
        <w:p w14:paraId="49166307" w14:textId="113ACEE4" w:rsidR="00C2392A" w:rsidRDefault="00000000">
          <w:pPr>
            <w:pStyle w:val="TOC1"/>
            <w:rPr>
              <w:rFonts w:asciiTheme="minorHAnsi" w:eastAsiaTheme="minorEastAsia" w:hAnsiTheme="minorHAnsi"/>
              <w:b w:val="0"/>
              <w:caps w:val="0"/>
              <w:noProof/>
              <w:color w:val="auto"/>
              <w:kern w:val="0"/>
              <w:sz w:val="22"/>
            </w:rPr>
          </w:pPr>
          <w:hyperlink w:anchor="_Toc98322303" w:history="1">
            <w:r w:rsidR="00C2392A" w:rsidRPr="00C24CD8">
              <w:rPr>
                <w:rStyle w:val="Hyperlink"/>
                <w:noProof/>
              </w:rPr>
              <w:t>12</w:t>
            </w:r>
            <w:r w:rsidR="00C2392A">
              <w:rPr>
                <w:rFonts w:asciiTheme="minorHAnsi" w:eastAsiaTheme="minorEastAsia" w:hAnsiTheme="minorHAnsi"/>
                <w:b w:val="0"/>
                <w:caps w:val="0"/>
                <w:noProof/>
                <w:color w:val="auto"/>
                <w:kern w:val="0"/>
                <w:sz w:val="22"/>
              </w:rPr>
              <w:tab/>
            </w:r>
            <w:r w:rsidR="00C2392A" w:rsidRPr="00C24CD8">
              <w:rPr>
                <w:rStyle w:val="Hyperlink"/>
                <w:noProof/>
              </w:rPr>
              <w:t>Appendix B: Baseline Model Fitting Dataset Compilation</w:t>
            </w:r>
            <w:r w:rsidR="00C2392A">
              <w:rPr>
                <w:noProof/>
                <w:webHidden/>
              </w:rPr>
              <w:tab/>
            </w:r>
            <w:r w:rsidR="00C2392A">
              <w:rPr>
                <w:noProof/>
                <w:webHidden/>
              </w:rPr>
              <w:fldChar w:fldCharType="begin"/>
            </w:r>
            <w:r w:rsidR="00C2392A">
              <w:rPr>
                <w:noProof/>
                <w:webHidden/>
              </w:rPr>
              <w:instrText xml:space="preserve"> PAGEREF _Toc98322303 \h </w:instrText>
            </w:r>
            <w:r w:rsidR="00C2392A">
              <w:rPr>
                <w:noProof/>
                <w:webHidden/>
              </w:rPr>
            </w:r>
            <w:r w:rsidR="00C2392A">
              <w:rPr>
                <w:noProof/>
                <w:webHidden/>
              </w:rPr>
              <w:fldChar w:fldCharType="separate"/>
            </w:r>
            <w:r w:rsidR="009B2CF5">
              <w:rPr>
                <w:noProof/>
                <w:webHidden/>
              </w:rPr>
              <w:t>44</w:t>
            </w:r>
            <w:r w:rsidR="00C2392A">
              <w:rPr>
                <w:noProof/>
                <w:webHidden/>
              </w:rPr>
              <w:fldChar w:fldCharType="end"/>
            </w:r>
          </w:hyperlink>
        </w:p>
        <w:p w14:paraId="7AE1EB04" w14:textId="14A536E1" w:rsidR="00C2392A" w:rsidRDefault="00000000">
          <w:pPr>
            <w:pStyle w:val="TOC2"/>
            <w:tabs>
              <w:tab w:val="right" w:leader="dot" w:pos="9350"/>
            </w:tabs>
            <w:rPr>
              <w:rFonts w:asciiTheme="minorHAnsi" w:eastAsiaTheme="minorEastAsia" w:hAnsiTheme="minorHAnsi"/>
              <w:noProof/>
              <w:color w:val="auto"/>
              <w:kern w:val="0"/>
              <w:sz w:val="22"/>
            </w:rPr>
          </w:pPr>
          <w:hyperlink w:anchor="_Toc98322304" w:history="1">
            <w:r w:rsidR="00C2392A" w:rsidRPr="00C24CD8">
              <w:rPr>
                <w:rStyle w:val="Hyperlink"/>
                <w:noProof/>
              </w:rPr>
              <w:t>12.1</w:t>
            </w:r>
            <w:r w:rsidR="00C2392A">
              <w:rPr>
                <w:rFonts w:asciiTheme="minorHAnsi" w:eastAsiaTheme="minorEastAsia" w:hAnsiTheme="minorHAnsi"/>
                <w:noProof/>
                <w:color w:val="auto"/>
                <w:kern w:val="0"/>
                <w:sz w:val="22"/>
              </w:rPr>
              <w:tab/>
            </w:r>
            <w:r w:rsidR="00C2392A" w:rsidRPr="00C24CD8">
              <w:rPr>
                <w:rStyle w:val="Hyperlink"/>
                <w:noProof/>
              </w:rPr>
              <w:t>Baseline Model Training and Validation Dataset</w:t>
            </w:r>
            <w:r w:rsidR="00C2392A">
              <w:rPr>
                <w:noProof/>
                <w:webHidden/>
              </w:rPr>
              <w:tab/>
            </w:r>
            <w:r w:rsidR="00C2392A">
              <w:rPr>
                <w:noProof/>
                <w:webHidden/>
              </w:rPr>
              <w:fldChar w:fldCharType="begin"/>
            </w:r>
            <w:r w:rsidR="00C2392A">
              <w:rPr>
                <w:noProof/>
                <w:webHidden/>
              </w:rPr>
              <w:instrText xml:space="preserve"> PAGEREF _Toc98322304 \h </w:instrText>
            </w:r>
            <w:r w:rsidR="00C2392A">
              <w:rPr>
                <w:noProof/>
                <w:webHidden/>
              </w:rPr>
            </w:r>
            <w:r w:rsidR="00C2392A">
              <w:rPr>
                <w:noProof/>
                <w:webHidden/>
              </w:rPr>
              <w:fldChar w:fldCharType="separate"/>
            </w:r>
            <w:r w:rsidR="009B2CF5">
              <w:rPr>
                <w:noProof/>
                <w:webHidden/>
              </w:rPr>
              <w:t>44</w:t>
            </w:r>
            <w:r w:rsidR="00C2392A">
              <w:rPr>
                <w:noProof/>
                <w:webHidden/>
              </w:rPr>
              <w:fldChar w:fldCharType="end"/>
            </w:r>
          </w:hyperlink>
        </w:p>
        <w:p w14:paraId="4801F2BC" w14:textId="59D358D9" w:rsidR="00C2392A" w:rsidRDefault="00000000">
          <w:pPr>
            <w:pStyle w:val="TOC2"/>
            <w:tabs>
              <w:tab w:val="right" w:leader="dot" w:pos="9350"/>
            </w:tabs>
            <w:rPr>
              <w:rFonts w:asciiTheme="minorHAnsi" w:eastAsiaTheme="minorEastAsia" w:hAnsiTheme="minorHAnsi"/>
              <w:noProof/>
              <w:color w:val="auto"/>
              <w:kern w:val="0"/>
              <w:sz w:val="22"/>
            </w:rPr>
          </w:pPr>
          <w:hyperlink w:anchor="_Toc98322305" w:history="1">
            <w:r w:rsidR="00C2392A" w:rsidRPr="00C24CD8">
              <w:rPr>
                <w:rStyle w:val="Hyperlink"/>
                <w:noProof/>
              </w:rPr>
              <w:t>12.2</w:t>
            </w:r>
            <w:r w:rsidR="00C2392A">
              <w:rPr>
                <w:rFonts w:asciiTheme="minorHAnsi" w:eastAsiaTheme="minorEastAsia" w:hAnsiTheme="minorHAnsi"/>
                <w:noProof/>
                <w:color w:val="auto"/>
                <w:kern w:val="0"/>
                <w:sz w:val="22"/>
              </w:rPr>
              <w:tab/>
            </w:r>
            <w:r w:rsidR="00C2392A" w:rsidRPr="00C24CD8">
              <w:rPr>
                <w:rStyle w:val="Hyperlink"/>
                <w:noProof/>
              </w:rPr>
              <w:t>National Forest Inventory Data</w:t>
            </w:r>
            <w:r w:rsidR="00C2392A">
              <w:rPr>
                <w:noProof/>
                <w:webHidden/>
              </w:rPr>
              <w:tab/>
            </w:r>
            <w:r w:rsidR="00C2392A">
              <w:rPr>
                <w:noProof/>
                <w:webHidden/>
              </w:rPr>
              <w:fldChar w:fldCharType="begin"/>
            </w:r>
            <w:r w:rsidR="00C2392A">
              <w:rPr>
                <w:noProof/>
                <w:webHidden/>
              </w:rPr>
              <w:instrText xml:space="preserve"> PAGEREF _Toc98322305 \h </w:instrText>
            </w:r>
            <w:r w:rsidR="00C2392A">
              <w:rPr>
                <w:noProof/>
                <w:webHidden/>
              </w:rPr>
            </w:r>
            <w:r w:rsidR="00C2392A">
              <w:rPr>
                <w:noProof/>
                <w:webHidden/>
              </w:rPr>
              <w:fldChar w:fldCharType="separate"/>
            </w:r>
            <w:r w:rsidR="009B2CF5">
              <w:rPr>
                <w:noProof/>
                <w:webHidden/>
              </w:rPr>
              <w:t>44</w:t>
            </w:r>
            <w:r w:rsidR="00C2392A">
              <w:rPr>
                <w:noProof/>
                <w:webHidden/>
              </w:rPr>
              <w:fldChar w:fldCharType="end"/>
            </w:r>
          </w:hyperlink>
        </w:p>
        <w:p w14:paraId="0DCA00EC" w14:textId="6CDFBD44" w:rsidR="00C2392A" w:rsidRDefault="00000000">
          <w:pPr>
            <w:pStyle w:val="TOC2"/>
            <w:tabs>
              <w:tab w:val="right" w:leader="dot" w:pos="9350"/>
            </w:tabs>
            <w:rPr>
              <w:rFonts w:asciiTheme="minorHAnsi" w:eastAsiaTheme="minorEastAsia" w:hAnsiTheme="minorHAnsi"/>
              <w:noProof/>
              <w:color w:val="auto"/>
              <w:kern w:val="0"/>
              <w:sz w:val="22"/>
            </w:rPr>
          </w:pPr>
          <w:hyperlink w:anchor="_Toc98322306" w:history="1">
            <w:r w:rsidR="00C2392A" w:rsidRPr="00C24CD8">
              <w:rPr>
                <w:rStyle w:val="Hyperlink"/>
                <w:noProof/>
              </w:rPr>
              <w:t>12.3</w:t>
            </w:r>
            <w:r w:rsidR="00C2392A">
              <w:rPr>
                <w:rFonts w:asciiTheme="minorHAnsi" w:eastAsiaTheme="minorEastAsia" w:hAnsiTheme="minorHAnsi"/>
                <w:noProof/>
                <w:color w:val="auto"/>
                <w:kern w:val="0"/>
                <w:sz w:val="22"/>
              </w:rPr>
              <w:tab/>
            </w:r>
            <w:r w:rsidR="00C2392A" w:rsidRPr="00C24CD8">
              <w:rPr>
                <w:rStyle w:val="Hyperlink"/>
                <w:noProof/>
              </w:rPr>
              <w:t>Covariate Data</w:t>
            </w:r>
            <w:r w:rsidR="00C2392A">
              <w:rPr>
                <w:noProof/>
                <w:webHidden/>
              </w:rPr>
              <w:tab/>
            </w:r>
            <w:r w:rsidR="00C2392A">
              <w:rPr>
                <w:noProof/>
                <w:webHidden/>
              </w:rPr>
              <w:fldChar w:fldCharType="begin"/>
            </w:r>
            <w:r w:rsidR="00C2392A">
              <w:rPr>
                <w:noProof/>
                <w:webHidden/>
              </w:rPr>
              <w:instrText xml:space="preserve"> PAGEREF _Toc98322306 \h </w:instrText>
            </w:r>
            <w:r w:rsidR="00C2392A">
              <w:rPr>
                <w:noProof/>
                <w:webHidden/>
              </w:rPr>
            </w:r>
            <w:r w:rsidR="00C2392A">
              <w:rPr>
                <w:noProof/>
                <w:webHidden/>
              </w:rPr>
              <w:fldChar w:fldCharType="separate"/>
            </w:r>
            <w:r w:rsidR="009B2CF5">
              <w:rPr>
                <w:noProof/>
                <w:webHidden/>
              </w:rPr>
              <w:t>45</w:t>
            </w:r>
            <w:r w:rsidR="00C2392A">
              <w:rPr>
                <w:noProof/>
                <w:webHidden/>
              </w:rPr>
              <w:fldChar w:fldCharType="end"/>
            </w:r>
          </w:hyperlink>
        </w:p>
        <w:p w14:paraId="1992236C" w14:textId="105811F6" w:rsidR="00C2392A" w:rsidRDefault="00000000">
          <w:pPr>
            <w:pStyle w:val="TOC2"/>
            <w:tabs>
              <w:tab w:val="right" w:leader="dot" w:pos="9350"/>
            </w:tabs>
            <w:rPr>
              <w:rFonts w:asciiTheme="minorHAnsi" w:eastAsiaTheme="minorEastAsia" w:hAnsiTheme="minorHAnsi"/>
              <w:noProof/>
              <w:color w:val="auto"/>
              <w:kern w:val="0"/>
              <w:sz w:val="22"/>
            </w:rPr>
          </w:pPr>
          <w:hyperlink w:anchor="_Toc98322307" w:history="1">
            <w:r w:rsidR="00C2392A" w:rsidRPr="00C24CD8">
              <w:rPr>
                <w:rStyle w:val="Hyperlink"/>
                <w:noProof/>
              </w:rPr>
              <w:t>12.4</w:t>
            </w:r>
            <w:r w:rsidR="00C2392A">
              <w:rPr>
                <w:rFonts w:asciiTheme="minorHAnsi" w:eastAsiaTheme="minorEastAsia" w:hAnsiTheme="minorHAnsi"/>
                <w:noProof/>
                <w:color w:val="auto"/>
                <w:kern w:val="0"/>
                <w:sz w:val="22"/>
              </w:rPr>
              <w:tab/>
            </w:r>
            <w:r w:rsidR="00C2392A" w:rsidRPr="00C24CD8">
              <w:rPr>
                <w:rStyle w:val="Hyperlink"/>
                <w:noProof/>
              </w:rPr>
              <w:t>References</w:t>
            </w:r>
            <w:r w:rsidR="00C2392A">
              <w:rPr>
                <w:noProof/>
                <w:webHidden/>
              </w:rPr>
              <w:tab/>
            </w:r>
            <w:r w:rsidR="00C2392A">
              <w:rPr>
                <w:noProof/>
                <w:webHidden/>
              </w:rPr>
              <w:fldChar w:fldCharType="begin"/>
            </w:r>
            <w:r w:rsidR="00C2392A">
              <w:rPr>
                <w:noProof/>
                <w:webHidden/>
              </w:rPr>
              <w:instrText xml:space="preserve"> PAGEREF _Toc98322307 \h </w:instrText>
            </w:r>
            <w:r w:rsidR="00C2392A">
              <w:rPr>
                <w:noProof/>
                <w:webHidden/>
              </w:rPr>
            </w:r>
            <w:r w:rsidR="00C2392A">
              <w:rPr>
                <w:noProof/>
                <w:webHidden/>
              </w:rPr>
              <w:fldChar w:fldCharType="separate"/>
            </w:r>
            <w:r w:rsidR="009B2CF5">
              <w:rPr>
                <w:noProof/>
                <w:webHidden/>
              </w:rPr>
              <w:t>46</w:t>
            </w:r>
            <w:r w:rsidR="00C2392A">
              <w:rPr>
                <w:noProof/>
                <w:webHidden/>
              </w:rPr>
              <w:fldChar w:fldCharType="end"/>
            </w:r>
          </w:hyperlink>
        </w:p>
        <w:p w14:paraId="166596DE" w14:textId="6082F62A" w:rsidR="00C2392A" w:rsidRDefault="00000000">
          <w:pPr>
            <w:pStyle w:val="TOC1"/>
            <w:rPr>
              <w:rFonts w:asciiTheme="minorHAnsi" w:eastAsiaTheme="minorEastAsia" w:hAnsiTheme="minorHAnsi"/>
              <w:b w:val="0"/>
              <w:caps w:val="0"/>
              <w:noProof/>
              <w:color w:val="auto"/>
              <w:kern w:val="0"/>
              <w:sz w:val="22"/>
            </w:rPr>
          </w:pPr>
          <w:hyperlink w:anchor="_Toc98322308" w:history="1">
            <w:r w:rsidR="00C2392A" w:rsidRPr="00C24CD8">
              <w:rPr>
                <w:rStyle w:val="Hyperlink"/>
                <w:noProof/>
              </w:rPr>
              <w:t>13</w:t>
            </w:r>
            <w:r w:rsidR="00C2392A">
              <w:rPr>
                <w:rFonts w:asciiTheme="minorHAnsi" w:eastAsiaTheme="minorEastAsia" w:hAnsiTheme="minorHAnsi"/>
                <w:b w:val="0"/>
                <w:caps w:val="0"/>
                <w:noProof/>
                <w:color w:val="auto"/>
                <w:kern w:val="0"/>
                <w:sz w:val="22"/>
              </w:rPr>
              <w:tab/>
            </w:r>
            <w:r w:rsidR="00C2392A" w:rsidRPr="00C24CD8">
              <w:rPr>
                <w:rStyle w:val="Hyperlink"/>
                <w:noProof/>
              </w:rPr>
              <w:t>Appendix C: Validation and Verification Guidance</w:t>
            </w:r>
            <w:r w:rsidR="00C2392A">
              <w:rPr>
                <w:noProof/>
                <w:webHidden/>
              </w:rPr>
              <w:tab/>
            </w:r>
            <w:r w:rsidR="00C2392A">
              <w:rPr>
                <w:noProof/>
                <w:webHidden/>
              </w:rPr>
              <w:fldChar w:fldCharType="begin"/>
            </w:r>
            <w:r w:rsidR="00C2392A">
              <w:rPr>
                <w:noProof/>
                <w:webHidden/>
              </w:rPr>
              <w:instrText xml:space="preserve"> PAGEREF _Toc98322308 \h </w:instrText>
            </w:r>
            <w:r w:rsidR="00C2392A">
              <w:rPr>
                <w:noProof/>
                <w:webHidden/>
              </w:rPr>
            </w:r>
            <w:r w:rsidR="00C2392A">
              <w:rPr>
                <w:noProof/>
                <w:webHidden/>
              </w:rPr>
              <w:fldChar w:fldCharType="separate"/>
            </w:r>
            <w:r w:rsidR="009B2CF5">
              <w:rPr>
                <w:noProof/>
                <w:webHidden/>
              </w:rPr>
              <w:t>46</w:t>
            </w:r>
            <w:r w:rsidR="00C2392A">
              <w:rPr>
                <w:noProof/>
                <w:webHidden/>
              </w:rPr>
              <w:fldChar w:fldCharType="end"/>
            </w:r>
          </w:hyperlink>
        </w:p>
        <w:p w14:paraId="525971B4" w14:textId="4BEDE57B" w:rsidR="00C2392A" w:rsidRDefault="00000000">
          <w:pPr>
            <w:pStyle w:val="TOC2"/>
            <w:tabs>
              <w:tab w:val="right" w:leader="dot" w:pos="9350"/>
            </w:tabs>
            <w:rPr>
              <w:rFonts w:asciiTheme="minorHAnsi" w:eastAsiaTheme="minorEastAsia" w:hAnsiTheme="minorHAnsi"/>
              <w:noProof/>
              <w:color w:val="auto"/>
              <w:kern w:val="0"/>
              <w:sz w:val="22"/>
            </w:rPr>
          </w:pPr>
          <w:hyperlink w:anchor="_Toc98322309" w:history="1">
            <w:r w:rsidR="00C2392A" w:rsidRPr="00C24CD8">
              <w:rPr>
                <w:rStyle w:val="Hyperlink"/>
                <w:noProof/>
              </w:rPr>
              <w:t>13.1</w:t>
            </w:r>
            <w:r w:rsidR="00C2392A">
              <w:rPr>
                <w:rFonts w:asciiTheme="minorHAnsi" w:eastAsiaTheme="minorEastAsia" w:hAnsiTheme="minorHAnsi"/>
                <w:noProof/>
                <w:color w:val="auto"/>
                <w:kern w:val="0"/>
                <w:sz w:val="22"/>
              </w:rPr>
              <w:tab/>
            </w:r>
            <w:r w:rsidR="00C2392A" w:rsidRPr="00C24CD8">
              <w:rPr>
                <w:rStyle w:val="Hyperlink"/>
                <w:noProof/>
              </w:rPr>
              <w:t>Validation</w:t>
            </w:r>
            <w:r w:rsidR="00C2392A">
              <w:rPr>
                <w:noProof/>
                <w:webHidden/>
              </w:rPr>
              <w:tab/>
            </w:r>
            <w:r w:rsidR="00C2392A">
              <w:rPr>
                <w:noProof/>
                <w:webHidden/>
              </w:rPr>
              <w:fldChar w:fldCharType="begin"/>
            </w:r>
            <w:r w:rsidR="00C2392A">
              <w:rPr>
                <w:noProof/>
                <w:webHidden/>
              </w:rPr>
              <w:instrText xml:space="preserve"> PAGEREF _Toc98322309 \h </w:instrText>
            </w:r>
            <w:r w:rsidR="00C2392A">
              <w:rPr>
                <w:noProof/>
                <w:webHidden/>
              </w:rPr>
            </w:r>
            <w:r w:rsidR="00C2392A">
              <w:rPr>
                <w:noProof/>
                <w:webHidden/>
              </w:rPr>
              <w:fldChar w:fldCharType="separate"/>
            </w:r>
            <w:r w:rsidR="009B2CF5">
              <w:rPr>
                <w:noProof/>
                <w:webHidden/>
              </w:rPr>
              <w:t>46</w:t>
            </w:r>
            <w:r w:rsidR="00C2392A">
              <w:rPr>
                <w:noProof/>
                <w:webHidden/>
              </w:rPr>
              <w:fldChar w:fldCharType="end"/>
            </w:r>
          </w:hyperlink>
        </w:p>
        <w:p w14:paraId="4C6BE2ED" w14:textId="380758D3" w:rsidR="00C2392A" w:rsidRDefault="00000000">
          <w:pPr>
            <w:pStyle w:val="TOC2"/>
            <w:tabs>
              <w:tab w:val="right" w:leader="dot" w:pos="9350"/>
            </w:tabs>
            <w:rPr>
              <w:rFonts w:asciiTheme="minorHAnsi" w:eastAsiaTheme="minorEastAsia" w:hAnsiTheme="minorHAnsi"/>
              <w:noProof/>
              <w:color w:val="auto"/>
              <w:kern w:val="0"/>
              <w:sz w:val="22"/>
            </w:rPr>
          </w:pPr>
          <w:hyperlink w:anchor="_Toc98322310" w:history="1">
            <w:r w:rsidR="00C2392A" w:rsidRPr="00C24CD8">
              <w:rPr>
                <w:rStyle w:val="Hyperlink"/>
                <w:noProof/>
              </w:rPr>
              <w:t>13.2</w:t>
            </w:r>
            <w:r w:rsidR="00C2392A">
              <w:rPr>
                <w:rFonts w:asciiTheme="minorHAnsi" w:eastAsiaTheme="minorEastAsia" w:hAnsiTheme="minorHAnsi"/>
                <w:noProof/>
                <w:color w:val="auto"/>
                <w:kern w:val="0"/>
                <w:sz w:val="22"/>
              </w:rPr>
              <w:tab/>
            </w:r>
            <w:r w:rsidR="00C2392A" w:rsidRPr="00C24CD8">
              <w:rPr>
                <w:rStyle w:val="Hyperlink"/>
                <w:noProof/>
              </w:rPr>
              <w:t>Verification</w:t>
            </w:r>
            <w:r w:rsidR="00C2392A">
              <w:rPr>
                <w:noProof/>
                <w:webHidden/>
              </w:rPr>
              <w:tab/>
            </w:r>
            <w:r w:rsidR="00C2392A">
              <w:rPr>
                <w:noProof/>
                <w:webHidden/>
              </w:rPr>
              <w:fldChar w:fldCharType="begin"/>
            </w:r>
            <w:r w:rsidR="00C2392A">
              <w:rPr>
                <w:noProof/>
                <w:webHidden/>
              </w:rPr>
              <w:instrText xml:space="preserve"> PAGEREF _Toc98322310 \h </w:instrText>
            </w:r>
            <w:r w:rsidR="00C2392A">
              <w:rPr>
                <w:noProof/>
                <w:webHidden/>
              </w:rPr>
            </w:r>
            <w:r w:rsidR="00C2392A">
              <w:rPr>
                <w:noProof/>
                <w:webHidden/>
              </w:rPr>
              <w:fldChar w:fldCharType="separate"/>
            </w:r>
            <w:r w:rsidR="009B2CF5">
              <w:rPr>
                <w:noProof/>
                <w:webHidden/>
              </w:rPr>
              <w:t>47</w:t>
            </w:r>
            <w:r w:rsidR="00C2392A">
              <w:rPr>
                <w:noProof/>
                <w:webHidden/>
              </w:rPr>
              <w:fldChar w:fldCharType="end"/>
            </w:r>
          </w:hyperlink>
        </w:p>
        <w:p w14:paraId="0000005A" w14:textId="61ED8473" w:rsidR="00471C28" w:rsidRDefault="00CF15C9">
          <w:pPr>
            <w:tabs>
              <w:tab w:val="right" w:pos="9360"/>
            </w:tabs>
            <w:spacing w:before="60" w:after="80"/>
            <w:ind w:left="360"/>
            <w:rPr>
              <w:rFonts w:ascii="Century Gothic" w:eastAsia="Century Gothic" w:hAnsi="Century Gothic" w:cs="Century Gothic"/>
              <w:color w:val="2B3957"/>
            </w:rPr>
          </w:pPr>
          <w:r>
            <w:fldChar w:fldCharType="end"/>
          </w:r>
        </w:p>
      </w:sdtContent>
    </w:sdt>
    <w:p w14:paraId="0000005B" w14:textId="77777777" w:rsidR="00471C28" w:rsidRDefault="00471C28">
      <w:pPr>
        <w:widowControl w:val="0"/>
        <w:pBdr>
          <w:top w:val="nil"/>
          <w:left w:val="nil"/>
          <w:bottom w:val="nil"/>
          <w:right w:val="nil"/>
          <w:between w:val="nil"/>
        </w:pBdr>
        <w:tabs>
          <w:tab w:val="right" w:pos="810"/>
          <w:tab w:val="right" w:pos="9350"/>
        </w:tabs>
        <w:spacing w:before="60" w:after="120"/>
        <w:ind w:left="720" w:hanging="720"/>
        <w:rPr>
          <w:rFonts w:ascii="Century Gothic" w:eastAsia="Century Gothic" w:hAnsi="Century Gothic" w:cs="Century Gothic"/>
          <w:smallCaps/>
          <w:color w:val="000000"/>
          <w:u w:val="single"/>
        </w:rPr>
        <w:sectPr w:rsidR="00471C28">
          <w:headerReference w:type="default" r:id="rId17"/>
          <w:pgSz w:w="12240" w:h="15840"/>
          <w:pgMar w:top="1440" w:right="1440" w:bottom="1440" w:left="1440" w:header="720" w:footer="720" w:gutter="0"/>
          <w:cols w:space="720"/>
        </w:sectPr>
      </w:pPr>
    </w:p>
    <w:p w14:paraId="0000005C" w14:textId="77777777" w:rsidR="00471C28" w:rsidRDefault="00CF15C9" w:rsidP="008D139B">
      <w:pPr>
        <w:pStyle w:val="Heading1"/>
      </w:pPr>
      <w:bookmarkStart w:id="5" w:name="_Toc98322279"/>
      <w:r w:rsidRPr="008D139B">
        <w:lastRenderedPageBreak/>
        <w:t>Sources</w:t>
      </w:r>
      <w:bookmarkEnd w:id="5"/>
    </w:p>
    <w:p w14:paraId="0000005D" w14:textId="0CBF8B07" w:rsidR="00471C28" w:rsidRPr="008D139B" w:rsidRDefault="00CF15C9">
      <w:pPr>
        <w:pBdr>
          <w:top w:val="nil"/>
          <w:left w:val="nil"/>
          <w:bottom w:val="nil"/>
          <w:right w:val="nil"/>
          <w:between w:val="nil"/>
        </w:pBdr>
        <w:spacing w:before="60" w:after="120" w:line="288" w:lineRule="auto"/>
        <w:ind w:left="720"/>
        <w:rPr>
          <w:rFonts w:eastAsia="Century Gothic" w:cs="Century Gothic"/>
          <w:color w:val="000000"/>
        </w:rPr>
      </w:pPr>
      <w:r w:rsidRPr="008D139B">
        <w:rPr>
          <w:rFonts w:eastAsia="Century Gothic" w:cs="Century Gothic"/>
        </w:rPr>
        <w:t>No sources are referenced in this document</w:t>
      </w:r>
      <w:r w:rsidR="00FE6296" w:rsidRPr="008D139B">
        <w:rPr>
          <w:rFonts w:eastAsia="Century Gothic" w:cs="Century Gothic"/>
        </w:rPr>
        <w:t>.</w:t>
      </w:r>
      <w:r w:rsidR="00E71370" w:rsidRPr="008D139B">
        <w:rPr>
          <w:rFonts w:eastAsia="Libre Franklin" w:cs="Libre Franklin"/>
          <w:bCs/>
          <w:szCs w:val="20"/>
        </w:rPr>
        <w:t xml:space="preserve">  While we have cited references in support of </w:t>
      </w:r>
      <w:proofErr w:type="gramStart"/>
      <w:r w:rsidR="00E71370" w:rsidRPr="008D139B">
        <w:rPr>
          <w:rFonts w:eastAsia="Libre Franklin" w:cs="Libre Franklin"/>
          <w:bCs/>
          <w:szCs w:val="20"/>
        </w:rPr>
        <w:t>particular areas</w:t>
      </w:r>
      <w:proofErr w:type="gramEnd"/>
      <w:r w:rsidR="00E71370" w:rsidRPr="008D139B">
        <w:rPr>
          <w:rFonts w:eastAsia="Libre Franklin" w:cs="Libre Franklin"/>
          <w:bCs/>
          <w:szCs w:val="20"/>
        </w:rPr>
        <w:t xml:space="preserve"> of the science represented in this methodology, there are no existing methodologies or projects that form a motivation or basis of this work.</w:t>
      </w:r>
    </w:p>
    <w:p w14:paraId="0000005E" w14:textId="77777777" w:rsidR="00471C28" w:rsidRPr="008D139B" w:rsidRDefault="00CF15C9" w:rsidP="008D139B">
      <w:pPr>
        <w:pStyle w:val="Heading1"/>
      </w:pPr>
      <w:bookmarkStart w:id="6" w:name="_Toc98322280"/>
      <w:r w:rsidRPr="008D139B">
        <w:t>Summary description of the Methodology</w:t>
      </w:r>
      <w:bookmarkEnd w:id="6"/>
    </w:p>
    <w:p w14:paraId="0000005F" w14:textId="77777777" w:rsidR="00471C28" w:rsidRDefault="00CF15C9" w:rsidP="00046177">
      <w:pPr>
        <w:pStyle w:val="FigureandTableTitles"/>
      </w:pPr>
      <w:r>
        <w:t>Table 2-1: Application of Standardized Method</w:t>
      </w:r>
    </w:p>
    <w:tbl>
      <w:tblPr>
        <w:tblW w:w="585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070"/>
        <w:gridCol w:w="3780"/>
      </w:tblGrid>
      <w:tr w:rsidR="00471C28" w14:paraId="0CA61FC3" w14:textId="77777777" w:rsidTr="00471C28">
        <w:trPr>
          <w:trHeight w:val="288"/>
        </w:trPr>
        <w:tc>
          <w:tcPr>
            <w:tcW w:w="5850" w:type="dxa"/>
            <w:gridSpan w:val="2"/>
            <w:shd w:val="clear" w:color="auto" w:fill="CCD4E5"/>
          </w:tcPr>
          <w:p w14:paraId="00000060" w14:textId="77777777" w:rsidR="00471C28" w:rsidRPr="00046177" w:rsidRDefault="00CF15C9">
            <w:pPr>
              <w:pBdr>
                <w:top w:val="nil"/>
                <w:left w:val="nil"/>
                <w:bottom w:val="nil"/>
                <w:right w:val="nil"/>
                <w:between w:val="nil"/>
              </w:pBdr>
              <w:spacing w:before="60" w:after="120" w:line="276" w:lineRule="auto"/>
              <w:jc w:val="center"/>
              <w:rPr>
                <w:rFonts w:eastAsia="Century Gothic" w:cs="Century Gothic"/>
                <w:i/>
                <w:color w:val="404040"/>
                <w:szCs w:val="21"/>
              </w:rPr>
            </w:pPr>
            <w:bookmarkStart w:id="7" w:name="_heading=h.1t3h5sf" w:colFirst="0" w:colLast="0"/>
            <w:bookmarkEnd w:id="7"/>
            <w:r w:rsidRPr="00046177">
              <w:rPr>
                <w:rFonts w:eastAsia="Century Gothic" w:cs="Century Gothic"/>
                <w:szCs w:val="21"/>
              </w:rPr>
              <w:t>Additionality and Crediting Method</w:t>
            </w:r>
          </w:p>
        </w:tc>
      </w:tr>
      <w:tr w:rsidR="00471C28" w14:paraId="5C1D2E31" w14:textId="77777777" w:rsidTr="00471C28">
        <w:trPr>
          <w:trHeight w:val="288"/>
        </w:trPr>
        <w:tc>
          <w:tcPr>
            <w:tcW w:w="2070" w:type="dxa"/>
            <w:shd w:val="clear" w:color="auto" w:fill="F2F2F2"/>
            <w:vAlign w:val="center"/>
          </w:tcPr>
          <w:p w14:paraId="00000062" w14:textId="77777777" w:rsidR="00471C28" w:rsidRPr="00046177" w:rsidRDefault="00CF15C9">
            <w:pPr>
              <w:pBdr>
                <w:top w:val="nil"/>
                <w:left w:val="nil"/>
                <w:bottom w:val="nil"/>
                <w:right w:val="nil"/>
                <w:between w:val="nil"/>
              </w:pBdr>
              <w:spacing w:before="60" w:after="120" w:line="276" w:lineRule="auto"/>
              <w:rPr>
                <w:rFonts w:eastAsia="Century Gothic" w:cs="Century Gothic"/>
                <w:color w:val="404040"/>
                <w:szCs w:val="21"/>
              </w:rPr>
            </w:pPr>
            <w:r w:rsidRPr="00046177">
              <w:rPr>
                <w:rFonts w:eastAsia="Century Gothic" w:cs="Century Gothic"/>
                <w:color w:val="404040"/>
                <w:szCs w:val="21"/>
              </w:rPr>
              <w:t>Additionality</w:t>
            </w:r>
          </w:p>
        </w:tc>
        <w:tc>
          <w:tcPr>
            <w:tcW w:w="3780" w:type="dxa"/>
            <w:shd w:val="clear" w:color="auto" w:fill="F2F2F2"/>
          </w:tcPr>
          <w:p w14:paraId="00000063" w14:textId="77777777" w:rsidR="00471C28" w:rsidRPr="00046177" w:rsidRDefault="00CF15C9">
            <w:pPr>
              <w:pBdr>
                <w:top w:val="nil"/>
                <w:left w:val="nil"/>
                <w:bottom w:val="nil"/>
                <w:right w:val="nil"/>
                <w:between w:val="nil"/>
              </w:pBdr>
              <w:spacing w:before="60" w:after="120" w:line="276" w:lineRule="auto"/>
              <w:rPr>
                <w:rFonts w:eastAsia="Century Gothic" w:cs="Century Gothic"/>
                <w:color w:val="404040"/>
                <w:szCs w:val="21"/>
              </w:rPr>
            </w:pPr>
            <w:r w:rsidRPr="00046177">
              <w:rPr>
                <w:rFonts w:eastAsia="Century Gothic" w:cs="Century Gothic"/>
                <w:color w:val="404040"/>
                <w:szCs w:val="21"/>
              </w:rPr>
              <w:t>Performance Method</w:t>
            </w:r>
          </w:p>
        </w:tc>
      </w:tr>
      <w:tr w:rsidR="00471C28" w14:paraId="6681EA09" w14:textId="77777777" w:rsidTr="00471C28">
        <w:trPr>
          <w:trHeight w:val="288"/>
        </w:trPr>
        <w:tc>
          <w:tcPr>
            <w:tcW w:w="2070" w:type="dxa"/>
            <w:shd w:val="clear" w:color="auto" w:fill="F2F2F2"/>
            <w:vAlign w:val="center"/>
          </w:tcPr>
          <w:p w14:paraId="00000064" w14:textId="77777777" w:rsidR="00471C28" w:rsidRPr="00046177" w:rsidRDefault="00CF15C9">
            <w:pPr>
              <w:pBdr>
                <w:top w:val="nil"/>
                <w:left w:val="nil"/>
                <w:bottom w:val="nil"/>
                <w:right w:val="nil"/>
                <w:between w:val="nil"/>
              </w:pBdr>
              <w:spacing w:before="60" w:after="120" w:line="276" w:lineRule="auto"/>
              <w:rPr>
                <w:rFonts w:eastAsia="Century Gothic" w:cs="Century Gothic"/>
                <w:color w:val="404040"/>
                <w:szCs w:val="21"/>
              </w:rPr>
            </w:pPr>
            <w:r w:rsidRPr="00046177">
              <w:rPr>
                <w:rFonts w:eastAsia="Century Gothic" w:cs="Century Gothic"/>
                <w:color w:val="404040"/>
                <w:szCs w:val="21"/>
              </w:rPr>
              <w:t>Crediting Baseline</w:t>
            </w:r>
          </w:p>
        </w:tc>
        <w:tc>
          <w:tcPr>
            <w:tcW w:w="3780" w:type="dxa"/>
            <w:shd w:val="clear" w:color="auto" w:fill="F2F2F2"/>
          </w:tcPr>
          <w:p w14:paraId="00000065" w14:textId="77777777" w:rsidR="00471C28" w:rsidRPr="00046177" w:rsidRDefault="00CF15C9">
            <w:pPr>
              <w:pBdr>
                <w:top w:val="nil"/>
                <w:left w:val="nil"/>
                <w:bottom w:val="nil"/>
                <w:right w:val="nil"/>
                <w:between w:val="nil"/>
              </w:pBdr>
              <w:spacing w:before="60" w:after="120" w:line="276" w:lineRule="auto"/>
              <w:rPr>
                <w:rFonts w:eastAsia="Century Gothic" w:cs="Century Gothic"/>
                <w:color w:val="404040"/>
                <w:szCs w:val="21"/>
              </w:rPr>
            </w:pPr>
            <w:r w:rsidRPr="00046177">
              <w:rPr>
                <w:rFonts w:eastAsia="Century Gothic" w:cs="Century Gothic"/>
                <w:color w:val="404040"/>
                <w:szCs w:val="21"/>
              </w:rPr>
              <w:t>Performance Method</w:t>
            </w:r>
          </w:p>
        </w:tc>
      </w:tr>
    </w:tbl>
    <w:p w14:paraId="00000066" w14:textId="77777777" w:rsidR="00471C28" w:rsidRPr="00046177" w:rsidRDefault="00CF15C9">
      <w:pPr>
        <w:spacing w:before="60" w:after="120" w:line="276" w:lineRule="auto"/>
        <w:ind w:left="720"/>
        <w:rPr>
          <w:rFonts w:eastAsia="Century Gothic" w:cs="Century Gothic"/>
        </w:rPr>
      </w:pPr>
      <w:r w:rsidRPr="00046177">
        <w:rPr>
          <w:rFonts w:eastAsia="Century Gothic" w:cs="Century Gothic"/>
        </w:rPr>
        <w:t>The methodology is applicable to projects wherein participants elect to defer timber harvests for a specified length of time; therefore, projects using the methodology are considered under the improved forest management (IFM) subclass of extended rotation age (ERA) projects. The methodology relies on a performance method for the demonstration of additionality and selection of the crediting baseline.</w:t>
      </w:r>
    </w:p>
    <w:p w14:paraId="00000067" w14:textId="7327B3B9" w:rsidR="00471C28" w:rsidRPr="00046177" w:rsidRDefault="00CF15C9">
      <w:pPr>
        <w:spacing w:before="60" w:after="120" w:line="276" w:lineRule="auto"/>
        <w:ind w:left="720"/>
        <w:rPr>
          <w:rFonts w:eastAsia="Century Gothic" w:cs="Century Gothic"/>
        </w:rPr>
      </w:pPr>
      <w:r w:rsidRPr="00046177">
        <w:rPr>
          <w:rFonts w:eastAsia="Century Gothic" w:cs="Century Gothic"/>
        </w:rPr>
        <w:t>Harvest deferrals, and any associated stock changes, are monitored through plot-based field measurements of carbon stocking that inform both the baseline scenario and the project scenario; these are repeated measures, with the same plots measured at the beginning of the reporting period, time t0, and after completion of the reporting period, time t1. Spatially explicit remote sensing data of the program area and additional field measurement may also be employed to enhance repeat</w:t>
      </w:r>
      <w:r w:rsidR="008B1E5A" w:rsidRPr="00046177">
        <w:rPr>
          <w:rFonts w:eastAsia="Century Gothic" w:cs="Century Gothic"/>
        </w:rPr>
        <w:t>ed</w:t>
      </w:r>
      <w:r w:rsidRPr="00046177">
        <w:rPr>
          <w:rFonts w:eastAsia="Century Gothic" w:cs="Century Gothic"/>
        </w:rPr>
        <w:t xml:space="preserve"> field-based measurements and to detect areas of disturbance during the activity period (i.e.</w:t>
      </w:r>
      <w:r w:rsidR="008B1E5A" w:rsidRPr="00046177">
        <w:rPr>
          <w:rFonts w:eastAsia="Century Gothic" w:cs="Century Gothic"/>
        </w:rPr>
        <w:t>,</w:t>
      </w:r>
      <w:r w:rsidRPr="00046177">
        <w:rPr>
          <w:rFonts w:eastAsia="Century Gothic" w:cs="Century Gothic"/>
        </w:rPr>
        <w:t xml:space="preserve"> between t0 and t1). Therefore, this is a performance-based methodology that relies on measurements to demonstrate harvest deferrals, and associated </w:t>
      </w:r>
      <w:r w:rsidR="008B1E5A" w:rsidRPr="00046177">
        <w:rPr>
          <w:rFonts w:eastAsia="Century Gothic" w:cs="Century Gothic"/>
        </w:rPr>
        <w:t xml:space="preserve">GHG </w:t>
      </w:r>
      <w:r w:rsidRPr="00046177">
        <w:rPr>
          <w:rFonts w:eastAsia="Century Gothic" w:cs="Century Gothic"/>
        </w:rPr>
        <w:t xml:space="preserve">emission reductions / removals, in relation to a baseline scenario. As such, growth and yield </w:t>
      </w:r>
      <w:proofErr w:type="spellStart"/>
      <w:r w:rsidRPr="00046177">
        <w:rPr>
          <w:rFonts w:eastAsia="Century Gothic" w:cs="Century Gothic"/>
        </w:rPr>
        <w:t>modeling</w:t>
      </w:r>
      <w:proofErr w:type="spellEnd"/>
      <w:r w:rsidRPr="00046177">
        <w:rPr>
          <w:rFonts w:eastAsia="Century Gothic" w:cs="Century Gothic"/>
        </w:rPr>
        <w:t xml:space="preserve"> that is necessary in most IFM project types is not employed.</w:t>
      </w:r>
    </w:p>
    <w:p w14:paraId="00000068" w14:textId="60EB76F3" w:rsidR="00471C28" w:rsidRPr="00046177" w:rsidRDefault="00CF15C9">
      <w:pPr>
        <w:spacing w:before="60" w:after="120" w:line="276" w:lineRule="auto"/>
        <w:ind w:left="720"/>
        <w:rPr>
          <w:rFonts w:eastAsia="Century Gothic" w:cs="Century Gothic"/>
        </w:rPr>
      </w:pPr>
      <w:r w:rsidRPr="00046177">
        <w:rPr>
          <w:rFonts w:eastAsia="Century Gothic" w:cs="Century Gothic"/>
        </w:rPr>
        <w:t xml:space="preserve">The methodology also uses a tonne-year accounting approach to permanence (where a tonne-year refers to one </w:t>
      </w:r>
      <w:r w:rsidR="008001E6" w:rsidRPr="00046177">
        <w:rPr>
          <w:rFonts w:eastAsia="Century Gothic" w:cs="Century Gothic"/>
        </w:rPr>
        <w:t>metric ton (</w:t>
      </w:r>
      <w:r w:rsidRPr="00046177">
        <w:rPr>
          <w:rFonts w:eastAsia="Century Gothic" w:cs="Century Gothic"/>
        </w:rPr>
        <w:t>MT</w:t>
      </w:r>
      <w:r w:rsidR="008001E6" w:rsidRPr="00046177">
        <w:rPr>
          <w:rFonts w:eastAsia="Century Gothic" w:cs="Century Gothic"/>
        </w:rPr>
        <w:t>)</w:t>
      </w:r>
      <w:r w:rsidRPr="00046177">
        <w:rPr>
          <w:rFonts w:eastAsia="Century Gothic" w:cs="Century Gothic"/>
        </w:rPr>
        <w:t xml:space="preserve"> of CO2</w:t>
      </w:r>
      <w:r w:rsidR="00FE6296" w:rsidRPr="00046177">
        <w:rPr>
          <w:rFonts w:eastAsia="Century Gothic" w:cs="Century Gothic"/>
        </w:rPr>
        <w:t>e</w:t>
      </w:r>
      <w:r w:rsidRPr="00046177">
        <w:rPr>
          <w:rFonts w:eastAsia="Century Gothic" w:cs="Century Gothic"/>
        </w:rPr>
        <w:t>, sequestered for one year). The conversion rate between tonne-years and permanent tonnes has been provided in the methodology and has been separately approved by Verra</w:t>
      </w:r>
      <w:r w:rsidR="00983C9C" w:rsidRPr="00046177">
        <w:rPr>
          <w:rFonts w:eastAsia="Century Gothic" w:cs="Century Gothic"/>
        </w:rPr>
        <w:t xml:space="preserve">. </w:t>
      </w:r>
      <w:r w:rsidRPr="00046177">
        <w:rPr>
          <w:rFonts w:eastAsia="Century Gothic" w:cs="Century Gothic"/>
        </w:rPr>
        <w:t>The tonne-year accounting approach allows for equivalence to permanent tonnes on an annual basis and therefore permanence risk assessment and buffer pool contributions are not required.</w:t>
      </w:r>
      <w:r w:rsidRPr="00046177">
        <w:t xml:space="preserve"> </w:t>
      </w:r>
    </w:p>
    <w:p w14:paraId="00000069" w14:textId="243A4F59" w:rsidR="00471C28" w:rsidRPr="00046177" w:rsidRDefault="00CF15C9">
      <w:pPr>
        <w:spacing w:before="60" w:after="120" w:line="276" w:lineRule="auto"/>
        <w:ind w:left="720"/>
        <w:rPr>
          <w:rFonts w:eastAsia="Century Gothic" w:cs="Century Gothic"/>
        </w:rPr>
      </w:pPr>
      <w:r w:rsidRPr="00046177">
        <w:rPr>
          <w:rFonts w:eastAsia="Century Gothic" w:cs="Century Gothic"/>
        </w:rPr>
        <w:t xml:space="preserve">It is expected that projects utilizing this methodology will typically employ a grouped project approach, thereby opening carbon markets to smaller-size landowners with historically low rates of participation. Small and mid-size forest landowners can participate not only due to low </w:t>
      </w:r>
      <w:r w:rsidRPr="00046177">
        <w:rPr>
          <w:rFonts w:eastAsia="Century Gothic" w:cs="Century Gothic"/>
        </w:rPr>
        <w:lastRenderedPageBreak/>
        <w:t>fixed costs but also due to flexibility in project structure. The inclusion of small and mid-size forest landowners (holdings of less than</w:t>
      </w:r>
      <w:r w:rsidR="008001E6" w:rsidRPr="00046177">
        <w:rPr>
          <w:rFonts w:eastAsia="Century Gothic" w:cs="Century Gothic"/>
        </w:rPr>
        <w:t xml:space="preserve"> 2000 hectares</w:t>
      </w:r>
      <w:r w:rsidRPr="00046177">
        <w:rPr>
          <w:rFonts w:eastAsia="Century Gothic" w:cs="Century Gothic"/>
        </w:rPr>
        <w:t xml:space="preserve">) is not typically possible due to the requirements of many IFM methodologies, but landowners at these small size classes represent millions of landowners and hundreds of millions of </w:t>
      </w:r>
      <w:r w:rsidR="005743FA">
        <w:rPr>
          <w:rFonts w:eastAsia="Century Gothic" w:cs="Century Gothic"/>
        </w:rPr>
        <w:t>hectares</w:t>
      </w:r>
      <w:r w:rsidR="005743FA" w:rsidRPr="00046177">
        <w:rPr>
          <w:rFonts w:eastAsia="Century Gothic" w:cs="Century Gothic"/>
        </w:rPr>
        <w:t xml:space="preserve"> </w:t>
      </w:r>
      <w:r w:rsidRPr="00046177">
        <w:rPr>
          <w:rFonts w:eastAsia="Century Gothic" w:cs="Century Gothic"/>
        </w:rPr>
        <w:t>of forestland in the United States. </w:t>
      </w:r>
    </w:p>
    <w:p w14:paraId="0000006A" w14:textId="11155B05" w:rsidR="00471C28" w:rsidRPr="00046177" w:rsidRDefault="00CF15C9">
      <w:pPr>
        <w:spacing w:before="60" w:after="120" w:line="276" w:lineRule="auto"/>
        <w:ind w:left="720"/>
        <w:rPr>
          <w:rFonts w:eastAsia="Century Gothic" w:cs="Century Gothic"/>
        </w:rPr>
      </w:pPr>
      <w:r w:rsidRPr="00046177">
        <w:rPr>
          <w:rFonts w:eastAsia="Century Gothic" w:cs="Century Gothic"/>
        </w:rPr>
        <w:t xml:space="preserve">The methodology is compatible with plantation forests, unlike most other IFM methodologies. The relatively consistent forest management practices and harvest </w:t>
      </w:r>
      <w:proofErr w:type="spellStart"/>
      <w:r w:rsidRPr="00046177">
        <w:rPr>
          <w:rFonts w:eastAsia="Century Gothic" w:cs="Century Gothic"/>
        </w:rPr>
        <w:t>behavior</w:t>
      </w:r>
      <w:proofErr w:type="spellEnd"/>
      <w:r w:rsidRPr="00046177">
        <w:rPr>
          <w:rFonts w:eastAsia="Century Gothic" w:cs="Century Gothic"/>
        </w:rPr>
        <w:t xml:space="preserve"> associated with plantation forests fits well with a harvest deferral strategy because those attributes facilitate this methodology’s approach to the selection of a crediting baseline (specifically, its business as usual (BAU) estimation techniques). Further, the rapid biological growth rates of many plantation species at or near their conventionally optimal rotation age (e.g.</w:t>
      </w:r>
      <w:r w:rsidR="008B1E5A" w:rsidRPr="00046177">
        <w:rPr>
          <w:rFonts w:eastAsia="Century Gothic" w:cs="Century Gothic"/>
        </w:rPr>
        <w:t>,</w:t>
      </w:r>
      <w:r w:rsidRPr="00046177">
        <w:rPr>
          <w:rFonts w:eastAsia="Century Gothic" w:cs="Century Gothic"/>
        </w:rPr>
        <w:t xml:space="preserve"> Southern yellow pine at ages 25-30) also make them well-suited for carbon sequestration purposes. </w:t>
      </w:r>
    </w:p>
    <w:p w14:paraId="0000006B" w14:textId="76B81D65" w:rsidR="00471C28" w:rsidRPr="00046177" w:rsidRDefault="00CF15C9">
      <w:pPr>
        <w:spacing w:before="60" w:after="120" w:line="276" w:lineRule="auto"/>
        <w:ind w:left="720"/>
        <w:rPr>
          <w:rFonts w:eastAsia="Century Gothic" w:cs="Century Gothic"/>
        </w:rPr>
      </w:pPr>
      <w:r w:rsidRPr="00046177">
        <w:rPr>
          <w:rFonts w:eastAsia="Century Gothic" w:cs="Century Gothic"/>
        </w:rPr>
        <w:t xml:space="preserve">Finally, while this methodology is notably applicable to plantation forest types, all forest types under all ownership types are eligible to participate in the proposed methodology, </w:t>
      </w:r>
      <w:r w:rsidR="008B1E5A" w:rsidRPr="00046177">
        <w:rPr>
          <w:rFonts w:eastAsia="Century Gothic" w:cs="Century Gothic"/>
        </w:rPr>
        <w:t>if</w:t>
      </w:r>
      <w:r w:rsidRPr="00046177">
        <w:rPr>
          <w:rFonts w:eastAsia="Century Gothic" w:cs="Century Gothic"/>
        </w:rPr>
        <w:t xml:space="preserve"> it can be demonstrated that all applicability conditions can be met. </w:t>
      </w:r>
    </w:p>
    <w:p w14:paraId="0000006C" w14:textId="77777777" w:rsidR="00471C28" w:rsidRPr="00046177" w:rsidRDefault="00CF15C9" w:rsidP="00046177">
      <w:pPr>
        <w:pStyle w:val="Heading1"/>
      </w:pPr>
      <w:bookmarkStart w:id="8" w:name="_Toc98322281"/>
      <w:r w:rsidRPr="00046177">
        <w:t>Definitions</w:t>
      </w:r>
      <w:bookmarkEnd w:id="8"/>
    </w:p>
    <w:p w14:paraId="0000006D" w14:textId="77777777" w:rsidR="00471C28" w:rsidRPr="00103490" w:rsidRDefault="00CF15C9" w:rsidP="54A671BE">
      <w:pPr>
        <w:spacing w:before="60" w:after="120"/>
        <w:ind w:left="720"/>
        <w:rPr>
          <w:rFonts w:eastAsia="Century Gothic" w:cs="Century Gothic"/>
          <w:b/>
          <w:bCs/>
          <w:color w:val="000000"/>
        </w:rPr>
      </w:pPr>
      <w:r w:rsidRPr="00103490">
        <w:rPr>
          <w:rFonts w:eastAsia="Century Gothic" w:cs="Century Gothic"/>
          <w:b/>
          <w:bCs/>
          <w:color w:val="000000" w:themeColor="text1"/>
        </w:rPr>
        <w:t>Activity period</w:t>
      </w:r>
    </w:p>
    <w:p w14:paraId="0000006E" w14:textId="77777777" w:rsidR="00471C28" w:rsidRPr="00103490" w:rsidRDefault="00CF15C9" w:rsidP="00046177">
      <w:pPr>
        <w:spacing w:before="60" w:after="120" w:line="276" w:lineRule="auto"/>
        <w:ind w:left="720"/>
        <w:rPr>
          <w:rFonts w:eastAsia="Century Gothic" w:cs="Century Gothic"/>
        </w:rPr>
      </w:pPr>
      <w:r w:rsidRPr="00103490">
        <w:rPr>
          <w:rFonts w:eastAsia="Century Gothic" w:cs="Century Gothic"/>
        </w:rPr>
        <w:t>The interval of time during which the project activity is undertaken on a participating property. </w:t>
      </w:r>
    </w:p>
    <w:p w14:paraId="00000071" w14:textId="77777777" w:rsidR="00471C28" w:rsidRPr="00103490" w:rsidRDefault="00CF15C9">
      <w:pPr>
        <w:spacing w:before="60" w:after="120"/>
        <w:ind w:left="720"/>
        <w:rPr>
          <w:rFonts w:eastAsia="Century Gothic" w:cs="Century Gothic"/>
          <w:color w:val="000000"/>
        </w:rPr>
      </w:pPr>
      <w:r w:rsidRPr="00103490">
        <w:rPr>
          <w:rFonts w:eastAsia="Century Gothic" w:cs="Century Gothic"/>
          <w:b/>
          <w:color w:val="000000"/>
        </w:rPr>
        <w:t>Instance</w:t>
      </w:r>
      <w:r w:rsidRPr="00103490">
        <w:rPr>
          <w:rFonts w:eastAsia="Century Gothic" w:cs="Century Gothic"/>
          <w:color w:val="000000"/>
        </w:rPr>
        <w:t xml:space="preserve"> </w:t>
      </w:r>
    </w:p>
    <w:p w14:paraId="00000072" w14:textId="62E739D5" w:rsidR="00471C28" w:rsidRPr="00103490" w:rsidRDefault="005C15B7" w:rsidP="00046177">
      <w:pPr>
        <w:spacing w:before="60" w:after="120" w:line="276" w:lineRule="auto"/>
        <w:ind w:left="720"/>
        <w:rPr>
          <w:rFonts w:eastAsia="Century Gothic" w:cs="Century Gothic"/>
        </w:rPr>
      </w:pPr>
      <w:r w:rsidRPr="00103490">
        <w:rPr>
          <w:rFonts w:eastAsia="Century Gothic" w:cs="Century Gothic"/>
        </w:rPr>
        <w:t>S</w:t>
      </w:r>
      <w:r w:rsidR="008E4CC6" w:rsidRPr="00103490">
        <w:rPr>
          <w:rFonts w:eastAsia="Century Gothic" w:cs="Century Gothic"/>
        </w:rPr>
        <w:t xml:space="preserve">ee </w:t>
      </w:r>
      <w:r w:rsidR="00CF15C9" w:rsidRPr="00103490">
        <w:rPr>
          <w:rFonts w:eastAsia="Century Gothic" w:cs="Century Gothic"/>
        </w:rPr>
        <w:t>Project Activity Instance (Instance)” in VCS Program Definitions v4.1. In this methodology, an instance is a participating property that shares an activity period with other participating properties, meaning they start and finish the project activity at the same time as one another. </w:t>
      </w:r>
      <w:r w:rsidR="00EB4576" w:rsidRPr="00103490">
        <w:rPr>
          <w:rFonts w:eastAsia="Century Gothic" w:cs="Century Gothic"/>
        </w:rPr>
        <w:t xml:space="preserve">Individual instances may engage in one or more activity periods, </w:t>
      </w:r>
      <w:proofErr w:type="gramStart"/>
      <w:r w:rsidR="00EB4576" w:rsidRPr="00103490">
        <w:rPr>
          <w:rFonts w:eastAsia="Century Gothic" w:cs="Century Gothic"/>
        </w:rPr>
        <w:t>i.e.</w:t>
      </w:r>
      <w:proofErr w:type="gramEnd"/>
      <w:r w:rsidR="00EB4576" w:rsidRPr="00103490">
        <w:rPr>
          <w:rFonts w:eastAsia="Century Gothic" w:cs="Century Gothic"/>
        </w:rPr>
        <w:t xml:space="preserve"> one or more years of harvest deferral, and therefore not all instances would have the same number of years of harvest deferral.</w:t>
      </w:r>
    </w:p>
    <w:p w14:paraId="00000073" w14:textId="77777777" w:rsidR="00471C28" w:rsidRPr="00103490" w:rsidRDefault="00CF15C9">
      <w:pPr>
        <w:spacing w:before="60" w:after="120" w:line="288" w:lineRule="auto"/>
        <w:ind w:firstLine="720"/>
        <w:rPr>
          <w:rFonts w:eastAsia="Century Gothic" w:cs="Century Gothic"/>
          <w:b/>
          <w:color w:val="000000"/>
        </w:rPr>
      </w:pPr>
      <w:r w:rsidRPr="00103490">
        <w:rPr>
          <w:rFonts w:eastAsia="Century Gothic" w:cs="Century Gothic"/>
          <w:b/>
          <w:color w:val="000000"/>
        </w:rPr>
        <w:t>Logging Slash</w:t>
      </w:r>
    </w:p>
    <w:p w14:paraId="00000074" w14:textId="77777777" w:rsidR="00471C28" w:rsidRPr="00103490" w:rsidRDefault="00CF15C9" w:rsidP="00C216F4">
      <w:pPr>
        <w:spacing w:before="60" w:after="120" w:line="276" w:lineRule="auto"/>
        <w:ind w:left="720"/>
        <w:rPr>
          <w:rFonts w:eastAsia="Century Gothic" w:cs="Century Gothic"/>
        </w:rPr>
      </w:pPr>
      <w:r w:rsidRPr="00103490">
        <w:rPr>
          <w:rFonts w:eastAsia="Century Gothic" w:cs="Century Gothic"/>
        </w:rPr>
        <w:t>Dead wood residues (including foliage) left on the forest floor after timber removal.</w:t>
      </w:r>
    </w:p>
    <w:p w14:paraId="00000075" w14:textId="77777777" w:rsidR="00471C28" w:rsidRPr="00103490" w:rsidRDefault="00CF15C9">
      <w:pPr>
        <w:spacing w:before="60" w:after="120"/>
        <w:ind w:left="720"/>
        <w:rPr>
          <w:rFonts w:eastAsia="Century Gothic" w:cs="Century Gothic"/>
          <w:color w:val="000000"/>
        </w:rPr>
      </w:pPr>
      <w:r w:rsidRPr="00103490">
        <w:rPr>
          <w:rFonts w:eastAsia="Century Gothic" w:cs="Century Gothic"/>
          <w:b/>
          <w:color w:val="000000"/>
        </w:rPr>
        <w:t>Participating property</w:t>
      </w:r>
      <w:r w:rsidRPr="00103490">
        <w:rPr>
          <w:rFonts w:eastAsia="Century Gothic" w:cs="Century Gothic"/>
          <w:color w:val="000000"/>
        </w:rPr>
        <w:t xml:space="preserve"> </w:t>
      </w:r>
    </w:p>
    <w:p w14:paraId="1389DC31" w14:textId="76EFED65" w:rsidR="00E56161" w:rsidRPr="00103490" w:rsidRDefault="00CF15C9" w:rsidP="00C216F4">
      <w:pPr>
        <w:spacing w:before="60" w:after="120" w:line="276" w:lineRule="auto"/>
        <w:ind w:left="720"/>
        <w:rPr>
          <w:rFonts w:eastAsia="Century Gothic" w:cs="Century Gothic"/>
        </w:rPr>
      </w:pPr>
      <w:r w:rsidRPr="00103490">
        <w:rPr>
          <w:rFonts w:eastAsia="Century Gothic" w:cs="Century Gothic"/>
        </w:rPr>
        <w:t>Forested area meeting the applicability conditions under section 4; distinguishable from surrounding forestland by virtue of its ownership or management by a participant, as relevant; enrolled voluntarily by the participant in the project. </w:t>
      </w:r>
    </w:p>
    <w:p w14:paraId="3FAD3B72" w14:textId="682CBC2C" w:rsidR="00E56161" w:rsidRPr="00103490" w:rsidRDefault="00E56161" w:rsidP="00E56161">
      <w:pPr>
        <w:spacing w:before="60" w:after="120"/>
        <w:ind w:left="720"/>
        <w:rPr>
          <w:rFonts w:eastAsia="Century Gothic" w:cs="Century Gothic"/>
          <w:b/>
          <w:color w:val="000000"/>
        </w:rPr>
      </w:pPr>
      <w:r w:rsidRPr="00103490">
        <w:rPr>
          <w:rFonts w:eastAsia="Century Gothic" w:cs="Century Gothic"/>
          <w:b/>
          <w:color w:val="000000"/>
        </w:rPr>
        <w:t>Persistence</w:t>
      </w:r>
    </w:p>
    <w:p w14:paraId="678AB5A7" w14:textId="2B73A5B6" w:rsidR="00E56161" w:rsidRPr="00103490" w:rsidRDefault="00E56161" w:rsidP="00C216F4">
      <w:pPr>
        <w:spacing w:before="60" w:after="120" w:line="276" w:lineRule="auto"/>
        <w:ind w:left="720"/>
        <w:rPr>
          <w:rFonts w:eastAsia="Century Gothic" w:cs="Century Gothic"/>
        </w:rPr>
      </w:pPr>
      <w:r w:rsidRPr="00103490">
        <w:rPr>
          <w:rFonts w:eastAsia="Century Gothic" w:cs="Century Gothic"/>
        </w:rPr>
        <w:t>Additional carbon generated through one or more years of harvest deferral that cannot reasonably be expected to be harvested at a future date due to operational constraints</w:t>
      </w:r>
      <w:r w:rsidR="004A673E" w:rsidRPr="00103490">
        <w:rPr>
          <w:rFonts w:eastAsia="Century Gothic" w:cs="Century Gothic"/>
        </w:rPr>
        <w:t>.</w:t>
      </w:r>
    </w:p>
    <w:p w14:paraId="00000077" w14:textId="77777777" w:rsidR="00471C28" w:rsidRPr="00103490" w:rsidRDefault="00CF15C9">
      <w:pPr>
        <w:spacing w:before="60" w:after="120"/>
        <w:ind w:left="720"/>
        <w:rPr>
          <w:rFonts w:eastAsia="Century Gothic" w:cs="Century Gothic"/>
          <w:color w:val="000000"/>
        </w:rPr>
      </w:pPr>
      <w:r w:rsidRPr="00103490">
        <w:rPr>
          <w:rFonts w:eastAsia="Century Gothic" w:cs="Century Gothic"/>
          <w:b/>
          <w:color w:val="000000"/>
        </w:rPr>
        <w:t>Program area</w:t>
      </w:r>
    </w:p>
    <w:p w14:paraId="00000078" w14:textId="2BE54C27" w:rsidR="00471C28" w:rsidRPr="00103490" w:rsidRDefault="00CF15C9" w:rsidP="00C216F4">
      <w:pPr>
        <w:spacing w:before="60" w:after="120" w:line="276" w:lineRule="auto"/>
        <w:ind w:left="720"/>
        <w:rPr>
          <w:rFonts w:eastAsia="Century Gothic" w:cs="Century Gothic"/>
        </w:rPr>
      </w:pPr>
      <w:r w:rsidRPr="00103490">
        <w:rPr>
          <w:rFonts w:eastAsia="Century Gothic" w:cs="Century Gothic"/>
        </w:rPr>
        <w:lastRenderedPageBreak/>
        <w:t xml:space="preserve">The geographic region of applicability for participating properties, as determined by the project proponent </w:t>
      </w:r>
      <w:r w:rsidR="008E4CC6" w:rsidRPr="00103490">
        <w:rPr>
          <w:rFonts w:eastAsia="Century Gothic" w:cs="Century Gothic"/>
        </w:rPr>
        <w:t xml:space="preserve">considering the </w:t>
      </w:r>
      <w:r w:rsidRPr="00103490">
        <w:rPr>
          <w:rFonts w:eastAsia="Century Gothic" w:cs="Century Gothic"/>
        </w:rPr>
        <w:t xml:space="preserve">project proponent’s ability to satisfy this methodology’s requirements in that geographic region. Defined </w:t>
      </w:r>
      <w:r w:rsidR="00EB4576" w:rsidRPr="00103490">
        <w:rPr>
          <w:rFonts w:eastAsia="Century Gothic" w:cs="Century Gothic"/>
        </w:rPr>
        <w:t>for each individual project developed under this methodology</w:t>
      </w:r>
      <w:r w:rsidRPr="00103490">
        <w:rPr>
          <w:rFonts w:eastAsia="Century Gothic" w:cs="Century Gothic"/>
        </w:rPr>
        <w:t xml:space="preserve">. </w:t>
      </w:r>
      <w:r w:rsidR="00E71370" w:rsidRPr="00103490">
        <w:rPr>
          <w:rFonts w:eastAsia="Century Gothic" w:cs="Century Gothic"/>
        </w:rPr>
        <w:t>A non-inclusive list of examples of a program area for a project under this methodology could be one or several U.S. states, one country, or one or more Level II Ecoregions.</w:t>
      </w:r>
    </w:p>
    <w:p w14:paraId="00000079" w14:textId="77777777" w:rsidR="00471C28" w:rsidRPr="00103490" w:rsidRDefault="00CF15C9">
      <w:pPr>
        <w:spacing w:before="60" w:after="120"/>
        <w:ind w:left="720"/>
        <w:rPr>
          <w:rFonts w:eastAsia="Century Gothic" w:cs="Century Gothic"/>
          <w:color w:val="000000"/>
        </w:rPr>
      </w:pPr>
      <w:r w:rsidRPr="00103490">
        <w:rPr>
          <w:rFonts w:eastAsia="Century Gothic" w:cs="Century Gothic"/>
          <w:b/>
          <w:color w:val="000000"/>
        </w:rPr>
        <w:t>Project activity</w:t>
      </w:r>
      <w:r w:rsidRPr="00103490">
        <w:rPr>
          <w:rFonts w:eastAsia="Century Gothic" w:cs="Century Gothic"/>
          <w:color w:val="000000"/>
        </w:rPr>
        <w:t xml:space="preserve"> </w:t>
      </w:r>
    </w:p>
    <w:p w14:paraId="0000007A" w14:textId="1CA42965" w:rsidR="00471C28" w:rsidRPr="00103490" w:rsidRDefault="008E4CC6" w:rsidP="00C216F4">
      <w:pPr>
        <w:spacing w:before="60" w:after="120" w:line="276" w:lineRule="auto"/>
        <w:ind w:left="720"/>
        <w:rPr>
          <w:rFonts w:eastAsia="Century Gothic" w:cs="Century Gothic"/>
        </w:rPr>
      </w:pPr>
      <w:r w:rsidRPr="00103490">
        <w:rPr>
          <w:rFonts w:eastAsia="Century Gothic" w:cs="Century Gothic"/>
        </w:rPr>
        <w:t>see</w:t>
      </w:r>
      <w:r w:rsidR="00CF15C9" w:rsidRPr="00103490">
        <w:rPr>
          <w:rFonts w:eastAsia="Century Gothic" w:cs="Century Gothic"/>
        </w:rPr>
        <w:t xml:space="preserve"> </w:t>
      </w:r>
      <w:r w:rsidR="00CF15C9" w:rsidRPr="00103490">
        <w:rPr>
          <w:rFonts w:eastAsia="Century Gothic" w:cs="Century Gothic"/>
          <w:i/>
          <w:iCs/>
        </w:rPr>
        <w:t>VCS Program Definitions v4.1</w:t>
      </w:r>
      <w:r w:rsidRPr="00103490">
        <w:rPr>
          <w:rFonts w:eastAsia="Century Gothic" w:cs="Century Gothic"/>
        </w:rPr>
        <w:t>.</w:t>
      </w:r>
      <w:r w:rsidR="00CF15C9" w:rsidRPr="00103490">
        <w:rPr>
          <w:rFonts w:eastAsia="Century Gothic" w:cs="Century Gothic"/>
        </w:rPr>
        <w:t xml:space="preserve"> In this methodology, the project activity is harvest deferral.</w:t>
      </w:r>
    </w:p>
    <w:p w14:paraId="0000007B" w14:textId="77777777" w:rsidR="00471C28" w:rsidRPr="00103490" w:rsidRDefault="00CF15C9">
      <w:pPr>
        <w:spacing w:before="60" w:after="120"/>
        <w:ind w:left="720"/>
        <w:rPr>
          <w:rFonts w:eastAsia="Century Gothic" w:cs="Century Gothic"/>
          <w:b/>
          <w:color w:val="000000"/>
        </w:rPr>
      </w:pPr>
      <w:r w:rsidRPr="00103490">
        <w:rPr>
          <w:rFonts w:eastAsia="Century Gothic" w:cs="Century Gothic"/>
          <w:b/>
          <w:color w:val="000000"/>
        </w:rPr>
        <w:t>Project participant</w:t>
      </w:r>
      <w:r w:rsidRPr="00103490">
        <w:rPr>
          <w:rFonts w:eastAsia="Century Gothic" w:cs="Century Gothic"/>
          <w:color w:val="000000"/>
        </w:rPr>
        <w:t xml:space="preserve"> or </w:t>
      </w:r>
      <w:r w:rsidRPr="00103490">
        <w:rPr>
          <w:rFonts w:eastAsia="Century Gothic" w:cs="Century Gothic"/>
          <w:b/>
          <w:color w:val="000000"/>
        </w:rPr>
        <w:t>Participant</w:t>
      </w:r>
    </w:p>
    <w:p w14:paraId="530219BA" w14:textId="1C5B56F9" w:rsidR="008E4CC6" w:rsidRPr="00D85A36" w:rsidRDefault="00CF15C9" w:rsidP="00D85A36">
      <w:pPr>
        <w:spacing w:before="60" w:after="120" w:line="276" w:lineRule="auto"/>
        <w:ind w:left="720"/>
        <w:rPr>
          <w:rFonts w:eastAsia="Century Gothic" w:cs="Century Gothic"/>
        </w:rPr>
      </w:pPr>
      <w:r w:rsidRPr="00103490">
        <w:rPr>
          <w:rFonts w:eastAsia="Century Gothic" w:cs="Century Gothic"/>
        </w:rPr>
        <w:t>A party who has the right, without the consent of any third party (or in the case of an authorized representative of the legal owner(s), without any further permission or consent from the legal owner(s)), to (</w:t>
      </w:r>
      <w:proofErr w:type="spellStart"/>
      <w:r w:rsidRPr="00103490">
        <w:rPr>
          <w:rFonts w:eastAsia="Century Gothic" w:cs="Century Gothic"/>
        </w:rPr>
        <w:t>i</w:t>
      </w:r>
      <w:proofErr w:type="spellEnd"/>
      <w:r w:rsidRPr="00103490">
        <w:rPr>
          <w:rFonts w:eastAsia="Century Gothic" w:cs="Century Gothic"/>
        </w:rPr>
        <w:t>) harvest, or defer the harvest of, the timber on all land within the participating property, subject to constraints within the municipality, county, state, and/or country in which such property is located and applicable state and federal environmental law and regulations, and (ii) sell to a third party all environmental attributes and rights to make environmental claims related to such harvest or deferred harvest. It is understood that such rights may be held by different types of parties, including but not limited to property managers, timber rights owners, fee simple owners, and holders of any other form of land tenure that includes the rights specified herein. In the case of privately-owned forests in the U.S., the most common relevant form of tenure would typically be fee simple ownership evidenced by possession of title to the asset</w:t>
      </w:r>
      <w:r w:rsidRPr="00C216F4">
        <w:rPr>
          <w:rFonts w:eastAsia="Century Gothic" w:cs="Century Gothic"/>
        </w:rPr>
        <w:t>.</w:t>
      </w:r>
    </w:p>
    <w:p w14:paraId="0000007F" w14:textId="77777777" w:rsidR="00471C28" w:rsidRPr="00D85A36" w:rsidRDefault="00CF15C9" w:rsidP="00D85A36">
      <w:pPr>
        <w:pStyle w:val="Heading1"/>
      </w:pPr>
      <w:bookmarkStart w:id="9" w:name="_Toc97556434"/>
      <w:bookmarkStart w:id="10" w:name="_Toc97556435"/>
      <w:bookmarkStart w:id="11" w:name="_Toc98322282"/>
      <w:bookmarkEnd w:id="9"/>
      <w:bookmarkEnd w:id="10"/>
      <w:r w:rsidRPr="00D85A36">
        <w:t>Applicability conditions</w:t>
      </w:r>
      <w:bookmarkEnd w:id="11"/>
    </w:p>
    <w:p w14:paraId="00000080" w14:textId="0C857B8C" w:rsidR="00471C28" w:rsidRPr="00535D5B" w:rsidRDefault="00CF15C9" w:rsidP="00516145">
      <w:pPr>
        <w:spacing w:before="60" w:after="120" w:line="288" w:lineRule="auto"/>
        <w:ind w:left="720"/>
        <w:rPr>
          <w:rFonts w:eastAsia="Century Gothic" w:cs="Century Gothic"/>
          <w:szCs w:val="21"/>
        </w:rPr>
      </w:pPr>
      <w:r w:rsidRPr="00535D5B">
        <w:rPr>
          <w:rFonts w:eastAsia="Century Gothic" w:cs="Century Gothic"/>
          <w:color w:val="000000" w:themeColor="text1"/>
          <w:szCs w:val="21"/>
        </w:rPr>
        <w:t xml:space="preserve">This methodology applies to project activities that reduce </w:t>
      </w:r>
      <w:r w:rsidR="009A217B" w:rsidRPr="00535D5B">
        <w:rPr>
          <w:rFonts w:eastAsia="Century Gothic" w:cs="Century Gothic"/>
          <w:color w:val="000000" w:themeColor="text1"/>
          <w:szCs w:val="21"/>
        </w:rPr>
        <w:t>greenhouse gas (GHG) emissions in managed forests</w:t>
      </w:r>
      <w:r w:rsidRPr="00535D5B">
        <w:rPr>
          <w:rFonts w:eastAsia="Century Gothic" w:cs="Century Gothic"/>
          <w:color w:val="000000" w:themeColor="text1"/>
          <w:szCs w:val="21"/>
        </w:rPr>
        <w:t xml:space="preserve"> relative to a baseline scenario over an activity period</w:t>
      </w:r>
      <w:r w:rsidR="009A217B" w:rsidRPr="00535D5B">
        <w:rPr>
          <w:rFonts w:eastAsia="Century Gothic" w:cs="Century Gothic"/>
          <w:color w:val="000000" w:themeColor="text1"/>
          <w:szCs w:val="21"/>
        </w:rPr>
        <w:t>, through harvest deferrals to extend cutting cycles</w:t>
      </w:r>
      <w:r w:rsidRPr="00535D5B">
        <w:rPr>
          <w:rFonts w:eastAsia="Century Gothic" w:cs="Century Gothic"/>
          <w:color w:val="000000" w:themeColor="text1"/>
          <w:szCs w:val="21"/>
        </w:rPr>
        <w:t xml:space="preserve">. </w:t>
      </w:r>
      <w:r w:rsidRPr="00535D5B">
        <w:rPr>
          <w:rFonts w:eastAsia="Century Gothic" w:cs="Century Gothic"/>
          <w:szCs w:val="21"/>
        </w:rPr>
        <w:t xml:space="preserve">The activity period may be as short as one year but may also be longer. </w:t>
      </w:r>
      <w:r w:rsidR="00012679">
        <w:rPr>
          <w:rFonts w:eastAsia="Century Gothic" w:cs="Century Gothic"/>
          <w:szCs w:val="21"/>
        </w:rPr>
        <w:t xml:space="preserve">The </w:t>
      </w:r>
      <w:r w:rsidR="00516145" w:rsidRPr="00535D5B">
        <w:rPr>
          <w:rFonts w:eastAsia="Century Gothic" w:cs="Century Gothic"/>
          <w:szCs w:val="21"/>
        </w:rPr>
        <w:t xml:space="preserve">baseline must be recalculated for each property and activity period, per the conditions below.  </w:t>
      </w:r>
      <w:r w:rsidRPr="00535D5B">
        <w:rPr>
          <w:rFonts w:eastAsia="Century Gothic" w:cs="Century Gothic"/>
          <w:szCs w:val="21"/>
        </w:rPr>
        <w:t>The project activity may be referred to as “harvest deferral.”</w:t>
      </w:r>
    </w:p>
    <w:p w14:paraId="00000081" w14:textId="77777777" w:rsidR="00471C28" w:rsidRPr="00535D5B" w:rsidRDefault="00CF15C9">
      <w:pPr>
        <w:spacing w:before="60" w:after="120" w:line="288" w:lineRule="auto"/>
        <w:ind w:left="720"/>
        <w:rPr>
          <w:rFonts w:eastAsia="Century Gothic" w:cs="Century Gothic"/>
          <w:szCs w:val="21"/>
        </w:rPr>
      </w:pPr>
      <w:r w:rsidRPr="00535D5B">
        <w:rPr>
          <w:rFonts w:eastAsia="Century Gothic" w:cs="Century Gothic"/>
          <w:szCs w:val="21"/>
        </w:rPr>
        <w:t>The methodology is applicable to projects wherein participants elect to defer timber harvests for a specified length of time; therefore, projects using the methodology are considered under the improved forest management (IFM) subclass of extended rotation age (ERA) projects.</w:t>
      </w:r>
    </w:p>
    <w:p w14:paraId="00000082" w14:textId="77777777" w:rsidR="00471C28" w:rsidRPr="00535D5B" w:rsidRDefault="00CF15C9">
      <w:pPr>
        <w:spacing w:before="60" w:after="120"/>
        <w:ind w:left="720"/>
        <w:rPr>
          <w:rFonts w:eastAsia="Century Gothic" w:cs="Century Gothic"/>
          <w:color w:val="000000"/>
          <w:szCs w:val="21"/>
        </w:rPr>
      </w:pPr>
      <w:r w:rsidRPr="00535D5B">
        <w:rPr>
          <w:rFonts w:eastAsia="Century Gothic" w:cs="Century Gothic"/>
          <w:color w:val="000000"/>
          <w:szCs w:val="21"/>
        </w:rPr>
        <w:t>This methodology is applicable under the following conditions:</w:t>
      </w:r>
    </w:p>
    <w:p w14:paraId="00000083" w14:textId="3BA0CF35" w:rsidR="00471C28" w:rsidRPr="00535D5B" w:rsidRDefault="00CF15C9">
      <w:pPr>
        <w:numPr>
          <w:ilvl w:val="0"/>
          <w:numId w:val="5"/>
        </w:numPr>
        <w:pBdr>
          <w:top w:val="nil"/>
          <w:left w:val="nil"/>
          <w:bottom w:val="nil"/>
          <w:right w:val="nil"/>
          <w:between w:val="nil"/>
        </w:pBdr>
        <w:spacing w:before="60" w:after="120" w:line="276" w:lineRule="auto"/>
        <w:rPr>
          <w:rFonts w:eastAsia="Century Gothic" w:cs="Century Gothic"/>
          <w:color w:val="000000"/>
          <w:szCs w:val="21"/>
        </w:rPr>
      </w:pPr>
      <w:r w:rsidRPr="00535D5B">
        <w:rPr>
          <w:rFonts w:eastAsia="Century Gothic" w:cs="Century Gothic"/>
          <w:color w:val="000000"/>
          <w:szCs w:val="21"/>
        </w:rPr>
        <w:t xml:space="preserve">Participating properties are subject to timber harvesting in the baseline scenario during the activity period as determined via a </w:t>
      </w:r>
      <w:r w:rsidR="00FC2B50" w:rsidRPr="00535D5B">
        <w:rPr>
          <w:rFonts w:eastAsia="Century Gothic" w:cs="Century Gothic"/>
          <w:color w:val="000000"/>
          <w:szCs w:val="21"/>
        </w:rPr>
        <w:t>business as usual (</w:t>
      </w:r>
      <w:r w:rsidRPr="00535D5B">
        <w:rPr>
          <w:rFonts w:eastAsia="Century Gothic" w:cs="Century Gothic"/>
          <w:color w:val="000000"/>
          <w:szCs w:val="21"/>
        </w:rPr>
        <w:t>BAU</w:t>
      </w:r>
      <w:r w:rsidR="00FC2B50" w:rsidRPr="00535D5B">
        <w:rPr>
          <w:rFonts w:eastAsia="Century Gothic" w:cs="Century Gothic"/>
          <w:color w:val="000000"/>
          <w:szCs w:val="21"/>
        </w:rPr>
        <w:t>)</w:t>
      </w:r>
      <w:r w:rsidRPr="00535D5B">
        <w:rPr>
          <w:rFonts w:eastAsia="Century Gothic" w:cs="Century Gothic"/>
          <w:color w:val="000000"/>
          <w:szCs w:val="21"/>
        </w:rPr>
        <w:t xml:space="preserve"> assessment.</w:t>
      </w:r>
      <w:r w:rsidR="002C4C29" w:rsidRPr="00535D5B">
        <w:rPr>
          <w:rFonts w:eastAsia="Century Gothic" w:cs="Century Gothic"/>
          <w:color w:val="000000"/>
          <w:szCs w:val="21"/>
        </w:rPr>
        <w:t xml:space="preserve"> This should be conducted for each activity period to re-assess additionality.</w:t>
      </w:r>
    </w:p>
    <w:p w14:paraId="00000084" w14:textId="5E5DCA89" w:rsidR="00471C28" w:rsidRPr="00535D5B" w:rsidRDefault="00CF15C9">
      <w:pPr>
        <w:numPr>
          <w:ilvl w:val="0"/>
          <w:numId w:val="5"/>
        </w:numPr>
        <w:spacing w:before="60" w:after="120" w:line="276" w:lineRule="auto"/>
        <w:rPr>
          <w:rFonts w:eastAsia="Century Gothic" w:cs="Century Gothic"/>
          <w:szCs w:val="21"/>
        </w:rPr>
      </w:pPr>
      <w:r w:rsidRPr="00535D5B">
        <w:rPr>
          <w:rFonts w:eastAsia="Century Gothic" w:cs="Century Gothic"/>
          <w:szCs w:val="21"/>
        </w:rPr>
        <w:t xml:space="preserve">Participating properties qualify as forests and must remain forests while implementing the project activity. </w:t>
      </w:r>
    </w:p>
    <w:p w14:paraId="00000085" w14:textId="77479FA4" w:rsidR="00471C28" w:rsidRPr="00535D5B" w:rsidRDefault="00CF15C9">
      <w:pPr>
        <w:numPr>
          <w:ilvl w:val="0"/>
          <w:numId w:val="5"/>
        </w:numPr>
        <w:spacing w:before="60" w:after="120" w:line="276" w:lineRule="auto"/>
        <w:rPr>
          <w:rFonts w:eastAsia="Century Gothic" w:cs="Century Gothic"/>
          <w:szCs w:val="21"/>
        </w:rPr>
      </w:pPr>
      <w:r w:rsidRPr="00535D5B">
        <w:rPr>
          <w:rFonts w:eastAsia="Century Gothic" w:cs="Century Gothic"/>
          <w:szCs w:val="21"/>
        </w:rPr>
        <w:t>The project participant has control over the participating property, per the definition</w:t>
      </w:r>
      <w:r w:rsidR="00293E58" w:rsidRPr="00535D5B">
        <w:rPr>
          <w:rFonts w:eastAsia="Century Gothic" w:cs="Century Gothic"/>
          <w:szCs w:val="21"/>
        </w:rPr>
        <w:t xml:space="preserve"> of </w:t>
      </w:r>
      <w:r w:rsidR="00293E58" w:rsidRPr="009B2CF5">
        <w:rPr>
          <w:rFonts w:eastAsia="Century Gothic" w:cs="Century Gothic"/>
          <w:i/>
          <w:iCs/>
          <w:szCs w:val="21"/>
        </w:rPr>
        <w:t>Participants</w:t>
      </w:r>
      <w:r w:rsidRPr="009B2CF5">
        <w:rPr>
          <w:rFonts w:eastAsia="Century Gothic" w:cs="Century Gothic"/>
          <w:i/>
          <w:iCs/>
          <w:szCs w:val="21"/>
        </w:rPr>
        <w:t xml:space="preserve"> </w:t>
      </w:r>
      <w:r w:rsidRPr="00535D5B">
        <w:rPr>
          <w:rFonts w:eastAsia="Century Gothic" w:cs="Century Gothic"/>
          <w:szCs w:val="21"/>
        </w:rPr>
        <w:t xml:space="preserve">provided in the </w:t>
      </w:r>
      <w:r w:rsidR="00293E58" w:rsidRPr="00535D5B">
        <w:rPr>
          <w:rFonts w:eastAsia="Century Gothic" w:cs="Century Gothic"/>
          <w:szCs w:val="21"/>
        </w:rPr>
        <w:t>Section 3</w:t>
      </w:r>
      <w:r w:rsidRPr="00535D5B">
        <w:rPr>
          <w:rFonts w:eastAsia="Century Gothic" w:cs="Century Gothic"/>
          <w:szCs w:val="21"/>
        </w:rPr>
        <w:t xml:space="preserve"> above.</w:t>
      </w:r>
    </w:p>
    <w:p w14:paraId="00000086" w14:textId="77777777" w:rsidR="00471C28" w:rsidRPr="00535D5B" w:rsidRDefault="00CF15C9">
      <w:pPr>
        <w:numPr>
          <w:ilvl w:val="0"/>
          <w:numId w:val="5"/>
        </w:numPr>
        <w:spacing w:before="60" w:after="120" w:line="276" w:lineRule="auto"/>
        <w:rPr>
          <w:rFonts w:eastAsia="Century Gothic" w:cs="Century Gothic"/>
          <w:szCs w:val="21"/>
        </w:rPr>
      </w:pPr>
      <w:r w:rsidRPr="00535D5B">
        <w:rPr>
          <w:rFonts w:eastAsia="Century Gothic" w:cs="Century Gothic"/>
          <w:szCs w:val="21"/>
        </w:rPr>
        <w:lastRenderedPageBreak/>
        <w:t xml:space="preserve">The project proponent must be either a project participant or an interested party with an agreement to implement the project on behalf of the project participant(s). </w:t>
      </w:r>
    </w:p>
    <w:p w14:paraId="00000087" w14:textId="77777777" w:rsidR="00471C28" w:rsidRPr="00535D5B" w:rsidRDefault="00CF15C9">
      <w:pPr>
        <w:numPr>
          <w:ilvl w:val="0"/>
          <w:numId w:val="5"/>
        </w:numPr>
        <w:spacing w:before="60" w:after="120" w:line="276" w:lineRule="auto"/>
        <w:rPr>
          <w:rFonts w:eastAsia="Century Gothic" w:cs="Century Gothic"/>
          <w:szCs w:val="21"/>
        </w:rPr>
      </w:pPr>
      <w:r w:rsidRPr="00535D5B">
        <w:rPr>
          <w:rFonts w:eastAsia="Century Gothic" w:cs="Century Gothic"/>
          <w:szCs w:val="21"/>
        </w:rPr>
        <w:t xml:space="preserve">There are no encumbrances, regulatory or otherwise, on the participating property that would impair the participant’s ability to harvest. </w:t>
      </w:r>
    </w:p>
    <w:p w14:paraId="00000088" w14:textId="77777777" w:rsidR="00471C28" w:rsidRPr="00535D5B" w:rsidRDefault="00CF15C9">
      <w:pPr>
        <w:numPr>
          <w:ilvl w:val="0"/>
          <w:numId w:val="5"/>
        </w:numPr>
        <w:spacing w:before="60" w:after="120" w:line="276" w:lineRule="auto"/>
        <w:rPr>
          <w:rFonts w:eastAsia="Century Gothic" w:cs="Century Gothic"/>
          <w:szCs w:val="21"/>
        </w:rPr>
      </w:pPr>
      <w:r w:rsidRPr="00535D5B">
        <w:rPr>
          <w:rFonts w:eastAsia="Century Gothic" w:cs="Century Gothic"/>
          <w:szCs w:val="21"/>
        </w:rPr>
        <w:t>The participating property falls within the program area.</w:t>
      </w:r>
    </w:p>
    <w:p w14:paraId="00000089" w14:textId="75B59B9C" w:rsidR="00471C28" w:rsidRPr="00535D5B" w:rsidRDefault="00CF15C9">
      <w:pPr>
        <w:numPr>
          <w:ilvl w:val="0"/>
          <w:numId w:val="5"/>
        </w:numPr>
        <w:spacing w:before="60" w:after="120" w:line="276" w:lineRule="auto"/>
        <w:rPr>
          <w:rFonts w:eastAsia="Century Gothic" w:cs="Century Gothic"/>
          <w:szCs w:val="21"/>
        </w:rPr>
      </w:pPr>
      <w:r w:rsidRPr="00535D5B">
        <w:rPr>
          <w:rFonts w:eastAsia="Century Gothic" w:cs="Century Gothic"/>
          <w:szCs w:val="21"/>
        </w:rPr>
        <w:t>All forested property within the program area (</w:t>
      </w:r>
      <w:proofErr w:type="spellStart"/>
      <w:r w:rsidRPr="00535D5B">
        <w:rPr>
          <w:rFonts w:eastAsia="Century Gothic" w:cs="Century Gothic"/>
          <w:szCs w:val="21"/>
        </w:rPr>
        <w:t>i</w:t>
      </w:r>
      <w:proofErr w:type="spellEnd"/>
      <w:r w:rsidRPr="00535D5B">
        <w:rPr>
          <w:rFonts w:eastAsia="Century Gothic" w:cs="Century Gothic"/>
          <w:szCs w:val="21"/>
        </w:rPr>
        <w:t xml:space="preserve">) that is owned by a particular set of beneficial owners (whether an individual, family, legal entity, or otherwise) or (ii) over which a single property manager has been given legal managing authority on behalf of a particular owner or set of owners, is enrolled in the </w:t>
      </w:r>
      <w:proofErr w:type="gramStart"/>
      <w:r w:rsidRPr="00535D5B">
        <w:rPr>
          <w:rFonts w:eastAsia="Century Gothic" w:cs="Century Gothic"/>
          <w:szCs w:val="21"/>
        </w:rPr>
        <w:t>project</w:t>
      </w:r>
      <w:proofErr w:type="gramEnd"/>
      <w:r w:rsidRPr="00535D5B">
        <w:rPr>
          <w:rFonts w:eastAsia="Century Gothic" w:cs="Century Gothic"/>
          <w:szCs w:val="21"/>
        </w:rPr>
        <w:t xml:space="preserve"> and is considered a “participating property” per the Definitions section above. </w:t>
      </w:r>
    </w:p>
    <w:p w14:paraId="531F9918" w14:textId="26A2665C" w:rsidR="00FC2B50" w:rsidRPr="00535D5B" w:rsidRDefault="000C5C50" w:rsidP="00BD32D5">
      <w:pPr>
        <w:spacing w:before="60" w:after="120" w:line="276" w:lineRule="auto"/>
        <w:ind w:left="720"/>
        <w:rPr>
          <w:rFonts w:eastAsia="Century Gothic" w:cs="Century Gothic"/>
          <w:szCs w:val="21"/>
        </w:rPr>
      </w:pPr>
      <w:r w:rsidRPr="00535D5B">
        <w:rPr>
          <w:rFonts w:eastAsia="Century Gothic" w:cs="Century Gothic"/>
          <w:szCs w:val="21"/>
        </w:rPr>
        <w:t xml:space="preserve">Participating properties are not required to have an authorized management plan or program in place. </w:t>
      </w:r>
      <w:r w:rsidR="00FC2B50" w:rsidRPr="00535D5B">
        <w:rPr>
          <w:rFonts w:eastAsia="Century Gothic" w:cs="Century Gothic"/>
          <w:szCs w:val="21"/>
        </w:rPr>
        <w:t xml:space="preserve">To achieve improvement over the crediting baseline, harvests must be deferred in whole or in part relative to the amount expected to be removed under the BAU assessment. Performance (i.e., harvesting levels) may be assessed through a combination of remote sensing data and field measurement. </w:t>
      </w:r>
    </w:p>
    <w:p w14:paraId="0000008A" w14:textId="0D58C6D1" w:rsidR="00471C28" w:rsidRPr="00535D5B" w:rsidRDefault="00CF15C9">
      <w:pPr>
        <w:spacing w:before="60" w:after="120" w:line="276" w:lineRule="auto"/>
        <w:ind w:left="720"/>
        <w:rPr>
          <w:rFonts w:eastAsia="Century Gothic" w:cs="Century Gothic"/>
          <w:szCs w:val="21"/>
        </w:rPr>
      </w:pPr>
      <w:r w:rsidRPr="00535D5B">
        <w:rPr>
          <w:rFonts w:eastAsia="Century Gothic" w:cs="Century Gothic"/>
          <w:szCs w:val="21"/>
        </w:rPr>
        <w:t xml:space="preserve">The geographic applicability of the methodology is limited only by the availability of appropriate data sources and quantification techniques. The methodology specifies a process </w:t>
      </w:r>
      <w:r w:rsidR="00A60328" w:rsidRPr="00535D5B">
        <w:rPr>
          <w:rFonts w:eastAsia="Century Gothic" w:cs="Century Gothic"/>
          <w:szCs w:val="21"/>
        </w:rPr>
        <w:t xml:space="preserve">for establishing a dynamic performance benchmark </w:t>
      </w:r>
      <w:r w:rsidRPr="00535D5B">
        <w:rPr>
          <w:rFonts w:eastAsia="Century Gothic" w:cs="Century Gothic"/>
          <w:szCs w:val="21"/>
        </w:rPr>
        <w:t>that is applicable in the United States (due to data availability), but the methodology may apply to projects located in countries where relevant data sources are available and where all other requirements of this methodology can be met</w:t>
      </w:r>
      <w:r w:rsidR="00CF1BD6">
        <w:rPr>
          <w:rFonts w:eastAsia="Century Gothic" w:cs="Century Gothic"/>
          <w:szCs w:val="21"/>
        </w:rPr>
        <w:t>.</w:t>
      </w:r>
      <w:r w:rsidRPr="00535D5B">
        <w:rPr>
          <w:rFonts w:eastAsia="Century Gothic" w:cs="Century Gothic"/>
          <w:szCs w:val="21"/>
          <w:vertAlign w:val="superscript"/>
        </w:rPr>
        <w:footnoteReference w:id="2"/>
      </w:r>
      <w:r w:rsidRPr="00535D5B">
        <w:rPr>
          <w:rFonts w:eastAsia="Century Gothic" w:cs="Century Gothic"/>
          <w:szCs w:val="21"/>
        </w:rPr>
        <w:t xml:space="preserve"> </w:t>
      </w:r>
    </w:p>
    <w:p w14:paraId="0000008B" w14:textId="77777777" w:rsidR="00471C28" w:rsidRPr="00535D5B" w:rsidRDefault="00CF15C9">
      <w:pPr>
        <w:spacing w:before="60" w:after="120" w:line="276" w:lineRule="auto"/>
        <w:ind w:left="720"/>
        <w:rPr>
          <w:rFonts w:eastAsia="Century Gothic" w:cs="Century Gothic"/>
          <w:color w:val="000000"/>
          <w:szCs w:val="21"/>
        </w:rPr>
      </w:pPr>
      <w:r w:rsidRPr="00535D5B">
        <w:rPr>
          <w:rFonts w:eastAsia="Century Gothic" w:cs="Century Gothic"/>
          <w:color w:val="000000"/>
          <w:szCs w:val="21"/>
        </w:rPr>
        <w:t xml:space="preserve">For Grouped Projects, the below eligibility criteria apply to new instances that are added to the project following initial validation of the project. New instances must:  </w:t>
      </w:r>
    </w:p>
    <w:p w14:paraId="0000008C" w14:textId="77777777" w:rsidR="00471C28" w:rsidRPr="00535D5B" w:rsidRDefault="00CF15C9">
      <w:pPr>
        <w:numPr>
          <w:ilvl w:val="0"/>
          <w:numId w:val="9"/>
        </w:numPr>
        <w:spacing w:before="60" w:after="120" w:line="276" w:lineRule="auto"/>
        <w:ind w:left="1440"/>
        <w:rPr>
          <w:rFonts w:eastAsia="Century Gothic" w:cs="Century Gothic"/>
          <w:szCs w:val="21"/>
        </w:rPr>
      </w:pPr>
      <w:r w:rsidRPr="00535D5B">
        <w:rPr>
          <w:rFonts w:eastAsia="Century Gothic" w:cs="Century Gothic"/>
          <w:szCs w:val="21"/>
        </w:rPr>
        <w:t xml:space="preserve">Meet all applicability conditions listed </w:t>
      </w:r>
      <w:proofErr w:type="gramStart"/>
      <w:r w:rsidRPr="00535D5B">
        <w:rPr>
          <w:rFonts w:eastAsia="Century Gothic" w:cs="Century Gothic"/>
          <w:szCs w:val="21"/>
        </w:rPr>
        <w:t>above;</w:t>
      </w:r>
      <w:proofErr w:type="gramEnd"/>
    </w:p>
    <w:p w14:paraId="0000008D" w14:textId="77777777" w:rsidR="00471C28" w:rsidRPr="00535D5B" w:rsidRDefault="00CF15C9">
      <w:pPr>
        <w:numPr>
          <w:ilvl w:val="0"/>
          <w:numId w:val="9"/>
        </w:numPr>
        <w:spacing w:before="60" w:after="120" w:line="276" w:lineRule="auto"/>
        <w:ind w:left="1440"/>
        <w:rPr>
          <w:rFonts w:eastAsia="Century Gothic" w:cs="Century Gothic"/>
          <w:szCs w:val="21"/>
        </w:rPr>
      </w:pPr>
      <w:r w:rsidRPr="00535D5B">
        <w:rPr>
          <w:rFonts w:eastAsia="Century Gothic" w:cs="Century Gothic"/>
          <w:szCs w:val="21"/>
        </w:rPr>
        <w:t xml:space="preserve">Be located in the same program area as all other instances included in the </w:t>
      </w:r>
      <w:proofErr w:type="gramStart"/>
      <w:r w:rsidRPr="00535D5B">
        <w:rPr>
          <w:rFonts w:eastAsia="Century Gothic" w:cs="Century Gothic"/>
          <w:szCs w:val="21"/>
        </w:rPr>
        <w:t>project;</w:t>
      </w:r>
      <w:proofErr w:type="gramEnd"/>
    </w:p>
    <w:p w14:paraId="0000008E" w14:textId="6F239C15" w:rsidR="00471C28" w:rsidRPr="00416B26" w:rsidRDefault="00CF15C9">
      <w:pPr>
        <w:numPr>
          <w:ilvl w:val="0"/>
          <w:numId w:val="9"/>
        </w:numPr>
        <w:pBdr>
          <w:top w:val="nil"/>
          <w:left w:val="nil"/>
          <w:bottom w:val="nil"/>
          <w:right w:val="nil"/>
          <w:between w:val="nil"/>
        </w:pBdr>
        <w:spacing w:before="60" w:after="120" w:line="276" w:lineRule="auto"/>
        <w:ind w:left="1440"/>
        <w:rPr>
          <w:rFonts w:eastAsia="Century Gothic" w:cs="Century Gothic"/>
          <w:color w:val="000000"/>
          <w:szCs w:val="21"/>
        </w:rPr>
      </w:pPr>
      <w:r w:rsidRPr="00535D5B">
        <w:rPr>
          <w:rFonts w:eastAsia="Century Gothic" w:cs="Century Gothic"/>
          <w:szCs w:val="21"/>
        </w:rPr>
        <w:t>Undertake the same project activity as the initial instances and be assessed using the same quantification methods. </w:t>
      </w:r>
    </w:p>
    <w:p w14:paraId="4427B210" w14:textId="14687F6A" w:rsidR="00012679" w:rsidRPr="00535D5B" w:rsidRDefault="00012679" w:rsidP="00416B26">
      <w:pPr>
        <w:pBdr>
          <w:top w:val="nil"/>
          <w:left w:val="nil"/>
          <w:bottom w:val="nil"/>
          <w:right w:val="nil"/>
          <w:between w:val="nil"/>
        </w:pBdr>
        <w:spacing w:before="60" w:after="120" w:line="276" w:lineRule="auto"/>
        <w:ind w:left="720"/>
        <w:rPr>
          <w:rFonts w:eastAsia="Century Gothic" w:cs="Century Gothic"/>
          <w:color w:val="000000"/>
          <w:szCs w:val="21"/>
        </w:rPr>
      </w:pPr>
      <w:r>
        <w:rPr>
          <w:rFonts w:eastAsia="Century Gothic" w:cs="Century Gothic"/>
          <w:szCs w:val="21"/>
        </w:rPr>
        <w:t>For Grouped Projects, t</w:t>
      </w:r>
      <w:r w:rsidRPr="00535D5B">
        <w:rPr>
          <w:rFonts w:eastAsia="Century Gothic" w:cs="Century Gothic"/>
          <w:szCs w:val="21"/>
        </w:rPr>
        <w:t xml:space="preserve">he maximum number of years allowed for a given instance is that of the project crediting period; instances can </w:t>
      </w:r>
      <w:r w:rsidR="00416B26" w:rsidRPr="00535D5B">
        <w:rPr>
          <w:rFonts w:eastAsia="Century Gothic" w:cs="Century Gothic"/>
          <w:szCs w:val="21"/>
        </w:rPr>
        <w:t>enrol</w:t>
      </w:r>
      <w:r w:rsidRPr="00535D5B">
        <w:rPr>
          <w:rFonts w:eastAsia="Century Gothic" w:cs="Century Gothic"/>
          <w:szCs w:val="21"/>
        </w:rPr>
        <w:t xml:space="preserve"> in new projects or new crediting periods </w:t>
      </w:r>
      <w:proofErr w:type="gramStart"/>
      <w:r w:rsidRPr="00535D5B">
        <w:rPr>
          <w:rFonts w:eastAsia="Century Gothic" w:cs="Century Gothic"/>
          <w:szCs w:val="21"/>
        </w:rPr>
        <w:t>as long as</w:t>
      </w:r>
      <w:proofErr w:type="gramEnd"/>
      <w:r w:rsidRPr="00535D5B">
        <w:rPr>
          <w:rFonts w:eastAsia="Century Gothic" w:cs="Century Gothic"/>
          <w:szCs w:val="21"/>
        </w:rPr>
        <w:t xml:space="preserve"> they continue to meet all applicability conditions. This means that the maximum harvest deferral allowed is equal to the project crediting period, however, the</w:t>
      </w:r>
      <w:r>
        <w:rPr>
          <w:rFonts w:eastAsia="Century Gothic" w:cs="Century Gothic"/>
          <w:szCs w:val="21"/>
        </w:rPr>
        <w:t xml:space="preserve"> </w:t>
      </w:r>
      <w:r w:rsidRPr="00535D5B">
        <w:rPr>
          <w:rFonts w:eastAsia="Century Gothic" w:cs="Century Gothic"/>
          <w:szCs w:val="21"/>
        </w:rPr>
        <w:t xml:space="preserve">baseline must be recalculated for each property and activity period.  </w:t>
      </w:r>
    </w:p>
    <w:p w14:paraId="0000008F" w14:textId="77777777" w:rsidR="00471C28" w:rsidRPr="00CF1BD6" w:rsidRDefault="00CF15C9" w:rsidP="00CF1BD6">
      <w:pPr>
        <w:pStyle w:val="Heading1"/>
      </w:pPr>
      <w:bookmarkStart w:id="12" w:name="_Toc98322283"/>
      <w:r w:rsidRPr="00CF1BD6">
        <w:lastRenderedPageBreak/>
        <w:t>Project Boundary</w:t>
      </w:r>
      <w:bookmarkEnd w:id="12"/>
    </w:p>
    <w:p w14:paraId="00000090" w14:textId="77777777" w:rsidR="00471C28" w:rsidRPr="00D80793" w:rsidRDefault="00CF15C9" w:rsidP="00D80793">
      <w:pPr>
        <w:spacing w:before="60" w:after="120" w:line="276" w:lineRule="auto"/>
        <w:ind w:left="720"/>
        <w:rPr>
          <w:rFonts w:eastAsia="Century Gothic" w:cs="Century Gothic"/>
          <w:szCs w:val="21"/>
        </w:rPr>
      </w:pPr>
      <w:r w:rsidRPr="00D80793">
        <w:rPr>
          <w:rFonts w:eastAsia="Century Gothic" w:cs="Century Gothic"/>
          <w:szCs w:val="21"/>
        </w:rPr>
        <w:t xml:space="preserve">The spatial extent of the project boundary encompasses all participating properties within a program area. </w:t>
      </w:r>
    </w:p>
    <w:p w14:paraId="00000091" w14:textId="77777777" w:rsidR="00471C28" w:rsidRPr="00D80793" w:rsidRDefault="00CF15C9" w:rsidP="00D80793">
      <w:pPr>
        <w:spacing w:before="60" w:after="120" w:line="276" w:lineRule="auto"/>
        <w:ind w:left="720"/>
        <w:rPr>
          <w:rFonts w:eastAsia="Century Gothic" w:cs="Century Gothic"/>
          <w:szCs w:val="21"/>
        </w:rPr>
      </w:pPr>
      <w:bookmarkStart w:id="13" w:name="_heading=h.3fwokq0" w:colFirst="0" w:colLast="0"/>
      <w:bookmarkEnd w:id="13"/>
      <w:r w:rsidRPr="00D80793">
        <w:rPr>
          <w:rFonts w:eastAsia="Century Gothic" w:cs="Century Gothic"/>
          <w:szCs w:val="21"/>
        </w:rPr>
        <w:t xml:space="preserve">The carbon pools included or excluded from the project boundary are shown in </w:t>
      </w:r>
      <w:r w:rsidRPr="00CF1BD6">
        <w:rPr>
          <w:rFonts w:eastAsia="Century Gothic" w:cs="Century Gothic"/>
        </w:rPr>
        <w:t>Table 5-1: Selected Carbon Pools</w:t>
      </w:r>
      <w:r w:rsidRPr="00D80793">
        <w:rPr>
          <w:rFonts w:eastAsia="Century Gothic" w:cs="Century Gothic"/>
          <w:szCs w:val="21"/>
        </w:rPr>
        <w:t xml:space="preserve"> below. </w:t>
      </w:r>
    </w:p>
    <w:p w14:paraId="00000092" w14:textId="77777777" w:rsidR="00471C28" w:rsidRDefault="00CF15C9">
      <w:pPr>
        <w:keepNext/>
        <w:pBdr>
          <w:top w:val="nil"/>
          <w:left w:val="nil"/>
          <w:bottom w:val="nil"/>
          <w:right w:val="nil"/>
          <w:between w:val="nil"/>
        </w:pBdr>
        <w:spacing w:before="60" w:after="120"/>
        <w:ind w:left="720"/>
        <w:rPr>
          <w:rFonts w:ascii="Century Gothic" w:eastAsia="Century Gothic" w:hAnsi="Century Gothic" w:cs="Century Gothic"/>
          <w:b/>
          <w:color w:val="595959"/>
          <w:sz w:val="20"/>
          <w:szCs w:val="20"/>
        </w:rPr>
      </w:pPr>
      <w:bookmarkStart w:id="14" w:name="_heading=h.lnxbz9" w:colFirst="0" w:colLast="0"/>
      <w:bookmarkEnd w:id="14"/>
      <w:r>
        <w:rPr>
          <w:rFonts w:ascii="Century Gothic" w:eastAsia="Century Gothic" w:hAnsi="Century Gothic" w:cs="Century Gothic"/>
          <w:b/>
          <w:color w:val="595959"/>
          <w:sz w:val="20"/>
          <w:szCs w:val="20"/>
        </w:rPr>
        <w:t>Table 5-1: Selected Carbon Pools</w:t>
      </w:r>
    </w:p>
    <w:tbl>
      <w:tblPr>
        <w:tblW w:w="8403" w:type="dxa"/>
        <w:tblInd w:w="8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520"/>
        <w:gridCol w:w="1653"/>
        <w:gridCol w:w="4230"/>
      </w:tblGrid>
      <w:tr w:rsidR="00471C28" w:rsidRPr="009377A9" w14:paraId="4BFC34D7" w14:textId="77777777" w:rsidTr="54A671BE">
        <w:trPr>
          <w:trHeight w:val="288"/>
        </w:trPr>
        <w:tc>
          <w:tcPr>
            <w:tcW w:w="2520" w:type="dxa"/>
            <w:shd w:val="clear" w:color="auto" w:fill="2B3957" w:themeFill="accent2"/>
            <w:vAlign w:val="center"/>
          </w:tcPr>
          <w:p w14:paraId="00000093" w14:textId="77777777" w:rsidR="00471C28" w:rsidRPr="009377A9" w:rsidRDefault="00CF15C9" w:rsidP="009377A9">
            <w:pPr>
              <w:pBdr>
                <w:top w:val="nil"/>
                <w:left w:val="nil"/>
                <w:bottom w:val="nil"/>
                <w:right w:val="nil"/>
                <w:between w:val="nil"/>
              </w:pBdr>
              <w:spacing w:before="0" w:after="120"/>
              <w:rPr>
                <w:rFonts w:eastAsia="Century Gothic" w:cs="Century Gothic"/>
                <w:b/>
                <w:color w:val="FFFFFF"/>
                <w:szCs w:val="21"/>
              </w:rPr>
            </w:pPr>
            <w:r w:rsidRPr="009377A9">
              <w:rPr>
                <w:rFonts w:eastAsia="Century Gothic" w:cs="Century Gothic"/>
                <w:b/>
                <w:color w:val="FFFFFF"/>
                <w:szCs w:val="21"/>
              </w:rPr>
              <w:t>Source</w:t>
            </w:r>
          </w:p>
        </w:tc>
        <w:tc>
          <w:tcPr>
            <w:tcW w:w="1653" w:type="dxa"/>
            <w:shd w:val="clear" w:color="auto" w:fill="2B3957" w:themeFill="accent2"/>
            <w:vAlign w:val="center"/>
          </w:tcPr>
          <w:p w14:paraId="00000094" w14:textId="77777777" w:rsidR="00471C28" w:rsidRPr="009377A9" w:rsidRDefault="00CF15C9" w:rsidP="009377A9">
            <w:pPr>
              <w:pBdr>
                <w:top w:val="nil"/>
                <w:left w:val="nil"/>
                <w:bottom w:val="nil"/>
                <w:right w:val="nil"/>
                <w:between w:val="nil"/>
              </w:pBdr>
              <w:spacing w:before="0" w:after="120"/>
              <w:rPr>
                <w:rFonts w:eastAsia="Century Gothic" w:cs="Century Gothic"/>
                <w:b/>
                <w:color w:val="FFFFFF"/>
                <w:szCs w:val="21"/>
              </w:rPr>
            </w:pPr>
            <w:r w:rsidRPr="009377A9">
              <w:rPr>
                <w:rFonts w:eastAsia="Century Gothic" w:cs="Century Gothic"/>
                <w:b/>
                <w:color w:val="FFFFFF"/>
                <w:szCs w:val="21"/>
              </w:rPr>
              <w:t>Included?</w:t>
            </w:r>
          </w:p>
        </w:tc>
        <w:tc>
          <w:tcPr>
            <w:tcW w:w="4230" w:type="dxa"/>
            <w:shd w:val="clear" w:color="auto" w:fill="2B3957" w:themeFill="accent2"/>
            <w:vAlign w:val="center"/>
          </w:tcPr>
          <w:p w14:paraId="00000095" w14:textId="77777777" w:rsidR="00471C28" w:rsidRPr="009377A9" w:rsidRDefault="00CF15C9" w:rsidP="009377A9">
            <w:pPr>
              <w:pBdr>
                <w:top w:val="nil"/>
                <w:left w:val="nil"/>
                <w:bottom w:val="nil"/>
                <w:right w:val="nil"/>
                <w:between w:val="nil"/>
              </w:pBdr>
              <w:spacing w:before="0" w:after="120"/>
              <w:rPr>
                <w:rFonts w:eastAsia="Century Gothic" w:cs="Century Gothic"/>
                <w:b/>
                <w:color w:val="FFFFFF"/>
                <w:szCs w:val="21"/>
              </w:rPr>
            </w:pPr>
            <w:r w:rsidRPr="009377A9">
              <w:rPr>
                <w:rFonts w:eastAsia="Century Gothic" w:cs="Century Gothic"/>
                <w:b/>
                <w:color w:val="FFFFFF"/>
                <w:szCs w:val="21"/>
              </w:rPr>
              <w:t>Justification/Explanation</w:t>
            </w:r>
          </w:p>
        </w:tc>
      </w:tr>
      <w:tr w:rsidR="00471C28" w:rsidRPr="009377A9" w14:paraId="2583EC35" w14:textId="77777777" w:rsidTr="54A671BE">
        <w:trPr>
          <w:trHeight w:val="548"/>
        </w:trPr>
        <w:tc>
          <w:tcPr>
            <w:tcW w:w="2520" w:type="dxa"/>
            <w:shd w:val="clear" w:color="auto" w:fill="F2F2F2" w:themeFill="background1" w:themeFillShade="F2"/>
            <w:vAlign w:val="center"/>
          </w:tcPr>
          <w:p w14:paraId="00000096"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Above-ground tree biomass</w:t>
            </w:r>
          </w:p>
        </w:tc>
        <w:tc>
          <w:tcPr>
            <w:tcW w:w="1653" w:type="dxa"/>
            <w:shd w:val="clear" w:color="auto" w:fill="F2F2F2" w:themeFill="background1" w:themeFillShade="F2"/>
            <w:vAlign w:val="center"/>
          </w:tcPr>
          <w:p w14:paraId="00000097"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Yes</w:t>
            </w:r>
          </w:p>
        </w:tc>
        <w:tc>
          <w:tcPr>
            <w:tcW w:w="4230" w:type="dxa"/>
            <w:shd w:val="clear" w:color="auto" w:fill="F2F2F2" w:themeFill="background1" w:themeFillShade="F2"/>
            <w:vAlign w:val="center"/>
          </w:tcPr>
          <w:p w14:paraId="00000098"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 xml:space="preserve">Required pool subject to significant change due to the project activity. </w:t>
            </w:r>
          </w:p>
        </w:tc>
      </w:tr>
      <w:tr w:rsidR="00471C28" w:rsidRPr="009377A9" w14:paraId="51096766" w14:textId="77777777" w:rsidTr="54A671BE">
        <w:trPr>
          <w:trHeight w:val="620"/>
        </w:trPr>
        <w:tc>
          <w:tcPr>
            <w:tcW w:w="2520" w:type="dxa"/>
            <w:shd w:val="clear" w:color="auto" w:fill="F2F2F2" w:themeFill="background1" w:themeFillShade="F2"/>
            <w:vAlign w:val="center"/>
          </w:tcPr>
          <w:p w14:paraId="00000099"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Above-ground non-tree biomass</w:t>
            </w:r>
          </w:p>
        </w:tc>
        <w:tc>
          <w:tcPr>
            <w:tcW w:w="1653" w:type="dxa"/>
            <w:shd w:val="clear" w:color="auto" w:fill="F2F2F2" w:themeFill="background1" w:themeFillShade="F2"/>
            <w:vAlign w:val="center"/>
          </w:tcPr>
          <w:p w14:paraId="0000009A"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w:t>
            </w:r>
          </w:p>
        </w:tc>
        <w:tc>
          <w:tcPr>
            <w:tcW w:w="4230" w:type="dxa"/>
            <w:shd w:val="clear" w:color="auto" w:fill="F2F2F2" w:themeFill="background1" w:themeFillShade="F2"/>
            <w:vAlign w:val="center"/>
          </w:tcPr>
          <w:p w14:paraId="0000009B"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 xml:space="preserve">Not required due to insignificance. </w:t>
            </w:r>
          </w:p>
        </w:tc>
      </w:tr>
      <w:tr w:rsidR="00471C28" w:rsidRPr="009377A9" w14:paraId="70D08C18" w14:textId="77777777" w:rsidTr="54A671BE">
        <w:trPr>
          <w:trHeight w:val="530"/>
        </w:trPr>
        <w:tc>
          <w:tcPr>
            <w:tcW w:w="2520" w:type="dxa"/>
            <w:shd w:val="clear" w:color="auto" w:fill="F2F2F2" w:themeFill="background1" w:themeFillShade="F2"/>
            <w:vAlign w:val="center"/>
          </w:tcPr>
          <w:p w14:paraId="0000009C"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Below-ground biomass</w:t>
            </w:r>
          </w:p>
        </w:tc>
        <w:tc>
          <w:tcPr>
            <w:tcW w:w="1653" w:type="dxa"/>
            <w:shd w:val="clear" w:color="auto" w:fill="F2F2F2" w:themeFill="background1" w:themeFillShade="F2"/>
            <w:vAlign w:val="center"/>
          </w:tcPr>
          <w:p w14:paraId="0000009D"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w:t>
            </w:r>
          </w:p>
        </w:tc>
        <w:tc>
          <w:tcPr>
            <w:tcW w:w="4230" w:type="dxa"/>
            <w:shd w:val="clear" w:color="auto" w:fill="F2F2F2" w:themeFill="background1" w:themeFillShade="F2"/>
            <w:vAlign w:val="center"/>
          </w:tcPr>
          <w:p w14:paraId="0000009E"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 xml:space="preserve">Conservative exclusion as pool is likely to increase due to the project activity. </w:t>
            </w:r>
          </w:p>
        </w:tc>
      </w:tr>
      <w:tr w:rsidR="00471C28" w:rsidRPr="009377A9" w14:paraId="0B9B5EF8" w14:textId="77777777" w:rsidTr="54A671BE">
        <w:trPr>
          <w:trHeight w:val="530"/>
        </w:trPr>
        <w:tc>
          <w:tcPr>
            <w:tcW w:w="2520" w:type="dxa"/>
            <w:shd w:val="clear" w:color="auto" w:fill="F2F2F2" w:themeFill="background1" w:themeFillShade="F2"/>
            <w:vAlign w:val="center"/>
          </w:tcPr>
          <w:p w14:paraId="0000009F"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Litter</w:t>
            </w:r>
          </w:p>
        </w:tc>
        <w:tc>
          <w:tcPr>
            <w:tcW w:w="1653" w:type="dxa"/>
            <w:shd w:val="clear" w:color="auto" w:fill="F2F2F2" w:themeFill="background1" w:themeFillShade="F2"/>
            <w:vAlign w:val="center"/>
          </w:tcPr>
          <w:p w14:paraId="000000A0"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w:t>
            </w:r>
          </w:p>
        </w:tc>
        <w:tc>
          <w:tcPr>
            <w:tcW w:w="4230" w:type="dxa"/>
            <w:shd w:val="clear" w:color="auto" w:fill="F2F2F2" w:themeFill="background1" w:themeFillShade="F2"/>
            <w:vAlign w:val="center"/>
          </w:tcPr>
          <w:p w14:paraId="000000A1"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Not required due to insignificance.</w:t>
            </w:r>
          </w:p>
        </w:tc>
      </w:tr>
      <w:tr w:rsidR="00471C28" w:rsidRPr="009377A9" w14:paraId="62971972" w14:textId="77777777" w:rsidTr="54A671BE">
        <w:trPr>
          <w:trHeight w:val="530"/>
        </w:trPr>
        <w:tc>
          <w:tcPr>
            <w:tcW w:w="2520" w:type="dxa"/>
            <w:shd w:val="clear" w:color="auto" w:fill="F2F2F2" w:themeFill="background1" w:themeFillShade="F2"/>
            <w:vAlign w:val="center"/>
          </w:tcPr>
          <w:p w14:paraId="000000A2"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Dead wood</w:t>
            </w:r>
          </w:p>
        </w:tc>
        <w:tc>
          <w:tcPr>
            <w:tcW w:w="1653" w:type="dxa"/>
            <w:shd w:val="clear" w:color="auto" w:fill="F2F2F2" w:themeFill="background1" w:themeFillShade="F2"/>
            <w:vAlign w:val="center"/>
          </w:tcPr>
          <w:p w14:paraId="000000A3"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w:t>
            </w:r>
          </w:p>
        </w:tc>
        <w:tc>
          <w:tcPr>
            <w:tcW w:w="4230" w:type="dxa"/>
            <w:shd w:val="clear" w:color="auto" w:fill="F2F2F2" w:themeFill="background1" w:themeFillShade="F2"/>
            <w:vAlign w:val="center"/>
          </w:tcPr>
          <w:p w14:paraId="000000A4"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 xml:space="preserve">Not required as logging slash is not expected to increase </w:t>
            </w:r>
            <w:proofErr w:type="gramStart"/>
            <w:r w:rsidRPr="009377A9">
              <w:rPr>
                <w:rFonts w:eastAsia="Century Gothic" w:cs="Century Gothic"/>
                <w:color w:val="404040"/>
                <w:szCs w:val="21"/>
              </w:rPr>
              <w:t>as a result of</w:t>
            </w:r>
            <w:proofErr w:type="gramEnd"/>
            <w:r w:rsidRPr="009377A9">
              <w:rPr>
                <w:rFonts w:eastAsia="Century Gothic" w:cs="Century Gothic"/>
                <w:color w:val="404040"/>
                <w:szCs w:val="21"/>
              </w:rPr>
              <w:t xml:space="preserve"> the project activity.</w:t>
            </w:r>
          </w:p>
        </w:tc>
      </w:tr>
      <w:tr w:rsidR="00471C28" w:rsidRPr="009377A9" w14:paraId="59B823F2" w14:textId="77777777" w:rsidTr="54A671BE">
        <w:trPr>
          <w:trHeight w:val="530"/>
        </w:trPr>
        <w:tc>
          <w:tcPr>
            <w:tcW w:w="2520" w:type="dxa"/>
            <w:shd w:val="clear" w:color="auto" w:fill="F2F2F2" w:themeFill="background1" w:themeFillShade="F2"/>
            <w:vAlign w:val="center"/>
          </w:tcPr>
          <w:p w14:paraId="000000A5"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Soil</w:t>
            </w:r>
          </w:p>
        </w:tc>
        <w:tc>
          <w:tcPr>
            <w:tcW w:w="1653" w:type="dxa"/>
            <w:shd w:val="clear" w:color="auto" w:fill="F2F2F2" w:themeFill="background1" w:themeFillShade="F2"/>
            <w:vAlign w:val="center"/>
          </w:tcPr>
          <w:p w14:paraId="000000A6"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w:t>
            </w:r>
          </w:p>
        </w:tc>
        <w:tc>
          <w:tcPr>
            <w:tcW w:w="4230" w:type="dxa"/>
            <w:shd w:val="clear" w:color="auto" w:fill="F2F2F2" w:themeFill="background1" w:themeFillShade="F2"/>
            <w:vAlign w:val="center"/>
          </w:tcPr>
          <w:p w14:paraId="000000A7"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Not required due to insignificance.</w:t>
            </w:r>
          </w:p>
        </w:tc>
      </w:tr>
      <w:tr w:rsidR="00471C28" w:rsidRPr="009377A9" w14:paraId="0847EC96" w14:textId="77777777" w:rsidTr="54A671BE">
        <w:trPr>
          <w:trHeight w:val="530"/>
        </w:trPr>
        <w:tc>
          <w:tcPr>
            <w:tcW w:w="2520" w:type="dxa"/>
            <w:shd w:val="clear" w:color="auto" w:fill="F2F2F2" w:themeFill="background1" w:themeFillShade="F2"/>
            <w:vAlign w:val="center"/>
          </w:tcPr>
          <w:p w14:paraId="000000A8" w14:textId="77777777" w:rsidR="00471C28" w:rsidRPr="009377A9" w:rsidRDefault="00CF15C9"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Wood Products</w:t>
            </w:r>
          </w:p>
        </w:tc>
        <w:tc>
          <w:tcPr>
            <w:tcW w:w="1653" w:type="dxa"/>
            <w:shd w:val="clear" w:color="auto" w:fill="F2F2F2" w:themeFill="background1" w:themeFillShade="F2"/>
            <w:vAlign w:val="center"/>
          </w:tcPr>
          <w:p w14:paraId="000000A9" w14:textId="11C45429" w:rsidR="00471C28" w:rsidRPr="009377A9" w:rsidRDefault="0023395B"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szCs w:val="21"/>
              </w:rPr>
              <w:t>No</w:t>
            </w:r>
          </w:p>
        </w:tc>
        <w:tc>
          <w:tcPr>
            <w:tcW w:w="4230" w:type="dxa"/>
            <w:shd w:val="clear" w:color="auto" w:fill="F2F2F2" w:themeFill="background1" w:themeFillShade="F2"/>
            <w:vAlign w:val="center"/>
          </w:tcPr>
          <w:p w14:paraId="000000AA" w14:textId="358C2E11" w:rsidR="00471C28" w:rsidRPr="009377A9" w:rsidRDefault="01A074EE" w:rsidP="009377A9">
            <w:pPr>
              <w:pBdr>
                <w:top w:val="nil"/>
                <w:left w:val="nil"/>
                <w:bottom w:val="nil"/>
                <w:right w:val="nil"/>
                <w:between w:val="nil"/>
              </w:pBdr>
              <w:spacing w:before="0" w:after="120"/>
              <w:rPr>
                <w:rFonts w:eastAsia="Century Gothic" w:cs="Century Gothic"/>
                <w:color w:val="404040"/>
                <w:szCs w:val="21"/>
              </w:rPr>
            </w:pPr>
            <w:r w:rsidRPr="009377A9">
              <w:rPr>
                <w:rFonts w:eastAsia="Century Gothic" w:cs="Century Gothic"/>
                <w:color w:val="404040" w:themeColor="text1" w:themeTint="BF"/>
                <w:szCs w:val="21"/>
              </w:rPr>
              <w:t>Not required as h</w:t>
            </w:r>
            <w:r w:rsidR="00CF15C9" w:rsidRPr="009377A9">
              <w:rPr>
                <w:rFonts w:eastAsia="Century Gothic" w:cs="Century Gothic"/>
                <w:color w:val="404040" w:themeColor="text1" w:themeTint="BF"/>
                <w:szCs w:val="21"/>
              </w:rPr>
              <w:t xml:space="preserve">arvest deferral leads </w:t>
            </w:r>
            <w:r w:rsidRPr="009377A9">
              <w:rPr>
                <w:rFonts w:eastAsia="Century Gothic" w:cs="Century Gothic"/>
                <w:color w:val="404040" w:themeColor="text1" w:themeTint="BF"/>
                <w:szCs w:val="21"/>
              </w:rPr>
              <w:t xml:space="preserve">only </w:t>
            </w:r>
            <w:r w:rsidR="00CF15C9" w:rsidRPr="009377A9">
              <w:rPr>
                <w:rFonts w:eastAsia="Century Gothic" w:cs="Century Gothic"/>
                <w:color w:val="404040" w:themeColor="text1" w:themeTint="BF"/>
                <w:szCs w:val="21"/>
              </w:rPr>
              <w:t xml:space="preserve">to a shift in </w:t>
            </w:r>
            <w:r w:rsidRPr="009377A9">
              <w:rPr>
                <w:rFonts w:eastAsia="Century Gothic" w:cs="Century Gothic"/>
                <w:color w:val="404040" w:themeColor="text1" w:themeTint="BF"/>
                <w:szCs w:val="21"/>
              </w:rPr>
              <w:t>the harvested wood products</w:t>
            </w:r>
            <w:r w:rsidR="00CF15C9" w:rsidRPr="009377A9">
              <w:rPr>
                <w:rFonts w:eastAsia="Century Gothic" w:cs="Century Gothic"/>
                <w:color w:val="404040" w:themeColor="text1" w:themeTint="BF"/>
                <w:szCs w:val="21"/>
              </w:rPr>
              <w:t xml:space="preserve"> decay curve, whose impact differs depending on the number of years harvest is </w:t>
            </w:r>
            <w:r w:rsidRPr="009377A9">
              <w:rPr>
                <w:rFonts w:eastAsia="Century Gothic" w:cs="Century Gothic"/>
                <w:color w:val="404040" w:themeColor="text1" w:themeTint="BF"/>
                <w:szCs w:val="21"/>
              </w:rPr>
              <w:t>deferred during and after participation.</w:t>
            </w:r>
            <w:r w:rsidR="00983C9C" w:rsidRPr="009377A9">
              <w:rPr>
                <w:rFonts w:eastAsia="Century Gothic" w:cs="Century Gothic"/>
                <w:color w:val="404040" w:themeColor="text1" w:themeTint="BF"/>
                <w:szCs w:val="21"/>
              </w:rPr>
              <w:t xml:space="preserve"> </w:t>
            </w:r>
          </w:p>
        </w:tc>
      </w:tr>
    </w:tbl>
    <w:p w14:paraId="2936D45F" w14:textId="5DD0066F" w:rsidR="00BB4588" w:rsidRPr="009377A9" w:rsidRDefault="00BB4588" w:rsidP="00A86F89">
      <w:pPr>
        <w:spacing w:before="240" w:line="288" w:lineRule="auto"/>
        <w:ind w:left="720"/>
        <w:rPr>
          <w:rStyle w:val="SubtleEmphasis"/>
          <w:rFonts w:ascii="Franklin Gothic Book" w:hAnsi="Franklin Gothic Book"/>
          <w:i w:val="0"/>
          <w:iCs w:val="0"/>
          <w:color w:val="000000"/>
        </w:rPr>
      </w:pPr>
      <w:r w:rsidRPr="009377A9">
        <w:rPr>
          <w:rStyle w:val="SubtleEmphasis"/>
          <w:rFonts w:ascii="Franklin Gothic Book" w:hAnsi="Franklin Gothic Book"/>
          <w:i w:val="0"/>
          <w:iCs w:val="0"/>
          <w:color w:val="000000"/>
        </w:rPr>
        <w:t xml:space="preserve">The greenhouse gases included in or excluded from the project boundary are shown in </w:t>
      </w:r>
      <w:r w:rsidR="00A86F89" w:rsidRPr="009377A9">
        <w:rPr>
          <w:rStyle w:val="SubtleEmphasis"/>
          <w:rFonts w:ascii="Franklin Gothic Book" w:hAnsi="Franklin Gothic Book"/>
          <w:i w:val="0"/>
          <w:iCs w:val="0"/>
          <w:color w:val="000000"/>
        </w:rPr>
        <w:t>Table 5-2</w:t>
      </w:r>
      <w:r w:rsidRPr="009377A9">
        <w:rPr>
          <w:rStyle w:val="SubtleEmphasis"/>
          <w:rFonts w:ascii="Franklin Gothic Book" w:hAnsi="Franklin Gothic Book"/>
          <w:i w:val="0"/>
          <w:iCs w:val="0"/>
          <w:color w:val="000000"/>
        </w:rPr>
        <w:t xml:space="preserve"> below.</w:t>
      </w:r>
      <w:bookmarkStart w:id="15" w:name="_Ref368996305"/>
      <w:bookmarkStart w:id="16" w:name="_Ref368988441"/>
    </w:p>
    <w:p w14:paraId="377E0406" w14:textId="1093BC60" w:rsidR="00BB4588" w:rsidRPr="00565FBC" w:rsidRDefault="00BB4588" w:rsidP="00BB4588">
      <w:pPr>
        <w:spacing w:before="240" w:line="288" w:lineRule="auto"/>
        <w:ind w:left="720"/>
      </w:pPr>
      <w:r w:rsidRPr="00C7490E">
        <w:rPr>
          <w:rFonts w:ascii="Century Gothic" w:hAnsi="Century Gothic" w:cs="Arial"/>
          <w:b/>
          <w:color w:val="595959"/>
          <w:sz w:val="20"/>
          <w:szCs w:val="20"/>
        </w:rPr>
        <w:t xml:space="preserve">Table </w:t>
      </w:r>
      <w:r>
        <w:rPr>
          <w:rFonts w:ascii="Century Gothic" w:hAnsi="Century Gothic" w:cs="Arial"/>
          <w:b/>
          <w:color w:val="595959"/>
          <w:sz w:val="20"/>
          <w:szCs w:val="20"/>
        </w:rPr>
        <w:t>5-</w:t>
      </w:r>
      <w:bookmarkEnd w:id="15"/>
      <w:r w:rsidR="00A86F89">
        <w:rPr>
          <w:rFonts w:ascii="Century Gothic" w:hAnsi="Century Gothic" w:cs="Arial"/>
          <w:b/>
          <w:color w:val="595959"/>
          <w:sz w:val="20"/>
          <w:szCs w:val="20"/>
        </w:rPr>
        <w:t>2</w:t>
      </w:r>
      <w:r w:rsidRPr="00C7490E">
        <w:rPr>
          <w:rFonts w:ascii="Century Gothic" w:hAnsi="Century Gothic" w:cs="Arial"/>
          <w:b/>
          <w:color w:val="595959"/>
          <w:sz w:val="20"/>
          <w:szCs w:val="20"/>
        </w:rPr>
        <w:t xml:space="preserve">: GHG Sources Included </w:t>
      </w:r>
      <w:proofErr w:type="gramStart"/>
      <w:r w:rsidRPr="00C7490E">
        <w:rPr>
          <w:rFonts w:ascii="Century Gothic" w:hAnsi="Century Gothic" w:cs="Arial"/>
          <w:b/>
          <w:color w:val="595959"/>
          <w:sz w:val="20"/>
          <w:szCs w:val="20"/>
        </w:rPr>
        <w:t>In</w:t>
      </w:r>
      <w:proofErr w:type="gramEnd"/>
      <w:r w:rsidRPr="00C7490E">
        <w:rPr>
          <w:rFonts w:ascii="Century Gothic" w:hAnsi="Century Gothic" w:cs="Arial"/>
          <w:b/>
          <w:color w:val="595959"/>
          <w:sz w:val="20"/>
          <w:szCs w:val="20"/>
        </w:rPr>
        <w:t xml:space="preserve"> or Excluded From the Project Boundary</w:t>
      </w:r>
      <w:bookmarkEnd w:id="16"/>
    </w:p>
    <w:tbl>
      <w:tblPr>
        <w:tblStyle w:val="VCSStyle1"/>
        <w:tblW w:w="8640" w:type="dxa"/>
        <w:tblInd w:w="810" w:type="dxa"/>
        <w:tblBorders>
          <w:insideH w:val="single" w:sz="4" w:space="0" w:color="FFFFFF" w:themeColor="background1"/>
          <w:insideV w:val="single" w:sz="4" w:space="0" w:color="FFFFFF" w:themeColor="background1"/>
        </w:tblBorders>
        <w:tblLook w:val="04A0" w:firstRow="1" w:lastRow="0" w:firstColumn="1" w:lastColumn="0" w:noHBand="0" w:noVBand="1"/>
      </w:tblPr>
      <w:tblGrid>
        <w:gridCol w:w="702"/>
        <w:gridCol w:w="1142"/>
        <w:gridCol w:w="880"/>
        <w:gridCol w:w="1253"/>
        <w:gridCol w:w="4663"/>
      </w:tblGrid>
      <w:tr w:rsidR="00BB4588" w:rsidRPr="009377A9" w14:paraId="42DCFA19" w14:textId="77777777" w:rsidTr="00370F60">
        <w:trPr>
          <w:trHeight w:val="288"/>
        </w:trPr>
        <w:tc>
          <w:tcPr>
            <w:tcW w:w="1844" w:type="dxa"/>
            <w:gridSpan w:val="2"/>
            <w:shd w:val="clear" w:color="auto" w:fill="2B3957" w:themeFill="accent2"/>
          </w:tcPr>
          <w:p w14:paraId="786D26E7" w14:textId="77777777" w:rsidR="00BB4588" w:rsidRPr="009377A9" w:rsidRDefault="00BB4588" w:rsidP="00E85FD1">
            <w:pPr>
              <w:pStyle w:val="TableHeader0"/>
              <w:rPr>
                <w:sz w:val="21"/>
                <w:szCs w:val="21"/>
              </w:rPr>
            </w:pPr>
            <w:r w:rsidRPr="009377A9">
              <w:rPr>
                <w:sz w:val="21"/>
                <w:szCs w:val="21"/>
              </w:rPr>
              <w:t>Source</w:t>
            </w:r>
          </w:p>
        </w:tc>
        <w:tc>
          <w:tcPr>
            <w:tcW w:w="880" w:type="dxa"/>
            <w:shd w:val="clear" w:color="auto" w:fill="2B3957" w:themeFill="accent2"/>
          </w:tcPr>
          <w:p w14:paraId="0E7A6C20" w14:textId="77777777" w:rsidR="00BB4588" w:rsidRPr="009377A9" w:rsidRDefault="00BB4588" w:rsidP="00E85FD1">
            <w:pPr>
              <w:pStyle w:val="TableHeader0"/>
              <w:rPr>
                <w:sz w:val="21"/>
                <w:szCs w:val="21"/>
              </w:rPr>
            </w:pPr>
            <w:r w:rsidRPr="009377A9">
              <w:rPr>
                <w:sz w:val="21"/>
                <w:szCs w:val="21"/>
              </w:rPr>
              <w:t>Gas</w:t>
            </w:r>
          </w:p>
        </w:tc>
        <w:tc>
          <w:tcPr>
            <w:tcW w:w="1253" w:type="dxa"/>
            <w:shd w:val="clear" w:color="auto" w:fill="2B3957" w:themeFill="accent2"/>
          </w:tcPr>
          <w:p w14:paraId="0992B303" w14:textId="77777777" w:rsidR="00BB4588" w:rsidRPr="009377A9" w:rsidRDefault="00BB4588" w:rsidP="00E85FD1">
            <w:pPr>
              <w:pStyle w:val="TableHeader0"/>
              <w:rPr>
                <w:sz w:val="21"/>
                <w:szCs w:val="21"/>
              </w:rPr>
            </w:pPr>
            <w:r w:rsidRPr="009377A9">
              <w:rPr>
                <w:sz w:val="21"/>
                <w:szCs w:val="21"/>
              </w:rPr>
              <w:t>Included?</w:t>
            </w:r>
          </w:p>
        </w:tc>
        <w:tc>
          <w:tcPr>
            <w:tcW w:w="4663" w:type="dxa"/>
            <w:shd w:val="clear" w:color="auto" w:fill="2B3957" w:themeFill="accent2"/>
          </w:tcPr>
          <w:p w14:paraId="5BEA3415" w14:textId="77777777" w:rsidR="00BB4588" w:rsidRPr="009377A9" w:rsidRDefault="00BB4588" w:rsidP="00E85FD1">
            <w:pPr>
              <w:pStyle w:val="TableHeader0"/>
              <w:rPr>
                <w:sz w:val="21"/>
                <w:szCs w:val="21"/>
              </w:rPr>
            </w:pPr>
            <w:r w:rsidRPr="009377A9">
              <w:rPr>
                <w:sz w:val="21"/>
                <w:szCs w:val="21"/>
              </w:rPr>
              <w:t>Justification/Explanation</w:t>
            </w:r>
          </w:p>
        </w:tc>
      </w:tr>
      <w:tr w:rsidR="00BB4588" w:rsidRPr="009377A9" w14:paraId="2C096D9D" w14:textId="77777777" w:rsidTr="00370F60">
        <w:trPr>
          <w:trHeight w:val="288"/>
        </w:trPr>
        <w:tc>
          <w:tcPr>
            <w:tcW w:w="702" w:type="dxa"/>
            <w:vMerge w:val="restart"/>
            <w:shd w:val="clear" w:color="auto" w:fill="2B3957" w:themeFill="accent2"/>
            <w:textDirection w:val="btLr"/>
          </w:tcPr>
          <w:p w14:paraId="32735D36" w14:textId="77777777" w:rsidR="00BB4588" w:rsidRPr="009377A9" w:rsidRDefault="00BB4588" w:rsidP="00E85FD1">
            <w:pPr>
              <w:pStyle w:val="TableHeader0"/>
              <w:jc w:val="center"/>
              <w:rPr>
                <w:sz w:val="21"/>
                <w:szCs w:val="21"/>
              </w:rPr>
            </w:pPr>
            <w:r w:rsidRPr="009377A9">
              <w:rPr>
                <w:sz w:val="21"/>
                <w:szCs w:val="21"/>
              </w:rPr>
              <w:t>Baseline</w:t>
            </w:r>
          </w:p>
        </w:tc>
        <w:tc>
          <w:tcPr>
            <w:tcW w:w="1142" w:type="dxa"/>
            <w:vMerge w:val="restart"/>
            <w:shd w:val="clear" w:color="auto" w:fill="F2F2F2"/>
            <w:vAlign w:val="center"/>
          </w:tcPr>
          <w:p w14:paraId="0ECBA914" w14:textId="1261BBB5" w:rsidR="00BB4588" w:rsidRPr="009377A9" w:rsidRDefault="00BB4588"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Fossil fuel emissions</w:t>
            </w:r>
          </w:p>
        </w:tc>
        <w:tc>
          <w:tcPr>
            <w:tcW w:w="880" w:type="dxa"/>
            <w:shd w:val="clear" w:color="auto" w:fill="F2F2F2"/>
          </w:tcPr>
          <w:p w14:paraId="36220A2E" w14:textId="77777777" w:rsidR="00BB4588" w:rsidRPr="009377A9" w:rsidRDefault="00BB4588" w:rsidP="00E85FD1">
            <w:pPr>
              <w:tabs>
                <w:tab w:val="num" w:pos="540"/>
              </w:tabs>
              <w:spacing w:before="40" w:after="40" w:line="288" w:lineRule="auto"/>
              <w:rPr>
                <w:rFonts w:cs="Arial"/>
                <w:color w:val="404040"/>
                <w:sz w:val="21"/>
                <w:szCs w:val="21"/>
              </w:rPr>
            </w:pPr>
            <w:r w:rsidRPr="009377A9">
              <w:rPr>
                <w:rFonts w:cs="Arial"/>
                <w:color w:val="404040"/>
                <w:sz w:val="21"/>
                <w:szCs w:val="21"/>
              </w:rPr>
              <w:t>CO</w:t>
            </w:r>
            <w:r w:rsidRPr="009377A9">
              <w:rPr>
                <w:rFonts w:cs="Arial"/>
                <w:color w:val="404040"/>
                <w:sz w:val="21"/>
                <w:szCs w:val="21"/>
                <w:vertAlign w:val="subscript"/>
              </w:rPr>
              <w:t>2</w:t>
            </w:r>
          </w:p>
        </w:tc>
        <w:tc>
          <w:tcPr>
            <w:tcW w:w="1253" w:type="dxa"/>
            <w:shd w:val="clear" w:color="auto" w:fill="F2F2F2"/>
          </w:tcPr>
          <w:p w14:paraId="52ED5D1A" w14:textId="0C6E8D71"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No</w:t>
            </w:r>
          </w:p>
        </w:tc>
        <w:tc>
          <w:tcPr>
            <w:tcW w:w="4663" w:type="dxa"/>
            <w:shd w:val="clear" w:color="auto" w:fill="F2F2F2"/>
          </w:tcPr>
          <w:p w14:paraId="771998D7" w14:textId="3CABA23C"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Conservatively excluded – baseline accounting does not include emissions from machinery used in harvesting</w:t>
            </w:r>
          </w:p>
        </w:tc>
      </w:tr>
      <w:tr w:rsidR="00BB4588" w:rsidRPr="009377A9" w14:paraId="09BC7B97" w14:textId="77777777" w:rsidTr="00370F60">
        <w:trPr>
          <w:trHeight w:val="288"/>
        </w:trPr>
        <w:tc>
          <w:tcPr>
            <w:tcW w:w="702" w:type="dxa"/>
            <w:vMerge/>
            <w:shd w:val="clear" w:color="auto" w:fill="2B3957" w:themeFill="accent2"/>
          </w:tcPr>
          <w:p w14:paraId="00BEDD1B" w14:textId="77777777" w:rsidR="00BB4588" w:rsidRPr="009377A9" w:rsidRDefault="00BB4588" w:rsidP="00E85FD1">
            <w:pPr>
              <w:pStyle w:val="TableHeader0"/>
              <w:jc w:val="center"/>
              <w:rPr>
                <w:sz w:val="21"/>
                <w:szCs w:val="21"/>
              </w:rPr>
            </w:pPr>
          </w:p>
        </w:tc>
        <w:tc>
          <w:tcPr>
            <w:tcW w:w="1142" w:type="dxa"/>
            <w:vMerge/>
            <w:shd w:val="clear" w:color="auto" w:fill="F2F2F2"/>
            <w:vAlign w:val="center"/>
          </w:tcPr>
          <w:p w14:paraId="353509B5" w14:textId="77777777" w:rsidR="00BB4588" w:rsidRPr="009377A9" w:rsidRDefault="00BB4588" w:rsidP="00E85FD1">
            <w:pPr>
              <w:pStyle w:val="FigureandTableTitles"/>
              <w:rPr>
                <w:rFonts w:ascii="Franklin Gothic Book" w:hAnsi="Franklin Gothic Book"/>
                <w:b w:val="0"/>
                <w:color w:val="404040"/>
                <w:sz w:val="21"/>
                <w:szCs w:val="21"/>
                <w:lang w:val="en-US"/>
              </w:rPr>
            </w:pPr>
          </w:p>
        </w:tc>
        <w:tc>
          <w:tcPr>
            <w:tcW w:w="880" w:type="dxa"/>
            <w:shd w:val="clear" w:color="auto" w:fill="F2F2F2"/>
          </w:tcPr>
          <w:p w14:paraId="4EC247BC" w14:textId="77777777" w:rsidR="00BB4588" w:rsidRPr="009377A9" w:rsidRDefault="00BB4588" w:rsidP="00E85FD1">
            <w:pPr>
              <w:tabs>
                <w:tab w:val="num" w:pos="540"/>
              </w:tabs>
              <w:spacing w:before="40" w:after="40" w:line="288" w:lineRule="auto"/>
              <w:rPr>
                <w:rFonts w:cs="Arial"/>
                <w:color w:val="404040"/>
                <w:sz w:val="21"/>
                <w:szCs w:val="21"/>
              </w:rPr>
            </w:pPr>
            <w:r w:rsidRPr="009377A9">
              <w:rPr>
                <w:rFonts w:cs="Arial"/>
                <w:color w:val="404040"/>
                <w:sz w:val="21"/>
                <w:szCs w:val="21"/>
              </w:rPr>
              <w:t>CH</w:t>
            </w:r>
            <w:r w:rsidRPr="009377A9">
              <w:rPr>
                <w:rFonts w:cs="Arial"/>
                <w:color w:val="404040"/>
                <w:sz w:val="21"/>
                <w:szCs w:val="21"/>
                <w:vertAlign w:val="subscript"/>
              </w:rPr>
              <w:t>4</w:t>
            </w:r>
          </w:p>
        </w:tc>
        <w:tc>
          <w:tcPr>
            <w:tcW w:w="1253" w:type="dxa"/>
            <w:shd w:val="clear" w:color="auto" w:fill="F2F2F2"/>
          </w:tcPr>
          <w:p w14:paraId="0E46DA9E" w14:textId="29A248E1"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No</w:t>
            </w:r>
          </w:p>
        </w:tc>
        <w:tc>
          <w:tcPr>
            <w:tcW w:w="4663" w:type="dxa"/>
            <w:shd w:val="clear" w:color="auto" w:fill="F2F2F2"/>
          </w:tcPr>
          <w:p w14:paraId="4F3D9CFD" w14:textId="2F0CBD88"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Conservatively excluded – baseline accounting does not include emissions from machinery used in harvesting</w:t>
            </w:r>
          </w:p>
        </w:tc>
      </w:tr>
      <w:tr w:rsidR="00BB4588" w:rsidRPr="009377A9" w14:paraId="3F948A66" w14:textId="77777777" w:rsidTr="00370F60">
        <w:trPr>
          <w:trHeight w:val="288"/>
        </w:trPr>
        <w:tc>
          <w:tcPr>
            <w:tcW w:w="702" w:type="dxa"/>
            <w:vMerge/>
            <w:shd w:val="clear" w:color="auto" w:fill="2B3957" w:themeFill="accent2"/>
          </w:tcPr>
          <w:p w14:paraId="1EDE15FE" w14:textId="77777777" w:rsidR="00BB4588" w:rsidRPr="009377A9" w:rsidRDefault="00BB4588" w:rsidP="00E85FD1">
            <w:pPr>
              <w:pStyle w:val="TableHeader0"/>
              <w:jc w:val="center"/>
              <w:rPr>
                <w:sz w:val="21"/>
                <w:szCs w:val="21"/>
              </w:rPr>
            </w:pPr>
          </w:p>
        </w:tc>
        <w:tc>
          <w:tcPr>
            <w:tcW w:w="1142" w:type="dxa"/>
            <w:vMerge/>
            <w:shd w:val="clear" w:color="auto" w:fill="F2F2F2"/>
            <w:vAlign w:val="center"/>
          </w:tcPr>
          <w:p w14:paraId="48FE6559" w14:textId="77777777" w:rsidR="00BB4588" w:rsidRPr="009377A9" w:rsidRDefault="00BB4588" w:rsidP="00E85FD1">
            <w:pPr>
              <w:pStyle w:val="FigureandTableTitles"/>
              <w:rPr>
                <w:rFonts w:ascii="Franklin Gothic Book" w:hAnsi="Franklin Gothic Book"/>
                <w:b w:val="0"/>
                <w:color w:val="404040"/>
                <w:sz w:val="21"/>
                <w:szCs w:val="21"/>
                <w:lang w:val="en-US"/>
              </w:rPr>
            </w:pPr>
          </w:p>
        </w:tc>
        <w:tc>
          <w:tcPr>
            <w:tcW w:w="880" w:type="dxa"/>
            <w:shd w:val="clear" w:color="auto" w:fill="F2F2F2"/>
          </w:tcPr>
          <w:p w14:paraId="6282EA63" w14:textId="77777777" w:rsidR="00BB4588" w:rsidRPr="009377A9" w:rsidRDefault="00BB4588" w:rsidP="00E85FD1">
            <w:pPr>
              <w:tabs>
                <w:tab w:val="num" w:pos="540"/>
              </w:tabs>
              <w:spacing w:before="40" w:after="40" w:line="288" w:lineRule="auto"/>
              <w:rPr>
                <w:rFonts w:cs="Arial"/>
                <w:color w:val="404040"/>
                <w:sz w:val="21"/>
                <w:szCs w:val="21"/>
              </w:rPr>
            </w:pPr>
            <w:r w:rsidRPr="009377A9">
              <w:rPr>
                <w:rFonts w:cs="Arial"/>
                <w:color w:val="404040"/>
                <w:sz w:val="21"/>
                <w:szCs w:val="21"/>
              </w:rPr>
              <w:t>N</w:t>
            </w:r>
            <w:r w:rsidRPr="009377A9">
              <w:rPr>
                <w:rFonts w:cs="Arial"/>
                <w:color w:val="404040"/>
                <w:sz w:val="21"/>
                <w:szCs w:val="21"/>
                <w:vertAlign w:val="subscript"/>
              </w:rPr>
              <w:t>2</w:t>
            </w:r>
            <w:r w:rsidRPr="009377A9">
              <w:rPr>
                <w:rFonts w:cs="Arial"/>
                <w:color w:val="404040"/>
                <w:sz w:val="21"/>
                <w:szCs w:val="21"/>
              </w:rPr>
              <w:t>O</w:t>
            </w:r>
          </w:p>
        </w:tc>
        <w:tc>
          <w:tcPr>
            <w:tcW w:w="1253" w:type="dxa"/>
            <w:shd w:val="clear" w:color="auto" w:fill="F2F2F2"/>
          </w:tcPr>
          <w:p w14:paraId="5366B6C0" w14:textId="15B5976E"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No</w:t>
            </w:r>
          </w:p>
        </w:tc>
        <w:tc>
          <w:tcPr>
            <w:tcW w:w="4663" w:type="dxa"/>
            <w:shd w:val="clear" w:color="auto" w:fill="F2F2F2"/>
          </w:tcPr>
          <w:p w14:paraId="267DB4F9" w14:textId="417C4593"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Conservatively excluded – baseline accounting does not include emissions from machinery used in harvesting</w:t>
            </w:r>
          </w:p>
        </w:tc>
      </w:tr>
      <w:tr w:rsidR="00BB4588" w:rsidRPr="009377A9" w14:paraId="0F6DF4BD" w14:textId="77777777" w:rsidTr="00370F60">
        <w:trPr>
          <w:trHeight w:val="288"/>
        </w:trPr>
        <w:tc>
          <w:tcPr>
            <w:tcW w:w="702" w:type="dxa"/>
            <w:vMerge w:val="restart"/>
            <w:shd w:val="clear" w:color="auto" w:fill="2B3957" w:themeFill="accent2"/>
            <w:textDirection w:val="btLr"/>
          </w:tcPr>
          <w:p w14:paraId="788FDCE2" w14:textId="77777777" w:rsidR="00BB4588" w:rsidRPr="009377A9" w:rsidRDefault="00BB4588" w:rsidP="00E85FD1">
            <w:pPr>
              <w:pStyle w:val="TableHeader0"/>
              <w:jc w:val="center"/>
              <w:rPr>
                <w:sz w:val="21"/>
                <w:szCs w:val="21"/>
              </w:rPr>
            </w:pPr>
            <w:r w:rsidRPr="009377A9">
              <w:rPr>
                <w:sz w:val="21"/>
                <w:szCs w:val="21"/>
              </w:rPr>
              <w:t>Project</w:t>
            </w:r>
          </w:p>
        </w:tc>
        <w:tc>
          <w:tcPr>
            <w:tcW w:w="1142" w:type="dxa"/>
            <w:vMerge w:val="restart"/>
            <w:shd w:val="clear" w:color="auto" w:fill="F2F2F2"/>
            <w:vAlign w:val="center"/>
          </w:tcPr>
          <w:p w14:paraId="4219BCBE" w14:textId="4A6AB99D" w:rsidR="00BB4588" w:rsidRPr="009377A9" w:rsidRDefault="00BB4588"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Fossil Fuel Emissions</w:t>
            </w:r>
          </w:p>
        </w:tc>
        <w:tc>
          <w:tcPr>
            <w:tcW w:w="880" w:type="dxa"/>
            <w:shd w:val="clear" w:color="auto" w:fill="F2F2F2"/>
          </w:tcPr>
          <w:p w14:paraId="706A9B90" w14:textId="77777777" w:rsidR="00BB4588" w:rsidRPr="009377A9" w:rsidRDefault="00BB4588" w:rsidP="00E85FD1">
            <w:pPr>
              <w:tabs>
                <w:tab w:val="num" w:pos="540"/>
              </w:tabs>
              <w:spacing w:before="40" w:after="40" w:line="288" w:lineRule="auto"/>
              <w:rPr>
                <w:rFonts w:cs="Arial"/>
                <w:color w:val="404040"/>
                <w:sz w:val="21"/>
                <w:szCs w:val="21"/>
              </w:rPr>
            </w:pPr>
            <w:r w:rsidRPr="009377A9">
              <w:rPr>
                <w:rFonts w:cs="Arial"/>
                <w:color w:val="404040"/>
                <w:sz w:val="21"/>
                <w:szCs w:val="21"/>
              </w:rPr>
              <w:t>CO</w:t>
            </w:r>
            <w:r w:rsidRPr="009377A9">
              <w:rPr>
                <w:rFonts w:cs="Arial"/>
                <w:color w:val="404040"/>
                <w:sz w:val="21"/>
                <w:szCs w:val="21"/>
                <w:vertAlign w:val="subscript"/>
              </w:rPr>
              <w:t>2</w:t>
            </w:r>
          </w:p>
        </w:tc>
        <w:tc>
          <w:tcPr>
            <w:tcW w:w="1253" w:type="dxa"/>
            <w:shd w:val="clear" w:color="auto" w:fill="F2F2F2"/>
          </w:tcPr>
          <w:p w14:paraId="44DEDBA6" w14:textId="36A4FA5C"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No</w:t>
            </w:r>
          </w:p>
        </w:tc>
        <w:tc>
          <w:tcPr>
            <w:tcW w:w="4663" w:type="dxa"/>
            <w:shd w:val="clear" w:color="auto" w:fill="F2F2F2"/>
          </w:tcPr>
          <w:p w14:paraId="349D3E5B" w14:textId="0DA4A307" w:rsidR="00BB4588" w:rsidRPr="009377A9" w:rsidRDefault="00370F60" w:rsidP="00E85FD1">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Same as for baseline scenario</w:t>
            </w:r>
          </w:p>
        </w:tc>
      </w:tr>
      <w:tr w:rsidR="00370F60" w:rsidRPr="009377A9" w14:paraId="7B185396" w14:textId="77777777" w:rsidTr="00370F60">
        <w:trPr>
          <w:trHeight w:val="288"/>
        </w:trPr>
        <w:tc>
          <w:tcPr>
            <w:tcW w:w="702" w:type="dxa"/>
            <w:vMerge/>
            <w:shd w:val="clear" w:color="auto" w:fill="2B3957" w:themeFill="accent2"/>
          </w:tcPr>
          <w:p w14:paraId="0852BBAC" w14:textId="77777777" w:rsidR="00370F60" w:rsidRPr="009377A9" w:rsidRDefault="00370F60" w:rsidP="00370F60">
            <w:pPr>
              <w:pStyle w:val="TableText"/>
              <w:rPr>
                <w:sz w:val="21"/>
                <w:szCs w:val="21"/>
              </w:rPr>
            </w:pPr>
          </w:p>
        </w:tc>
        <w:tc>
          <w:tcPr>
            <w:tcW w:w="1142" w:type="dxa"/>
            <w:vMerge/>
            <w:shd w:val="clear" w:color="auto" w:fill="F2F2F2"/>
            <w:vAlign w:val="center"/>
          </w:tcPr>
          <w:p w14:paraId="68F6741F" w14:textId="77777777" w:rsidR="00370F60" w:rsidRPr="009377A9" w:rsidRDefault="00370F60" w:rsidP="00370F60">
            <w:pPr>
              <w:pStyle w:val="FigureandTableTitles"/>
              <w:rPr>
                <w:rFonts w:ascii="Franklin Gothic Book" w:hAnsi="Franklin Gothic Book"/>
                <w:b w:val="0"/>
                <w:color w:val="404040"/>
                <w:sz w:val="21"/>
                <w:szCs w:val="21"/>
                <w:lang w:val="en-US"/>
              </w:rPr>
            </w:pPr>
          </w:p>
        </w:tc>
        <w:tc>
          <w:tcPr>
            <w:tcW w:w="880" w:type="dxa"/>
            <w:shd w:val="clear" w:color="auto" w:fill="F2F2F2"/>
          </w:tcPr>
          <w:p w14:paraId="51D1C3C5" w14:textId="77777777" w:rsidR="00370F60" w:rsidRPr="009377A9" w:rsidRDefault="00370F60" w:rsidP="00370F60">
            <w:pPr>
              <w:tabs>
                <w:tab w:val="num" w:pos="540"/>
              </w:tabs>
              <w:spacing w:before="40" w:after="40" w:line="288" w:lineRule="auto"/>
              <w:rPr>
                <w:rFonts w:cs="Arial"/>
                <w:color w:val="404040"/>
                <w:sz w:val="21"/>
                <w:szCs w:val="21"/>
              </w:rPr>
            </w:pPr>
            <w:r w:rsidRPr="009377A9">
              <w:rPr>
                <w:rFonts w:cs="Arial"/>
                <w:color w:val="404040"/>
                <w:sz w:val="21"/>
                <w:szCs w:val="21"/>
              </w:rPr>
              <w:t>CH</w:t>
            </w:r>
            <w:r w:rsidRPr="009377A9">
              <w:rPr>
                <w:rFonts w:cs="Arial"/>
                <w:color w:val="404040"/>
                <w:sz w:val="21"/>
                <w:szCs w:val="21"/>
                <w:vertAlign w:val="subscript"/>
              </w:rPr>
              <w:t>4</w:t>
            </w:r>
          </w:p>
        </w:tc>
        <w:tc>
          <w:tcPr>
            <w:tcW w:w="1253" w:type="dxa"/>
            <w:shd w:val="clear" w:color="auto" w:fill="F2F2F2"/>
          </w:tcPr>
          <w:p w14:paraId="775035BA" w14:textId="553D0F10" w:rsidR="00370F60" w:rsidRPr="009377A9" w:rsidRDefault="00370F60" w:rsidP="00370F60">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No</w:t>
            </w:r>
          </w:p>
        </w:tc>
        <w:tc>
          <w:tcPr>
            <w:tcW w:w="4663" w:type="dxa"/>
            <w:shd w:val="clear" w:color="auto" w:fill="F2F2F2"/>
          </w:tcPr>
          <w:p w14:paraId="5B2A269E" w14:textId="2B85F9AF" w:rsidR="00370F60" w:rsidRPr="009377A9" w:rsidRDefault="00370F60" w:rsidP="00370F60">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Same as for baseline scenario</w:t>
            </w:r>
          </w:p>
        </w:tc>
      </w:tr>
      <w:tr w:rsidR="00370F60" w:rsidRPr="009377A9" w14:paraId="4AA9B802" w14:textId="77777777" w:rsidTr="00370F60">
        <w:trPr>
          <w:trHeight w:val="288"/>
        </w:trPr>
        <w:tc>
          <w:tcPr>
            <w:tcW w:w="702" w:type="dxa"/>
            <w:vMerge/>
            <w:shd w:val="clear" w:color="auto" w:fill="2B3957" w:themeFill="accent2"/>
          </w:tcPr>
          <w:p w14:paraId="6F4B99AD" w14:textId="77777777" w:rsidR="00370F60" w:rsidRPr="009377A9" w:rsidRDefault="00370F60" w:rsidP="00370F60">
            <w:pPr>
              <w:pStyle w:val="TableText"/>
              <w:rPr>
                <w:sz w:val="21"/>
                <w:szCs w:val="21"/>
              </w:rPr>
            </w:pPr>
          </w:p>
        </w:tc>
        <w:tc>
          <w:tcPr>
            <w:tcW w:w="1142" w:type="dxa"/>
            <w:vMerge/>
            <w:shd w:val="clear" w:color="auto" w:fill="F2F2F2"/>
            <w:vAlign w:val="center"/>
          </w:tcPr>
          <w:p w14:paraId="4253692D" w14:textId="77777777" w:rsidR="00370F60" w:rsidRPr="009377A9" w:rsidRDefault="00370F60" w:rsidP="00370F60">
            <w:pPr>
              <w:pStyle w:val="FigureandTableTitles"/>
              <w:rPr>
                <w:rFonts w:ascii="Franklin Gothic Book" w:hAnsi="Franklin Gothic Book"/>
                <w:b w:val="0"/>
                <w:color w:val="404040"/>
                <w:sz w:val="21"/>
                <w:szCs w:val="21"/>
                <w:lang w:val="en-US"/>
              </w:rPr>
            </w:pPr>
          </w:p>
        </w:tc>
        <w:tc>
          <w:tcPr>
            <w:tcW w:w="880" w:type="dxa"/>
            <w:shd w:val="clear" w:color="auto" w:fill="F2F2F2"/>
          </w:tcPr>
          <w:p w14:paraId="14F6A969" w14:textId="77777777" w:rsidR="00370F60" w:rsidRPr="009377A9" w:rsidRDefault="00370F60" w:rsidP="00370F60">
            <w:pPr>
              <w:tabs>
                <w:tab w:val="num" w:pos="540"/>
              </w:tabs>
              <w:spacing w:before="40" w:after="40" w:line="288" w:lineRule="auto"/>
              <w:rPr>
                <w:rFonts w:cs="Arial"/>
                <w:color w:val="404040"/>
                <w:sz w:val="21"/>
                <w:szCs w:val="21"/>
              </w:rPr>
            </w:pPr>
            <w:r w:rsidRPr="009377A9">
              <w:rPr>
                <w:rFonts w:cs="Arial"/>
                <w:color w:val="404040"/>
                <w:sz w:val="21"/>
                <w:szCs w:val="21"/>
              </w:rPr>
              <w:t>N</w:t>
            </w:r>
            <w:r w:rsidRPr="009377A9">
              <w:rPr>
                <w:rFonts w:cs="Arial"/>
                <w:color w:val="404040"/>
                <w:sz w:val="21"/>
                <w:szCs w:val="21"/>
                <w:vertAlign w:val="subscript"/>
              </w:rPr>
              <w:t>2</w:t>
            </w:r>
            <w:r w:rsidRPr="009377A9">
              <w:rPr>
                <w:rFonts w:cs="Arial"/>
                <w:color w:val="404040"/>
                <w:sz w:val="21"/>
                <w:szCs w:val="21"/>
              </w:rPr>
              <w:t>O</w:t>
            </w:r>
          </w:p>
        </w:tc>
        <w:tc>
          <w:tcPr>
            <w:tcW w:w="1253" w:type="dxa"/>
            <w:shd w:val="clear" w:color="auto" w:fill="F2F2F2"/>
          </w:tcPr>
          <w:p w14:paraId="55CDCE40" w14:textId="0CFA45FB" w:rsidR="00370F60" w:rsidRPr="009377A9" w:rsidRDefault="00370F60" w:rsidP="00370F60">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No</w:t>
            </w:r>
          </w:p>
        </w:tc>
        <w:tc>
          <w:tcPr>
            <w:tcW w:w="4663" w:type="dxa"/>
            <w:shd w:val="clear" w:color="auto" w:fill="F2F2F2"/>
          </w:tcPr>
          <w:p w14:paraId="536E546D" w14:textId="6430B4FE" w:rsidR="00370F60" w:rsidRPr="009377A9" w:rsidRDefault="00370F60" w:rsidP="00370F60">
            <w:pPr>
              <w:pStyle w:val="FigureandTableTitles"/>
              <w:rPr>
                <w:rFonts w:ascii="Franklin Gothic Book" w:hAnsi="Franklin Gothic Book"/>
                <w:b w:val="0"/>
                <w:color w:val="404040"/>
                <w:sz w:val="21"/>
                <w:szCs w:val="21"/>
                <w:lang w:val="en-US"/>
              </w:rPr>
            </w:pPr>
            <w:r w:rsidRPr="009377A9">
              <w:rPr>
                <w:rFonts w:ascii="Franklin Gothic Book" w:hAnsi="Franklin Gothic Book"/>
                <w:b w:val="0"/>
                <w:color w:val="404040"/>
                <w:sz w:val="21"/>
                <w:szCs w:val="21"/>
                <w:lang w:val="en-US"/>
              </w:rPr>
              <w:t>Same as for baseline scenario</w:t>
            </w:r>
          </w:p>
        </w:tc>
      </w:tr>
    </w:tbl>
    <w:p w14:paraId="27CA2B7F" w14:textId="77777777" w:rsidR="00BB4588" w:rsidRPr="00BB4588" w:rsidRDefault="00BB4588" w:rsidP="00BD32D5"/>
    <w:p w14:paraId="000000AB" w14:textId="57ED1AE4" w:rsidR="00471C28" w:rsidRPr="00550C8B" w:rsidRDefault="00CF15C9" w:rsidP="00550C8B">
      <w:pPr>
        <w:pStyle w:val="Heading1"/>
      </w:pPr>
      <w:bookmarkStart w:id="17" w:name="_Toc98322284"/>
      <w:r w:rsidRPr="00550C8B">
        <w:t>Baseline Scenario</w:t>
      </w:r>
      <w:bookmarkEnd w:id="17"/>
    </w:p>
    <w:p w14:paraId="000000AC" w14:textId="09671AFE" w:rsidR="00471C28" w:rsidRPr="00D80793" w:rsidRDefault="00CF15C9" w:rsidP="00D80793">
      <w:pPr>
        <w:spacing w:before="60" w:after="120" w:line="276" w:lineRule="auto"/>
        <w:ind w:left="720"/>
        <w:rPr>
          <w:rFonts w:eastAsia="Century Gothic" w:cs="Century Gothic"/>
          <w:szCs w:val="21"/>
        </w:rPr>
      </w:pPr>
      <w:r w:rsidRPr="00D80793">
        <w:rPr>
          <w:rFonts w:eastAsia="Century Gothic" w:cs="Century Gothic"/>
          <w:szCs w:val="21"/>
        </w:rPr>
        <w:t xml:space="preserve">For participating properties, the most plausible baseline scenario is a common practice harvest as determined through a </w:t>
      </w:r>
      <w:r w:rsidR="007553A6" w:rsidRPr="00D80793">
        <w:rPr>
          <w:rFonts w:eastAsia="Century Gothic" w:cs="Century Gothic"/>
          <w:szCs w:val="21"/>
        </w:rPr>
        <w:t>business-as-usual (</w:t>
      </w:r>
      <w:r w:rsidRPr="00D80793">
        <w:rPr>
          <w:rFonts w:eastAsia="Century Gothic" w:cs="Century Gothic"/>
          <w:szCs w:val="21"/>
        </w:rPr>
        <w:t>BAU</w:t>
      </w:r>
      <w:r w:rsidR="007553A6" w:rsidRPr="00D80793">
        <w:rPr>
          <w:rFonts w:eastAsia="Century Gothic" w:cs="Century Gothic"/>
          <w:szCs w:val="21"/>
        </w:rPr>
        <w:t>)</w:t>
      </w:r>
      <w:r w:rsidRPr="00D80793">
        <w:rPr>
          <w:rFonts w:eastAsia="Century Gothic" w:cs="Century Gothic"/>
          <w:szCs w:val="21"/>
        </w:rPr>
        <w:t xml:space="preserve"> assessment. The specific amount of “carbon at risk” of harvest should be determined for each participating property</w:t>
      </w:r>
      <w:r w:rsidR="0061608D" w:rsidRPr="00D80793">
        <w:rPr>
          <w:rFonts w:eastAsia="Century Gothic" w:cs="Century Gothic"/>
          <w:szCs w:val="21"/>
        </w:rPr>
        <w:t xml:space="preserve"> using a baseline model constructed as defined in the following section and Appendices A and B.  </w:t>
      </w:r>
    </w:p>
    <w:p w14:paraId="000000AD" w14:textId="3D34E899" w:rsidR="00471C28" w:rsidRPr="00D80793" w:rsidRDefault="00CF15C9" w:rsidP="00D80793">
      <w:pPr>
        <w:spacing w:before="60" w:after="120" w:line="276" w:lineRule="auto"/>
        <w:ind w:left="720"/>
        <w:rPr>
          <w:rFonts w:eastAsia="Century Gothic" w:cs="Century Gothic"/>
          <w:szCs w:val="21"/>
        </w:rPr>
      </w:pPr>
      <w:r w:rsidRPr="00D80793">
        <w:rPr>
          <w:rFonts w:eastAsia="Century Gothic" w:cs="Century Gothic"/>
          <w:szCs w:val="21"/>
        </w:rPr>
        <w:t xml:space="preserve">The baseline scenario should be reconstructed for each activity period during a crediting period </w:t>
      </w:r>
      <w:r w:rsidR="00835542" w:rsidRPr="00D80793">
        <w:rPr>
          <w:rFonts w:eastAsia="Century Gothic" w:cs="Century Gothic"/>
          <w:szCs w:val="21"/>
        </w:rPr>
        <w:t xml:space="preserve">using the best available information </w:t>
      </w:r>
      <w:r w:rsidRPr="00D80793">
        <w:rPr>
          <w:rFonts w:eastAsia="Century Gothic" w:cs="Century Gothic"/>
          <w:szCs w:val="21"/>
        </w:rPr>
        <w:t xml:space="preserve">and therefore represents a dynamic performance benchmark. This ensures that the baseline scenario is continually evaluated to ensure validity based on the participating properties during each activity period. </w:t>
      </w:r>
    </w:p>
    <w:p w14:paraId="26085BFD" w14:textId="2106A396" w:rsidR="003F5979" w:rsidRPr="00D80793" w:rsidRDefault="00CF15C9" w:rsidP="00D80793">
      <w:pPr>
        <w:spacing w:before="60" w:after="120" w:line="276" w:lineRule="auto"/>
        <w:ind w:left="720"/>
        <w:rPr>
          <w:rFonts w:eastAsia="Century Gothic" w:cs="Century Gothic"/>
          <w:szCs w:val="21"/>
        </w:rPr>
      </w:pPr>
      <w:r w:rsidRPr="00D80793">
        <w:rPr>
          <w:rFonts w:eastAsia="Century Gothic" w:cs="Century Gothic"/>
          <w:szCs w:val="21"/>
        </w:rPr>
        <w:t xml:space="preserve">To develop the common practice harvest for each participating property, project proponents must follow the below steps to estimate the </w:t>
      </w:r>
      <w:r w:rsidR="008A6E5C" w:rsidRPr="00D80793">
        <w:rPr>
          <w:rFonts w:eastAsia="Century Gothic" w:cs="Century Gothic"/>
          <w:szCs w:val="21"/>
        </w:rPr>
        <w:t>probability</w:t>
      </w:r>
      <w:r w:rsidRPr="00D80793">
        <w:rPr>
          <w:rFonts w:eastAsia="Century Gothic" w:cs="Century Gothic"/>
          <w:szCs w:val="21"/>
        </w:rPr>
        <w:t xml:space="preserve"> that a given </w:t>
      </w:r>
      <w:r w:rsidR="00464B72">
        <w:rPr>
          <w:rFonts w:eastAsia="Century Gothic" w:cs="Century Gothic"/>
          <w:szCs w:val="21"/>
        </w:rPr>
        <w:t>hectare</w:t>
      </w:r>
      <w:r w:rsidR="00464B72" w:rsidRPr="00D80793">
        <w:rPr>
          <w:rFonts w:eastAsia="Century Gothic" w:cs="Century Gothic"/>
          <w:szCs w:val="21"/>
        </w:rPr>
        <w:t xml:space="preserve"> </w:t>
      </w:r>
      <w:r w:rsidRPr="00D80793">
        <w:rPr>
          <w:rFonts w:eastAsia="Century Gothic" w:cs="Century Gothic"/>
          <w:szCs w:val="21"/>
        </w:rPr>
        <w:t>would be harvested during the activity period, and what proportion of the standing carbon would be expected to be removed.</w:t>
      </w:r>
      <w:r w:rsidR="003F5979" w:rsidRPr="00D80793">
        <w:rPr>
          <w:rFonts w:eastAsia="Century Gothic" w:cs="Century Gothic"/>
          <w:szCs w:val="21"/>
        </w:rPr>
        <w:t xml:space="preserve"> These two values can be calculated through a single unified baseline model (as described, for example, in Appendix </w:t>
      </w:r>
      <w:r w:rsidR="007553A6" w:rsidRPr="00D80793">
        <w:rPr>
          <w:rFonts w:eastAsia="Century Gothic" w:cs="Century Gothic"/>
          <w:szCs w:val="21"/>
        </w:rPr>
        <w:t>A</w:t>
      </w:r>
      <w:r w:rsidR="003F5979" w:rsidRPr="00D80793">
        <w:rPr>
          <w:rFonts w:eastAsia="Century Gothic" w:cs="Century Gothic"/>
          <w:szCs w:val="21"/>
        </w:rPr>
        <w:t>) or through a series of models or empirical evidence</w:t>
      </w:r>
      <w:r w:rsidR="008412AC" w:rsidRPr="00D80793">
        <w:rPr>
          <w:rFonts w:eastAsia="Century Gothic" w:cs="Century Gothic"/>
          <w:szCs w:val="21"/>
        </w:rPr>
        <w:t xml:space="preserve"> (</w:t>
      </w:r>
      <w:proofErr w:type="gramStart"/>
      <w:r w:rsidR="008412AC" w:rsidRPr="00D80793">
        <w:rPr>
          <w:rFonts w:eastAsia="Century Gothic" w:cs="Century Gothic"/>
          <w:szCs w:val="21"/>
        </w:rPr>
        <w:t>e.g.</w:t>
      </w:r>
      <w:proofErr w:type="gramEnd"/>
      <w:r w:rsidR="008412AC" w:rsidRPr="00D80793">
        <w:rPr>
          <w:rFonts w:eastAsia="Century Gothic" w:cs="Century Gothic"/>
          <w:szCs w:val="21"/>
        </w:rPr>
        <w:t xml:space="preserve"> management history from a participating property)</w:t>
      </w:r>
      <w:r w:rsidR="003F5979" w:rsidRPr="00D80793">
        <w:rPr>
          <w:rFonts w:eastAsia="Century Gothic" w:cs="Century Gothic"/>
          <w:szCs w:val="21"/>
        </w:rPr>
        <w:t xml:space="preserve">. Common practice harvest </w:t>
      </w:r>
      <w:proofErr w:type="spellStart"/>
      <w:r w:rsidR="003F5979" w:rsidRPr="00D80793">
        <w:rPr>
          <w:rFonts w:eastAsia="Century Gothic" w:cs="Century Gothic"/>
          <w:szCs w:val="21"/>
        </w:rPr>
        <w:t>behavior</w:t>
      </w:r>
      <w:proofErr w:type="spellEnd"/>
      <w:r w:rsidR="003F5979" w:rsidRPr="00D80793">
        <w:rPr>
          <w:rFonts w:eastAsia="Century Gothic" w:cs="Century Gothic"/>
          <w:szCs w:val="21"/>
        </w:rPr>
        <w:t xml:space="preserve"> should be calculated on </w:t>
      </w:r>
      <w:r w:rsidR="005743FA">
        <w:rPr>
          <w:rFonts w:eastAsia="Century Gothic" w:cs="Century Gothic"/>
          <w:szCs w:val="21"/>
        </w:rPr>
        <w:t>a</w:t>
      </w:r>
      <w:r w:rsidR="003F5979" w:rsidRPr="00D80793">
        <w:rPr>
          <w:rFonts w:eastAsia="Century Gothic" w:cs="Century Gothic"/>
          <w:szCs w:val="21"/>
        </w:rPr>
        <w:t xml:space="preserve"> fine scale for each participating property</w:t>
      </w:r>
      <w:r w:rsidR="005743FA">
        <w:rPr>
          <w:rFonts w:eastAsia="Century Gothic" w:cs="Century Gothic"/>
          <w:szCs w:val="21"/>
        </w:rPr>
        <w:t xml:space="preserve"> (e.g., half-hectare resolution)</w:t>
      </w:r>
      <w:r w:rsidR="003F5979" w:rsidRPr="00D80793">
        <w:rPr>
          <w:rFonts w:eastAsia="Century Gothic" w:cs="Century Gothic"/>
          <w:szCs w:val="21"/>
        </w:rPr>
        <w:t>.</w:t>
      </w:r>
    </w:p>
    <w:p w14:paraId="07C43F2B" w14:textId="22EC1BFB" w:rsidR="003F5979" w:rsidRPr="00D80793" w:rsidRDefault="003F5979" w:rsidP="00D80793">
      <w:pPr>
        <w:spacing w:before="60" w:after="120" w:line="276" w:lineRule="auto"/>
        <w:ind w:left="720"/>
        <w:rPr>
          <w:rFonts w:eastAsia="Century Gothic" w:cs="Century Gothic"/>
          <w:szCs w:val="21"/>
        </w:rPr>
      </w:pPr>
      <w:r w:rsidRPr="00D80793">
        <w:rPr>
          <w:rFonts w:eastAsia="Century Gothic" w:cs="Century Gothic"/>
          <w:szCs w:val="21"/>
        </w:rPr>
        <w:t xml:space="preserve">The </w:t>
      </w:r>
      <w:r w:rsidR="007553A6" w:rsidRPr="00D80793">
        <w:rPr>
          <w:rFonts w:eastAsia="Century Gothic" w:cs="Century Gothic"/>
          <w:szCs w:val="21"/>
        </w:rPr>
        <w:t>sum</w:t>
      </w:r>
      <w:r w:rsidRPr="00D80793">
        <w:rPr>
          <w:rFonts w:eastAsia="Century Gothic" w:cs="Century Gothic"/>
          <w:szCs w:val="21"/>
        </w:rPr>
        <w:t xml:space="preserve"> of the carbon at risk across all hectares of the participating properties will generate the carbon at risk of removal due to harvesting during the activity period.</w:t>
      </w:r>
    </w:p>
    <w:p w14:paraId="216FDB9D" w14:textId="5A01454B" w:rsidR="00084D80" w:rsidRPr="00D80793" w:rsidRDefault="00084D80" w:rsidP="00D80793">
      <w:pPr>
        <w:spacing w:before="60" w:after="120" w:line="276" w:lineRule="auto"/>
        <w:ind w:left="720"/>
        <w:rPr>
          <w:rFonts w:eastAsia="Century Gothic" w:cs="Century Gothic"/>
          <w:szCs w:val="21"/>
        </w:rPr>
      </w:pPr>
      <w:r w:rsidRPr="00D80793">
        <w:rPr>
          <w:rFonts w:eastAsia="Century Gothic" w:cs="Century Gothic"/>
          <w:szCs w:val="21"/>
        </w:rPr>
        <w:t>In the event there is an existing exercisable option for timber purchase on the land in question, the likelihood of harvest may be appropriately set at 100%.</w:t>
      </w:r>
    </w:p>
    <w:p w14:paraId="3040EB6C" w14:textId="1D61A9E4" w:rsidR="007553A6" w:rsidRPr="00D80793" w:rsidRDefault="003F5979" w:rsidP="00D80793">
      <w:pPr>
        <w:spacing w:before="60" w:after="120" w:line="276" w:lineRule="auto"/>
        <w:ind w:left="720"/>
        <w:rPr>
          <w:rFonts w:eastAsia="Century Gothic" w:cs="Century Gothic"/>
          <w:szCs w:val="21"/>
        </w:rPr>
      </w:pPr>
      <w:r w:rsidRPr="00D80793">
        <w:rPr>
          <w:rFonts w:eastAsia="Century Gothic" w:cs="Century Gothic"/>
          <w:szCs w:val="21"/>
        </w:rPr>
        <w:t xml:space="preserve">In the event there is a written harvest plan for the property, this may be used to provide the estimate </w:t>
      </w:r>
      <w:r w:rsidR="007553A6" w:rsidRPr="00D80793">
        <w:rPr>
          <w:rFonts w:eastAsia="Century Gothic" w:cs="Century Gothic"/>
          <w:szCs w:val="21"/>
        </w:rPr>
        <w:t>of proportion of standing carbon expected to be removed in a harvest.</w:t>
      </w:r>
    </w:p>
    <w:p w14:paraId="073EE3EB" w14:textId="6C3F8AD4" w:rsidR="00444CC1" w:rsidRPr="00095583" w:rsidRDefault="007553A6" w:rsidP="00095583">
      <w:pPr>
        <w:spacing w:before="60" w:after="120" w:line="276" w:lineRule="auto"/>
        <w:ind w:left="720"/>
        <w:rPr>
          <w:rFonts w:eastAsia="Century Gothic" w:cs="Century Gothic"/>
          <w:szCs w:val="21"/>
        </w:rPr>
      </w:pPr>
      <w:r w:rsidRPr="00D80793">
        <w:rPr>
          <w:rFonts w:eastAsia="Century Gothic" w:cs="Century Gothic"/>
          <w:szCs w:val="21"/>
        </w:rPr>
        <w:t xml:space="preserve">Baseline models should contain steps to exclude from the estimate of carbon at risk any portions of participating properties that are subject to legal constraints on harvesting; this may include but is not limited to protected areas such as those covered by conservation easements </w:t>
      </w:r>
      <w:r w:rsidR="002C2879" w:rsidRPr="00D80793">
        <w:rPr>
          <w:rFonts w:eastAsia="Century Gothic" w:cs="Century Gothic"/>
          <w:szCs w:val="21"/>
        </w:rPr>
        <w:t>or</w:t>
      </w:r>
      <w:r w:rsidRPr="00D80793">
        <w:rPr>
          <w:rFonts w:eastAsia="Century Gothic" w:cs="Century Gothic"/>
          <w:szCs w:val="21"/>
        </w:rPr>
        <w:t xml:space="preserve"> legal restrictions (as per the Applicability conditions). Baseline models should also contain steps that prevent property-level predicted harvest amounts from exceeding operational harvest limits</w:t>
      </w:r>
      <w:r w:rsidR="00B06B98" w:rsidRPr="00D80793">
        <w:rPr>
          <w:rFonts w:eastAsia="Century Gothic" w:cs="Century Gothic"/>
          <w:szCs w:val="21"/>
        </w:rPr>
        <w:t>, both for logistical reasons (</w:t>
      </w:r>
      <w:proofErr w:type="gramStart"/>
      <w:r w:rsidR="00B06B98" w:rsidRPr="00D80793">
        <w:rPr>
          <w:rFonts w:eastAsia="Century Gothic" w:cs="Century Gothic"/>
          <w:szCs w:val="21"/>
        </w:rPr>
        <w:t>i.e.</w:t>
      </w:r>
      <w:proofErr w:type="gramEnd"/>
      <w:r w:rsidR="00B06B98" w:rsidRPr="00D80793">
        <w:rPr>
          <w:rFonts w:eastAsia="Century Gothic" w:cs="Century Gothic"/>
          <w:szCs w:val="21"/>
        </w:rPr>
        <w:t xml:space="preserve"> inoperable sloped terrain) as well as regional supply chains</w:t>
      </w:r>
      <w:r w:rsidRPr="00D80793">
        <w:rPr>
          <w:rFonts w:eastAsia="Century Gothic" w:cs="Century Gothic"/>
          <w:szCs w:val="21"/>
        </w:rPr>
        <w:t xml:space="preserve">. These should be derived from the published literature and may be </w:t>
      </w:r>
      <w:r w:rsidRPr="00D80793">
        <w:rPr>
          <w:rFonts w:eastAsia="Century Gothic" w:cs="Century Gothic"/>
          <w:szCs w:val="21"/>
        </w:rPr>
        <w:lastRenderedPageBreak/>
        <w:t>supplemented with participant-provided information; See Appendix A for an example implementation.</w:t>
      </w:r>
      <w:r w:rsidR="00444CC1" w:rsidRPr="00D80793">
        <w:rPr>
          <w:rFonts w:eastAsia="Century Gothic" w:cs="Century Gothic"/>
          <w:szCs w:val="21"/>
        </w:rPr>
        <w:t xml:space="preserve"> </w:t>
      </w:r>
    </w:p>
    <w:p w14:paraId="359FC643" w14:textId="2C487BD5" w:rsidR="00D80793" w:rsidRDefault="00444CC1" w:rsidP="00D80793">
      <w:pPr>
        <w:spacing w:before="60" w:after="120" w:line="276" w:lineRule="auto"/>
        <w:ind w:left="720"/>
      </w:pPr>
      <w:r w:rsidRPr="00D80793">
        <w:rPr>
          <w:rFonts w:eastAsia="Century Gothic" w:cs="Century Gothic"/>
          <w:szCs w:val="21"/>
        </w:rPr>
        <w:t xml:space="preserve">For some properties, specifically those with regionally unique market conditions, or particularly large in area, there is an expectation that harvest deferral relative to the baseline would result in </w:t>
      </w:r>
      <w:r w:rsidR="004A673E" w:rsidRPr="00D80793">
        <w:rPr>
          <w:rFonts w:eastAsia="Century Gothic" w:cs="Century Gothic"/>
          <w:szCs w:val="21"/>
        </w:rPr>
        <w:t>persistent carbon on the property in</w:t>
      </w:r>
      <w:r w:rsidRPr="00D80793">
        <w:rPr>
          <w:rFonts w:eastAsia="Century Gothic" w:cs="Century Gothic"/>
          <w:szCs w:val="21"/>
        </w:rPr>
        <w:t xml:space="preserve"> subsequent years.  This is the case when a landowner is only able to harvest a certain absolute amount of volume </w:t>
      </w:r>
      <w:proofErr w:type="gramStart"/>
      <w:r w:rsidRPr="00D80793">
        <w:rPr>
          <w:rFonts w:eastAsia="Century Gothic" w:cs="Century Gothic"/>
          <w:szCs w:val="21"/>
        </w:rPr>
        <w:t>in a given year</w:t>
      </w:r>
      <w:proofErr w:type="gramEnd"/>
      <w:r w:rsidRPr="00D80793">
        <w:rPr>
          <w:rFonts w:eastAsia="Century Gothic" w:cs="Century Gothic"/>
          <w:szCs w:val="21"/>
        </w:rPr>
        <w:t>, due to legal, market, or operational constraints. Deferral of some or all of that harvested volume in a year does not result in doubling the carbon at risk in the following year, but instead a more consistent estimate of carbon at risk (subject to an updated baseline calculation, per the methodology) and some amount of volume retained on the landscape for a much l</w:t>
      </w:r>
      <w:r w:rsidR="00EF4B9B" w:rsidRPr="00D80793">
        <w:rPr>
          <w:rFonts w:eastAsia="Century Gothic" w:cs="Century Gothic"/>
          <w:szCs w:val="21"/>
        </w:rPr>
        <w:t>onge</w:t>
      </w:r>
      <w:r w:rsidRPr="00D80793">
        <w:rPr>
          <w:rFonts w:eastAsia="Century Gothic" w:cs="Century Gothic"/>
          <w:szCs w:val="21"/>
        </w:rPr>
        <w:t xml:space="preserve">r </w:t>
      </w:r>
      <w:proofErr w:type="gramStart"/>
      <w:r w:rsidRPr="00D80793">
        <w:rPr>
          <w:rFonts w:eastAsia="Century Gothic" w:cs="Century Gothic"/>
          <w:szCs w:val="21"/>
        </w:rPr>
        <w:t>time period</w:t>
      </w:r>
      <w:proofErr w:type="gramEnd"/>
      <w:r w:rsidRPr="00D80793">
        <w:rPr>
          <w:rFonts w:eastAsia="Century Gothic" w:cs="Century Gothic"/>
          <w:szCs w:val="21"/>
        </w:rPr>
        <w:t xml:space="preserve">. In this case, </w:t>
      </w:r>
      <w:r w:rsidR="00EF4B9B" w:rsidRPr="00D80793">
        <w:rPr>
          <w:rFonts w:eastAsia="Century Gothic" w:cs="Century Gothic"/>
          <w:szCs w:val="21"/>
        </w:rPr>
        <w:t xml:space="preserve">the baseline increases because of previously accrued growth, but the baseline does not solely account for the additionality of this </w:t>
      </w:r>
      <w:r w:rsidR="004A673E" w:rsidRPr="00D80793">
        <w:rPr>
          <w:rFonts w:eastAsia="Century Gothic" w:cs="Century Gothic"/>
          <w:szCs w:val="21"/>
        </w:rPr>
        <w:t>persistence</w:t>
      </w:r>
      <w:r w:rsidR="00EF4B9B" w:rsidRPr="00D80793">
        <w:rPr>
          <w:rFonts w:eastAsia="Century Gothic" w:cs="Century Gothic"/>
          <w:szCs w:val="21"/>
        </w:rPr>
        <w:t>. T</w:t>
      </w:r>
      <w:r w:rsidRPr="00D80793">
        <w:rPr>
          <w:rFonts w:eastAsia="Century Gothic" w:cs="Century Gothic"/>
          <w:szCs w:val="21"/>
        </w:rPr>
        <w:t xml:space="preserve">he </w:t>
      </w:r>
      <w:r w:rsidR="00EF4B9B" w:rsidRPr="00D80793">
        <w:rPr>
          <w:rFonts w:eastAsia="Century Gothic" w:cs="Century Gothic"/>
          <w:szCs w:val="21"/>
        </w:rPr>
        <w:t>project</w:t>
      </w:r>
      <w:r w:rsidRPr="00D80793">
        <w:rPr>
          <w:rFonts w:eastAsia="Century Gothic" w:cs="Century Gothic"/>
          <w:szCs w:val="21"/>
        </w:rPr>
        <w:t xml:space="preserve"> scenario </w:t>
      </w:r>
      <w:r w:rsidR="00EF4B9B" w:rsidRPr="00D80793">
        <w:rPr>
          <w:rFonts w:eastAsia="Century Gothic" w:cs="Century Gothic"/>
          <w:szCs w:val="21"/>
        </w:rPr>
        <w:t xml:space="preserve">in </w:t>
      </w:r>
      <w:r w:rsidRPr="00D80793">
        <w:rPr>
          <w:rFonts w:eastAsia="Century Gothic" w:cs="Century Gothic"/>
          <w:szCs w:val="21"/>
        </w:rPr>
        <w:t xml:space="preserve">subsequent years should include the impacts of previous deferral as a component of the carbon at risk and </w:t>
      </w:r>
      <w:r w:rsidR="00220B8A" w:rsidRPr="00D80793">
        <w:rPr>
          <w:rFonts w:eastAsia="Century Gothic" w:cs="Century Gothic"/>
          <w:szCs w:val="21"/>
        </w:rPr>
        <w:t xml:space="preserve">as an </w:t>
      </w:r>
      <w:r w:rsidRPr="00D80793">
        <w:rPr>
          <w:rFonts w:eastAsia="Century Gothic" w:cs="Century Gothic"/>
          <w:szCs w:val="21"/>
        </w:rPr>
        <w:t xml:space="preserve">estimate of aboveground live tree biomass that can be quantified and credited, and this can be continued </w:t>
      </w:r>
      <w:proofErr w:type="gramStart"/>
      <w:r w:rsidRPr="00D80793">
        <w:rPr>
          <w:rFonts w:eastAsia="Century Gothic" w:cs="Century Gothic"/>
          <w:szCs w:val="21"/>
        </w:rPr>
        <w:t>as long as</w:t>
      </w:r>
      <w:proofErr w:type="gramEnd"/>
      <w:r w:rsidRPr="00D80793">
        <w:rPr>
          <w:rFonts w:eastAsia="Century Gothic" w:cs="Century Gothic"/>
          <w:szCs w:val="21"/>
        </w:rPr>
        <w:t xml:space="preserve"> that property continues to be enrolled in consecutive activity periods.</w:t>
      </w:r>
    </w:p>
    <w:p w14:paraId="000000AF" w14:textId="1CC01EF1" w:rsidR="00471C28" w:rsidRPr="00D80793" w:rsidRDefault="00CF15C9" w:rsidP="00D80793">
      <w:pPr>
        <w:spacing w:before="60" w:after="120" w:line="276" w:lineRule="auto"/>
        <w:ind w:left="720"/>
        <w:rPr>
          <w:rFonts w:eastAsia="Century Gothic" w:cs="Century Gothic"/>
          <w:szCs w:val="21"/>
        </w:rPr>
      </w:pPr>
      <w:r w:rsidRPr="00D80793">
        <w:rPr>
          <w:rFonts w:eastAsia="Century Gothic" w:cs="Century Gothic"/>
          <w:szCs w:val="21"/>
        </w:rPr>
        <w:t xml:space="preserve">The methodology does not prescribe a specific model to derive the common practice harvest and associated carbon at risk. However, any model used to </w:t>
      </w:r>
      <w:r w:rsidR="007553A6" w:rsidRPr="00D80793">
        <w:rPr>
          <w:rFonts w:eastAsia="Century Gothic" w:cs="Century Gothic"/>
          <w:szCs w:val="21"/>
        </w:rPr>
        <w:t xml:space="preserve">estimate the percentage likelihood of harvest occurring </w:t>
      </w:r>
      <w:r w:rsidRPr="00D80793">
        <w:rPr>
          <w:rFonts w:eastAsia="Century Gothic" w:cs="Century Gothic"/>
          <w:szCs w:val="21"/>
        </w:rPr>
        <w:t xml:space="preserve">must fit within the general framework described by </w:t>
      </w:r>
      <w:proofErr w:type="spellStart"/>
      <w:r w:rsidRPr="00D80793">
        <w:rPr>
          <w:rFonts w:eastAsia="Century Gothic" w:cs="Century Gothic"/>
          <w:szCs w:val="21"/>
        </w:rPr>
        <w:t>Prestemon</w:t>
      </w:r>
      <w:proofErr w:type="spellEnd"/>
      <w:r w:rsidRPr="00D80793">
        <w:rPr>
          <w:rFonts w:eastAsia="Century Gothic" w:cs="Century Gothic"/>
          <w:szCs w:val="21"/>
        </w:rPr>
        <w:t xml:space="preserve"> &amp; Wear (2000):</w:t>
      </w:r>
    </w:p>
    <w:p w14:paraId="000000B0" w14:textId="116FC69D" w:rsidR="00471C28" w:rsidRDefault="00CF15C9">
      <w:pPr>
        <w:keepNext/>
        <w:pBdr>
          <w:top w:val="nil"/>
          <w:left w:val="nil"/>
          <w:bottom w:val="nil"/>
          <w:right w:val="nil"/>
          <w:between w:val="nil"/>
        </w:pBdr>
        <w:spacing w:before="60" w:after="120"/>
        <w:jc w:val="center"/>
        <w:rPr>
          <w:rFonts w:ascii="Century Gothic" w:eastAsia="Century Gothic" w:hAnsi="Century Gothic" w:cs="Century Gothic"/>
          <w:b/>
          <w:color w:val="595959"/>
          <w:sz w:val="20"/>
          <w:szCs w:val="20"/>
        </w:rPr>
      </w:pPr>
      <w:bookmarkStart w:id="18" w:name="_heading=h.1ksv4uv" w:colFirst="0" w:colLast="0"/>
      <w:bookmarkEnd w:id="18"/>
      <w:r>
        <w:rPr>
          <w:rFonts w:ascii="Century Gothic" w:eastAsia="Century Gothic" w:hAnsi="Century Gothic" w:cs="Century Gothic"/>
          <w:b/>
          <w:color w:val="595959"/>
          <w:sz w:val="20"/>
          <w:szCs w:val="20"/>
        </w:rPr>
        <w:t>Generalized framework for probability of harvest</w:t>
      </w:r>
    </w:p>
    <w:p w14:paraId="000000B1" w14:textId="77777777" w:rsidR="00471C28"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H</m:t>
              </m:r>
            </m:sub>
          </m:sSub>
          <m:r>
            <w:rPr>
              <w:rFonts w:ascii="Cambria Math" w:eastAsia="Cambria Math" w:hAnsi="Cambria Math" w:cs="Cambria Math"/>
            </w:rPr>
            <m:t xml:space="preserve">= ƒ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 xml:space="preserve">T,  </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 xml:space="preserve">NT,   </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H</m:t>
                  </m:r>
                </m:sub>
              </m:sSub>
              <m:r>
                <w:rPr>
                  <w:rFonts w:ascii="Cambria Math" w:eastAsia="Cambria Math" w:hAnsi="Cambria Math" w:cs="Cambria Math"/>
                </w:rPr>
                <m:t>| G</m:t>
              </m:r>
            </m:e>
          </m:d>
        </m:oMath>
      </m:oMathPara>
    </w:p>
    <w:p w14:paraId="000000B2" w14:textId="77777777" w:rsidR="00471C28" w:rsidRPr="00D80793" w:rsidRDefault="00CF15C9">
      <w:pPr>
        <w:tabs>
          <w:tab w:val="left" w:pos="7920"/>
        </w:tabs>
        <w:spacing w:before="60" w:after="120" w:line="288" w:lineRule="auto"/>
        <w:ind w:left="720"/>
        <w:rPr>
          <w:rFonts w:eastAsia="Century Gothic" w:cs="Century Gothic"/>
        </w:rPr>
      </w:pPr>
      <w:r w:rsidRPr="00D80793">
        <w:rPr>
          <w:rFonts w:eastAsia="Century Gothic" w:cs="Century Gothic"/>
        </w:rPr>
        <w:t xml:space="preserve">Where: </w:t>
      </w:r>
    </w:p>
    <w:tbl>
      <w:tblPr>
        <w:tblW w:w="8640" w:type="dxa"/>
        <w:tblInd w:w="7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070"/>
        <w:gridCol w:w="6570"/>
      </w:tblGrid>
      <w:tr w:rsidR="00471C28" w:rsidRPr="00D80793" w14:paraId="17860FF5" w14:textId="77777777">
        <w:trPr>
          <w:trHeight w:val="548"/>
        </w:trPr>
        <w:tc>
          <w:tcPr>
            <w:tcW w:w="2070" w:type="dxa"/>
            <w:shd w:val="clear" w:color="auto" w:fill="CCD4E5"/>
            <w:vAlign w:val="center"/>
          </w:tcPr>
          <w:p w14:paraId="000000B3" w14:textId="77777777" w:rsidR="00471C28" w:rsidRPr="00D80793" w:rsidRDefault="00CF15C9">
            <w:pPr>
              <w:pBdr>
                <w:top w:val="nil"/>
                <w:left w:val="nil"/>
                <w:bottom w:val="nil"/>
                <w:right w:val="nil"/>
                <w:between w:val="nil"/>
              </w:pBdr>
              <w:spacing w:before="60" w:after="120"/>
              <w:rPr>
                <w:rFonts w:eastAsia="Century Gothic" w:cs="Century Gothic"/>
                <w:vertAlign w:val="subscript"/>
              </w:rPr>
            </w:pPr>
            <w:r w:rsidRPr="00D80793">
              <w:rPr>
                <w:rFonts w:eastAsia="Century Gothic" w:cs="Century Gothic"/>
                <w:i/>
                <w:color w:val="000000"/>
              </w:rPr>
              <w:t>P</w:t>
            </w:r>
            <w:r w:rsidRPr="00D80793">
              <w:rPr>
                <w:rFonts w:eastAsia="Century Gothic" w:cs="Century Gothic"/>
                <w:i/>
                <w:color w:val="000000"/>
                <w:vertAlign w:val="subscript"/>
              </w:rPr>
              <w:t>H</w:t>
            </w:r>
          </w:p>
        </w:tc>
        <w:tc>
          <w:tcPr>
            <w:tcW w:w="6570" w:type="dxa"/>
            <w:shd w:val="clear" w:color="auto" w:fill="CCD4E5"/>
            <w:vAlign w:val="center"/>
          </w:tcPr>
          <w:p w14:paraId="000000B4" w14:textId="22FEC8E4" w:rsidR="00471C28" w:rsidRPr="00D80793" w:rsidRDefault="00CF15C9">
            <w:pPr>
              <w:pBdr>
                <w:top w:val="nil"/>
                <w:left w:val="nil"/>
                <w:bottom w:val="nil"/>
                <w:right w:val="nil"/>
                <w:between w:val="nil"/>
              </w:pBdr>
              <w:spacing w:before="60" w:after="120"/>
              <w:rPr>
                <w:rFonts w:eastAsia="Century Gothic" w:cs="Century Gothic"/>
                <w:color w:val="404040"/>
              </w:rPr>
            </w:pPr>
            <w:r w:rsidRPr="00D80793">
              <w:rPr>
                <w:rFonts w:eastAsia="Century Gothic" w:cs="Century Gothic"/>
                <w:color w:val="000000"/>
              </w:rPr>
              <w:t xml:space="preserve">Probability of harvest </w:t>
            </w:r>
            <w:r w:rsidR="00B8360A" w:rsidRPr="00D80793">
              <w:rPr>
                <w:rFonts w:eastAsia="Century Gothic" w:cs="Century Gothic"/>
                <w:color w:val="000000"/>
              </w:rPr>
              <w:t>(ranging from 0-1)</w:t>
            </w:r>
          </w:p>
        </w:tc>
      </w:tr>
      <w:tr w:rsidR="00471C28" w:rsidRPr="00D80793" w14:paraId="0D1EF888" w14:textId="77777777">
        <w:trPr>
          <w:trHeight w:val="548"/>
        </w:trPr>
        <w:tc>
          <w:tcPr>
            <w:tcW w:w="2070" w:type="dxa"/>
            <w:shd w:val="clear" w:color="auto" w:fill="CCD4E5"/>
            <w:vAlign w:val="center"/>
          </w:tcPr>
          <w:p w14:paraId="000000B5" w14:textId="77777777" w:rsidR="00471C28" w:rsidRPr="00D80793" w:rsidRDefault="00CF15C9">
            <w:pPr>
              <w:pBdr>
                <w:top w:val="nil"/>
                <w:left w:val="nil"/>
                <w:bottom w:val="nil"/>
                <w:right w:val="nil"/>
                <w:between w:val="nil"/>
              </w:pBdr>
              <w:spacing w:before="60" w:after="120"/>
              <w:rPr>
                <w:rFonts w:eastAsia="Century Gothic" w:cs="Century Gothic"/>
                <w:vertAlign w:val="subscript"/>
              </w:rPr>
            </w:pPr>
            <w:r w:rsidRPr="00D80793">
              <w:rPr>
                <w:rFonts w:eastAsia="Century Gothic" w:cs="Century Gothic"/>
                <w:i/>
                <w:color w:val="000000"/>
              </w:rPr>
              <w:t>V</w:t>
            </w:r>
            <w:r w:rsidRPr="00D80793">
              <w:rPr>
                <w:rFonts w:eastAsia="Century Gothic" w:cs="Century Gothic"/>
                <w:i/>
                <w:color w:val="000000"/>
                <w:vertAlign w:val="subscript"/>
              </w:rPr>
              <w:t>T</w:t>
            </w:r>
          </w:p>
        </w:tc>
        <w:tc>
          <w:tcPr>
            <w:tcW w:w="6570" w:type="dxa"/>
            <w:shd w:val="clear" w:color="auto" w:fill="CCD4E5"/>
            <w:vAlign w:val="center"/>
          </w:tcPr>
          <w:p w14:paraId="000000B6" w14:textId="06F158AF" w:rsidR="00471C28" w:rsidRPr="00D80793" w:rsidRDefault="00CF15C9">
            <w:pPr>
              <w:pBdr>
                <w:top w:val="nil"/>
                <w:left w:val="nil"/>
                <w:bottom w:val="nil"/>
                <w:right w:val="nil"/>
                <w:between w:val="nil"/>
              </w:pBdr>
              <w:spacing w:before="60" w:after="120"/>
              <w:rPr>
                <w:rFonts w:eastAsia="Century Gothic" w:cs="Century Gothic"/>
                <w:color w:val="404040"/>
              </w:rPr>
            </w:pPr>
            <w:r w:rsidRPr="00D80793">
              <w:rPr>
                <w:rFonts w:eastAsia="Century Gothic" w:cs="Century Gothic"/>
                <w:color w:val="000000"/>
              </w:rPr>
              <w:t xml:space="preserve">Timber value of the stand </w:t>
            </w:r>
            <w:r w:rsidR="00056B1C" w:rsidRPr="00D80793">
              <w:rPr>
                <w:rFonts w:eastAsia="Century Gothic" w:cs="Century Gothic"/>
                <w:color w:val="000000"/>
              </w:rPr>
              <w:t>(monetary units or volume)</w:t>
            </w:r>
          </w:p>
        </w:tc>
      </w:tr>
      <w:tr w:rsidR="00471C28" w:rsidRPr="00D80793" w14:paraId="78313AAA" w14:textId="77777777">
        <w:trPr>
          <w:trHeight w:val="548"/>
        </w:trPr>
        <w:tc>
          <w:tcPr>
            <w:tcW w:w="2070" w:type="dxa"/>
            <w:shd w:val="clear" w:color="auto" w:fill="CCD4E5"/>
            <w:vAlign w:val="center"/>
          </w:tcPr>
          <w:p w14:paraId="000000B7" w14:textId="77777777" w:rsidR="00471C28" w:rsidRPr="00D80793" w:rsidRDefault="00CF15C9">
            <w:pPr>
              <w:pBdr>
                <w:top w:val="nil"/>
                <w:left w:val="nil"/>
                <w:bottom w:val="nil"/>
                <w:right w:val="nil"/>
                <w:between w:val="nil"/>
              </w:pBdr>
              <w:spacing w:before="60" w:after="120"/>
              <w:rPr>
                <w:rFonts w:eastAsia="Century Gothic" w:cs="Century Gothic"/>
                <w:vertAlign w:val="subscript"/>
              </w:rPr>
            </w:pPr>
            <w:r w:rsidRPr="00D80793">
              <w:rPr>
                <w:rFonts w:eastAsia="Century Gothic" w:cs="Century Gothic"/>
                <w:i/>
                <w:color w:val="000000"/>
              </w:rPr>
              <w:t>V</w:t>
            </w:r>
            <w:r w:rsidRPr="00D80793">
              <w:rPr>
                <w:rFonts w:eastAsia="Century Gothic" w:cs="Century Gothic"/>
                <w:i/>
                <w:color w:val="000000"/>
                <w:vertAlign w:val="subscript"/>
              </w:rPr>
              <w:t>NT</w:t>
            </w:r>
          </w:p>
        </w:tc>
        <w:tc>
          <w:tcPr>
            <w:tcW w:w="6570" w:type="dxa"/>
            <w:shd w:val="clear" w:color="auto" w:fill="CCD4E5"/>
            <w:vAlign w:val="center"/>
          </w:tcPr>
          <w:p w14:paraId="000000B8" w14:textId="17C2C37B" w:rsidR="00471C28" w:rsidRPr="00D80793" w:rsidRDefault="00CF15C9">
            <w:pPr>
              <w:pBdr>
                <w:top w:val="nil"/>
                <w:left w:val="nil"/>
                <w:bottom w:val="nil"/>
                <w:right w:val="nil"/>
                <w:between w:val="nil"/>
              </w:pBdr>
              <w:spacing w:before="60" w:after="120"/>
              <w:rPr>
                <w:rFonts w:eastAsia="Century Gothic" w:cs="Century Gothic"/>
                <w:color w:val="404040"/>
              </w:rPr>
            </w:pPr>
            <w:r w:rsidRPr="00D80793">
              <w:rPr>
                <w:rFonts w:eastAsia="Century Gothic" w:cs="Century Gothic"/>
                <w:color w:val="000000"/>
              </w:rPr>
              <w:t xml:space="preserve">Non-timber value of the stand </w:t>
            </w:r>
            <w:r w:rsidR="00056B1C" w:rsidRPr="00D80793">
              <w:rPr>
                <w:rFonts w:eastAsia="Century Gothic" w:cs="Century Gothic"/>
                <w:color w:val="000000"/>
              </w:rPr>
              <w:t>(monetary units or volume)</w:t>
            </w:r>
          </w:p>
        </w:tc>
      </w:tr>
      <w:tr w:rsidR="00471C28" w:rsidRPr="00D80793" w14:paraId="13A493FB" w14:textId="77777777">
        <w:trPr>
          <w:trHeight w:val="548"/>
        </w:trPr>
        <w:tc>
          <w:tcPr>
            <w:tcW w:w="2070" w:type="dxa"/>
            <w:shd w:val="clear" w:color="auto" w:fill="CCD4E5"/>
            <w:vAlign w:val="center"/>
          </w:tcPr>
          <w:p w14:paraId="000000B9" w14:textId="77777777" w:rsidR="00471C28" w:rsidRPr="00D80793" w:rsidRDefault="00CF15C9">
            <w:pPr>
              <w:pBdr>
                <w:top w:val="nil"/>
                <w:left w:val="nil"/>
                <w:bottom w:val="nil"/>
                <w:right w:val="nil"/>
                <w:between w:val="nil"/>
              </w:pBdr>
              <w:spacing w:before="60" w:after="120"/>
              <w:rPr>
                <w:rFonts w:eastAsia="Century Gothic" w:cs="Century Gothic"/>
                <w:i/>
                <w:color w:val="000000"/>
              </w:rPr>
            </w:pPr>
            <w:r w:rsidRPr="00D80793">
              <w:rPr>
                <w:rFonts w:eastAsia="Century Gothic" w:cs="Century Gothic"/>
                <w:i/>
                <w:color w:val="000000"/>
              </w:rPr>
              <w:t>C</w:t>
            </w:r>
            <w:r w:rsidRPr="00D80793">
              <w:rPr>
                <w:rFonts w:eastAsia="Century Gothic" w:cs="Century Gothic"/>
                <w:i/>
                <w:color w:val="000000"/>
                <w:vertAlign w:val="subscript"/>
              </w:rPr>
              <w:t>H</w:t>
            </w:r>
          </w:p>
        </w:tc>
        <w:tc>
          <w:tcPr>
            <w:tcW w:w="6570" w:type="dxa"/>
            <w:shd w:val="clear" w:color="auto" w:fill="CCD4E5"/>
            <w:vAlign w:val="center"/>
          </w:tcPr>
          <w:p w14:paraId="000000BA" w14:textId="7CFE94F7" w:rsidR="00471C28" w:rsidRPr="00D80793" w:rsidRDefault="00CF15C9">
            <w:pPr>
              <w:pBdr>
                <w:top w:val="nil"/>
                <w:left w:val="nil"/>
                <w:bottom w:val="nil"/>
                <w:right w:val="nil"/>
                <w:between w:val="nil"/>
              </w:pBdr>
              <w:spacing w:before="60" w:after="120"/>
              <w:rPr>
                <w:rFonts w:eastAsia="Century Gothic" w:cs="Century Gothic"/>
                <w:color w:val="000000"/>
              </w:rPr>
            </w:pPr>
            <w:r w:rsidRPr="00D80793">
              <w:rPr>
                <w:rFonts w:eastAsia="Century Gothic" w:cs="Century Gothic"/>
                <w:color w:val="000000"/>
              </w:rPr>
              <w:t xml:space="preserve">Cost of harvest </w:t>
            </w:r>
            <w:r w:rsidR="00056B1C" w:rsidRPr="00D80793">
              <w:rPr>
                <w:rFonts w:eastAsia="Century Gothic" w:cs="Century Gothic"/>
                <w:color w:val="000000"/>
              </w:rPr>
              <w:t>(monetary units)</w:t>
            </w:r>
          </w:p>
        </w:tc>
      </w:tr>
      <w:tr w:rsidR="00471C28" w:rsidRPr="00D80793" w14:paraId="2BCDC05A" w14:textId="77777777">
        <w:trPr>
          <w:trHeight w:val="548"/>
        </w:trPr>
        <w:tc>
          <w:tcPr>
            <w:tcW w:w="2070" w:type="dxa"/>
            <w:shd w:val="clear" w:color="auto" w:fill="CCD4E5"/>
            <w:vAlign w:val="center"/>
          </w:tcPr>
          <w:p w14:paraId="000000BB" w14:textId="77777777" w:rsidR="00471C28" w:rsidRPr="00D80793" w:rsidRDefault="00CF15C9">
            <w:pPr>
              <w:pBdr>
                <w:top w:val="nil"/>
                <w:left w:val="nil"/>
                <w:bottom w:val="nil"/>
                <w:right w:val="nil"/>
                <w:between w:val="nil"/>
              </w:pBdr>
              <w:spacing w:before="60" w:after="120"/>
              <w:rPr>
                <w:rFonts w:eastAsia="Century Gothic" w:cs="Century Gothic"/>
                <w:i/>
                <w:color w:val="000000"/>
              </w:rPr>
            </w:pPr>
            <w:r w:rsidRPr="00D80793">
              <w:rPr>
                <w:rFonts w:eastAsia="Century Gothic" w:cs="Century Gothic"/>
                <w:i/>
                <w:color w:val="000000"/>
              </w:rPr>
              <w:t>G</w:t>
            </w:r>
          </w:p>
        </w:tc>
        <w:tc>
          <w:tcPr>
            <w:tcW w:w="6570" w:type="dxa"/>
            <w:shd w:val="clear" w:color="auto" w:fill="CCD4E5"/>
            <w:vAlign w:val="center"/>
          </w:tcPr>
          <w:p w14:paraId="000000BC" w14:textId="77777777" w:rsidR="00471C28" w:rsidRPr="00D80793" w:rsidRDefault="00CF15C9">
            <w:pPr>
              <w:pBdr>
                <w:top w:val="nil"/>
                <w:left w:val="nil"/>
                <w:bottom w:val="nil"/>
                <w:right w:val="nil"/>
                <w:between w:val="nil"/>
              </w:pBdr>
              <w:spacing w:before="60" w:after="120"/>
              <w:rPr>
                <w:rFonts w:eastAsia="Century Gothic" w:cs="Century Gothic"/>
                <w:color w:val="000000"/>
              </w:rPr>
            </w:pPr>
            <w:r w:rsidRPr="00D80793">
              <w:rPr>
                <w:rFonts w:eastAsia="Century Gothic" w:cs="Century Gothic"/>
                <w:color w:val="000000"/>
              </w:rPr>
              <w:t>Grouping term that denotes forest stands with similar responses</w:t>
            </w:r>
          </w:p>
        </w:tc>
      </w:tr>
    </w:tbl>
    <w:p w14:paraId="000000BD" w14:textId="492DEB21" w:rsidR="00471C28" w:rsidRPr="00D80793" w:rsidRDefault="00471C28">
      <w:pPr>
        <w:spacing w:before="60" w:after="120" w:line="288" w:lineRule="auto"/>
        <w:ind w:left="720"/>
        <w:rPr>
          <w:rFonts w:eastAsia="Century Gothic" w:cs="Century Gothic"/>
          <w:color w:val="000000"/>
        </w:rPr>
      </w:pPr>
    </w:p>
    <w:p w14:paraId="01A2255D" w14:textId="10A828CD" w:rsidR="00056B1C" w:rsidRPr="00D80793" w:rsidRDefault="00056B1C">
      <w:pPr>
        <w:spacing w:before="60" w:after="120" w:line="288" w:lineRule="auto"/>
        <w:ind w:left="720"/>
        <w:rPr>
          <w:rFonts w:eastAsia="Century Gothic" w:cs="Century Gothic"/>
          <w:color w:val="000000"/>
        </w:rPr>
      </w:pPr>
      <w:r w:rsidRPr="00D80793">
        <w:rPr>
          <w:rFonts w:eastAsia="Century Gothic" w:cs="Century Gothic"/>
          <w:color w:val="000000"/>
        </w:rPr>
        <w:t>Note that the units for this framework will depend on the precise specification of the model and what variables are used to describe value and cost; examples of possible units are provided in the table.</w:t>
      </w:r>
    </w:p>
    <w:p w14:paraId="000000BE" w14:textId="1E7B9553" w:rsidR="00471C28" w:rsidRPr="00D80793" w:rsidRDefault="00CF15C9">
      <w:pPr>
        <w:spacing w:before="60" w:after="120" w:line="288" w:lineRule="auto"/>
        <w:ind w:left="720"/>
        <w:rPr>
          <w:rFonts w:eastAsia="Century Gothic" w:cs="Century Gothic"/>
          <w:color w:val="000000"/>
        </w:rPr>
      </w:pPr>
      <w:r w:rsidRPr="00D80793">
        <w:rPr>
          <w:rFonts w:eastAsia="Century Gothic" w:cs="Century Gothic"/>
          <w:color w:val="000000"/>
        </w:rPr>
        <w:t>Additional information and an application of the general structure above can be found in (</w:t>
      </w:r>
      <w:r w:rsidRPr="00D80793">
        <w:rPr>
          <w:rFonts w:eastAsia="Century Gothic" w:cs="Century Gothic"/>
        </w:rPr>
        <w:t>Table 11-1</w:t>
      </w:r>
      <w:r w:rsidRPr="00D80793">
        <w:rPr>
          <w:rFonts w:eastAsia="Century Gothic" w:cs="Century Gothic"/>
          <w:color w:val="000000"/>
        </w:rPr>
        <w:t xml:space="preserve">) of </w:t>
      </w:r>
      <w:r w:rsidRPr="00D80793">
        <w:rPr>
          <w:rFonts w:eastAsia="Century Gothic" w:cs="Century Gothic"/>
        </w:rPr>
        <w:t>Appendix A: Baseline Common practice harvest model</w:t>
      </w:r>
      <w:r w:rsidR="00BA39E1" w:rsidRPr="00D80793">
        <w:rPr>
          <w:rFonts w:eastAsia="Century Gothic" w:cs="Century Gothic"/>
          <w:color w:val="000000"/>
        </w:rPr>
        <w:t xml:space="preserve">. </w:t>
      </w:r>
    </w:p>
    <w:p w14:paraId="000000BF" w14:textId="2BC9339E" w:rsidR="00471C28" w:rsidRPr="00D80793" w:rsidRDefault="00CF15C9">
      <w:pPr>
        <w:spacing w:before="60" w:after="120" w:line="288" w:lineRule="auto"/>
        <w:ind w:left="720"/>
        <w:rPr>
          <w:rFonts w:eastAsia="Century Gothic" w:cs="Century Gothic"/>
        </w:rPr>
      </w:pPr>
      <w:r w:rsidRPr="00D80793">
        <w:rPr>
          <w:rFonts w:eastAsia="Century Gothic" w:cs="Century Gothic"/>
          <w:color w:val="000000"/>
        </w:rPr>
        <w:t>Predicted harvest volumes</w:t>
      </w:r>
      <w:r w:rsidR="007553A6" w:rsidRPr="00D80793">
        <w:rPr>
          <w:rFonts w:eastAsia="Century Gothic" w:cs="Century Gothic"/>
          <w:color w:val="000000"/>
        </w:rPr>
        <w:t>, used to estimate the proportion of carbon that would be removed in a harvest,</w:t>
      </w:r>
      <w:r w:rsidRPr="00D80793">
        <w:rPr>
          <w:rFonts w:eastAsia="Century Gothic" w:cs="Century Gothic"/>
          <w:color w:val="000000"/>
        </w:rPr>
        <w:t xml:space="preserve"> must be based on region- and forest type-specific normal silvicultural </w:t>
      </w:r>
      <w:r w:rsidRPr="00D80793">
        <w:rPr>
          <w:rFonts w:eastAsia="Century Gothic" w:cs="Century Gothic"/>
          <w:color w:val="000000"/>
        </w:rPr>
        <w:lastRenderedPageBreak/>
        <w:t>implementations as observed in an authoritative source such as national forest inventory data</w:t>
      </w:r>
      <w:r w:rsidR="00B72594" w:rsidRPr="00D80793">
        <w:rPr>
          <w:rFonts w:eastAsia="Century Gothic" w:cs="Century Gothic"/>
          <w:color w:val="000000"/>
        </w:rPr>
        <w:t>, peer-reviewed publications, or government/NGO reports; silvicultural implementations may also be</w:t>
      </w:r>
      <w:r w:rsidR="00F65BA1" w:rsidRPr="00D80793">
        <w:rPr>
          <w:rFonts w:eastAsia="Century Gothic" w:cs="Century Gothic"/>
          <w:color w:val="000000"/>
        </w:rPr>
        <w:t xml:space="preserve"> empirically derived from national forest inventory or other </w:t>
      </w:r>
      <w:r w:rsidR="00B72594" w:rsidRPr="00D80793">
        <w:rPr>
          <w:rFonts w:eastAsia="Century Gothic" w:cs="Century Gothic"/>
          <w:color w:val="000000"/>
        </w:rPr>
        <w:t xml:space="preserve">repeated </w:t>
      </w:r>
      <w:r w:rsidR="00F65BA1" w:rsidRPr="00D80793">
        <w:rPr>
          <w:rFonts w:eastAsia="Century Gothic" w:cs="Century Gothic"/>
          <w:color w:val="000000"/>
        </w:rPr>
        <w:t>measurements</w:t>
      </w:r>
      <w:r w:rsidR="00B72594" w:rsidRPr="00D80793">
        <w:rPr>
          <w:rFonts w:eastAsia="Century Gothic" w:cs="Century Gothic"/>
          <w:color w:val="000000"/>
        </w:rPr>
        <w:t xml:space="preserve"> </w:t>
      </w:r>
      <w:r w:rsidR="00F65BA1" w:rsidRPr="00D80793">
        <w:rPr>
          <w:rFonts w:eastAsia="Century Gothic" w:cs="Century Gothic"/>
          <w:color w:val="000000"/>
        </w:rPr>
        <w:t>in the region of interest</w:t>
      </w:r>
      <w:r w:rsidR="00B72594" w:rsidRPr="00D80793">
        <w:rPr>
          <w:rFonts w:eastAsia="Century Gothic" w:cs="Century Gothic"/>
          <w:color w:val="000000"/>
        </w:rPr>
        <w:t xml:space="preserve"> during model development</w:t>
      </w:r>
      <w:r w:rsidRPr="00D80793">
        <w:rPr>
          <w:rFonts w:eastAsia="Century Gothic" w:cs="Century Gothic"/>
          <w:color w:val="000000"/>
        </w:rPr>
        <w:t xml:space="preserve">. Inputs to the model must be grounded in academic research and/or empirical evidence. </w:t>
      </w:r>
      <w:r w:rsidRPr="00D80793">
        <w:rPr>
          <w:rFonts w:eastAsia="Century Gothic" w:cs="Century Gothic"/>
        </w:rPr>
        <w:t xml:space="preserve">Appendix A: Baseline Common practice harvest model </w:t>
      </w:r>
      <w:r w:rsidRPr="00D80793">
        <w:rPr>
          <w:rFonts w:eastAsia="Century Gothic" w:cs="Century Gothic"/>
          <w:color w:val="000000"/>
        </w:rPr>
        <w:t>describes one such predictive model that has undergone expert review and that has been approved for use in the context of this methodology. The output of this predictive model, carbon at risk of harvest during an activity period, forms the baseline scenario for projects utilizing this model. Should a project proponent choose to develop an alternative model for use as a dynamic performance benchmark, the project proponent must develop a new module for application within this methodology and such benchmark/module must undergo the required steps for methodology module approval in consultation with Verra.</w:t>
      </w:r>
    </w:p>
    <w:p w14:paraId="000000C0" w14:textId="77777777" w:rsidR="00471C28" w:rsidRDefault="00CF15C9" w:rsidP="00D80793">
      <w:pPr>
        <w:pStyle w:val="Heading1"/>
      </w:pPr>
      <w:bookmarkStart w:id="19" w:name="_Toc98322285"/>
      <w:r>
        <w:t>Additionality</w:t>
      </w:r>
      <w:bookmarkEnd w:id="19"/>
    </w:p>
    <w:p w14:paraId="000000C1" w14:textId="77777777" w:rsidR="00471C28" w:rsidRPr="00403AE6" w:rsidRDefault="00CF15C9">
      <w:pPr>
        <w:spacing w:before="60" w:after="120" w:line="288" w:lineRule="auto"/>
        <w:ind w:left="720"/>
        <w:rPr>
          <w:rFonts w:eastAsia="Century Gothic" w:cs="Century Gothic"/>
          <w:color w:val="000000"/>
        </w:rPr>
      </w:pPr>
      <w:r w:rsidRPr="00403AE6">
        <w:rPr>
          <w:rFonts w:eastAsia="Century Gothic" w:cs="Century Gothic"/>
          <w:color w:val="000000"/>
        </w:rPr>
        <w:t>This methodology uses a dynamic performance method for the demonstration of additionality.</w:t>
      </w:r>
    </w:p>
    <w:p w14:paraId="000000C2" w14:textId="77777777" w:rsidR="00471C28" w:rsidRPr="00403AE6" w:rsidRDefault="00CF15C9">
      <w:pPr>
        <w:spacing w:before="60" w:after="120" w:line="288" w:lineRule="auto"/>
        <w:ind w:left="720"/>
        <w:rPr>
          <w:rFonts w:eastAsia="Century Gothic" w:cs="Century Gothic"/>
          <w:b/>
          <w:color w:val="000000"/>
        </w:rPr>
      </w:pPr>
      <w:r w:rsidRPr="00403AE6">
        <w:rPr>
          <w:rFonts w:eastAsia="Century Gothic" w:cs="Century Gothic"/>
          <w:b/>
          <w:color w:val="000000"/>
        </w:rPr>
        <w:t>Step 1: Regulatory Surplus</w:t>
      </w:r>
    </w:p>
    <w:p w14:paraId="000000C3" w14:textId="77777777" w:rsidR="00471C28" w:rsidRPr="00403AE6" w:rsidRDefault="00CF15C9">
      <w:pPr>
        <w:spacing w:before="60" w:after="120" w:line="288" w:lineRule="auto"/>
        <w:ind w:left="720"/>
        <w:rPr>
          <w:rFonts w:eastAsia="Century Gothic" w:cs="Century Gothic"/>
          <w:color w:val="000000"/>
        </w:rPr>
      </w:pPr>
      <w:r w:rsidRPr="00403AE6">
        <w:rPr>
          <w:rFonts w:eastAsia="Century Gothic" w:cs="Century Gothic"/>
          <w:color w:val="000000"/>
        </w:rPr>
        <w:t xml:space="preserve">Project proponents must demonstrate regulatory surplus in accordance with the rules and requirements regarding regulatory surplus set out in the latest version of the </w:t>
      </w:r>
      <w:r w:rsidRPr="00403AE6">
        <w:rPr>
          <w:rFonts w:eastAsia="Century Gothic" w:cs="Century Gothic"/>
          <w:i/>
          <w:color w:val="000000"/>
        </w:rPr>
        <w:t>VCS Methodology Requirements.</w:t>
      </w:r>
      <w:r w:rsidRPr="00403AE6">
        <w:rPr>
          <w:rFonts w:eastAsia="Century Gothic" w:cs="Century Gothic"/>
          <w:color w:val="000000"/>
        </w:rPr>
        <w:t xml:space="preserve"> </w:t>
      </w:r>
    </w:p>
    <w:p w14:paraId="000000C4" w14:textId="77777777" w:rsidR="00471C28" w:rsidRPr="00403AE6" w:rsidRDefault="00CF15C9">
      <w:pPr>
        <w:spacing w:before="60" w:after="120" w:line="288" w:lineRule="auto"/>
        <w:ind w:left="720"/>
        <w:rPr>
          <w:rFonts w:eastAsia="Century Gothic" w:cs="Century Gothic"/>
          <w:b/>
          <w:color w:val="000000"/>
        </w:rPr>
      </w:pPr>
      <w:r w:rsidRPr="00403AE6">
        <w:rPr>
          <w:rFonts w:eastAsia="Century Gothic" w:cs="Century Gothic"/>
          <w:b/>
          <w:color w:val="000000"/>
        </w:rPr>
        <w:t>Step 2: Performance Benchmark</w:t>
      </w:r>
    </w:p>
    <w:p w14:paraId="000000C5" w14:textId="7672EC56" w:rsidR="00471C28" w:rsidRPr="00403AE6" w:rsidRDefault="00CF15C9">
      <w:pPr>
        <w:spacing w:before="60" w:after="120" w:line="288" w:lineRule="auto"/>
        <w:ind w:left="720"/>
        <w:rPr>
          <w:rFonts w:eastAsia="Century Gothic" w:cs="Century Gothic"/>
          <w:color w:val="000000"/>
        </w:rPr>
      </w:pPr>
      <w:r w:rsidRPr="00403AE6">
        <w:rPr>
          <w:rFonts w:eastAsia="Century Gothic" w:cs="Century Gothic"/>
          <w:color w:val="000000"/>
        </w:rPr>
        <w:t>The procedure described in Section 6 provides a dynamic performance benchmark in the form of carbon at risk of removal due to harvesting that would occur, in the absence of carbon finance, during the activity period. This performance benchmark forms the baseline scenario for the activity period. Deferral of harvests that would occur under the project scenario, as quantified in Section 8, are deemed additional</w:t>
      </w:r>
      <w:r w:rsidR="00983C9C" w:rsidRPr="00403AE6">
        <w:rPr>
          <w:rFonts w:eastAsia="Century Gothic" w:cs="Century Gothic"/>
          <w:color w:val="000000"/>
        </w:rPr>
        <w:t xml:space="preserve">. </w:t>
      </w:r>
    </w:p>
    <w:p w14:paraId="000000C6" w14:textId="77777777" w:rsidR="00471C28" w:rsidRPr="00D80793" w:rsidRDefault="00CF15C9" w:rsidP="00D80793">
      <w:pPr>
        <w:pStyle w:val="Heading1"/>
      </w:pPr>
      <w:bookmarkStart w:id="20" w:name="_Toc98322286"/>
      <w:r w:rsidRPr="00D80793">
        <w:t>Quantification of GHG Emission Reductions &amp; Removals</w:t>
      </w:r>
      <w:bookmarkEnd w:id="20"/>
    </w:p>
    <w:p w14:paraId="000000C7" w14:textId="77777777" w:rsidR="00471C28" w:rsidRPr="00D80793" w:rsidRDefault="00CF15C9">
      <w:pPr>
        <w:spacing w:before="60" w:after="120" w:line="288" w:lineRule="auto"/>
        <w:ind w:left="720"/>
        <w:rPr>
          <w:rFonts w:eastAsia="Century Gothic" w:cs="Century Gothic"/>
        </w:rPr>
      </w:pPr>
      <w:r w:rsidRPr="00D80793">
        <w:rPr>
          <w:rFonts w:eastAsia="Century Gothic" w:cs="Century Gothic"/>
        </w:rPr>
        <w:t xml:space="preserve">The methodology quantifies the GHG impact of harvesting less timber on participating properties during the activity period than would be harvested under the baseline scenario. Reducing the amount of timber harvested increases the average age of forests relative to the baseline scenario which also increases total carbon storage relative to the baseline scenario. </w:t>
      </w:r>
    </w:p>
    <w:p w14:paraId="000000C8" w14:textId="77777777" w:rsidR="00471C28" w:rsidRDefault="00CF15C9" w:rsidP="00D80793">
      <w:pPr>
        <w:pStyle w:val="Heading2"/>
      </w:pPr>
      <w:bookmarkStart w:id="21" w:name="_Toc98322287"/>
      <w:r>
        <w:t xml:space="preserve">Baseline </w:t>
      </w:r>
      <w:r w:rsidRPr="00D80793">
        <w:t>Emissions</w:t>
      </w:r>
      <w:bookmarkEnd w:id="21"/>
    </w:p>
    <w:p w14:paraId="000000C9" w14:textId="08233E52" w:rsidR="00471C28" w:rsidRPr="00D80793" w:rsidRDefault="00CF15C9">
      <w:pPr>
        <w:spacing w:before="60" w:after="120" w:line="288" w:lineRule="auto"/>
        <w:ind w:left="720"/>
        <w:rPr>
          <w:rFonts w:eastAsia="Century Gothic" w:cs="Century Gothic"/>
        </w:rPr>
      </w:pPr>
      <w:r w:rsidRPr="00D80793">
        <w:rPr>
          <w:rFonts w:eastAsia="Century Gothic" w:cs="Century Gothic"/>
        </w:rPr>
        <w:t xml:space="preserve">For each activity period, the baseline scenario is quantified by </w:t>
      </w:r>
      <w:r w:rsidR="00B72594" w:rsidRPr="00D80793">
        <w:rPr>
          <w:rFonts w:eastAsia="Century Gothic" w:cs="Century Gothic"/>
        </w:rPr>
        <w:t xml:space="preserve">summing </w:t>
      </w:r>
      <w:r w:rsidRPr="00D80793">
        <w:rPr>
          <w:rFonts w:eastAsia="Century Gothic" w:cs="Century Gothic"/>
        </w:rPr>
        <w:t>the BAU harvest assessment</w:t>
      </w:r>
      <w:r w:rsidR="00B72594" w:rsidRPr="00D80793">
        <w:rPr>
          <w:rFonts w:eastAsia="Century Gothic" w:cs="Century Gothic"/>
        </w:rPr>
        <w:t>s</w:t>
      </w:r>
      <w:r w:rsidRPr="00D80793">
        <w:rPr>
          <w:rFonts w:eastAsia="Century Gothic" w:cs="Century Gothic"/>
        </w:rPr>
        <w:t xml:space="preserve"> of all participating properties in the program area. </w:t>
      </w:r>
    </w:p>
    <w:p w14:paraId="000000CD" w14:textId="650CF21F" w:rsidR="00471C28" w:rsidRPr="00D80793" w:rsidRDefault="00CF15C9" w:rsidP="00280527">
      <w:pPr>
        <w:spacing w:before="60" w:after="120" w:line="288" w:lineRule="auto"/>
        <w:ind w:left="720"/>
        <w:rPr>
          <w:rFonts w:eastAsia="Century Gothic" w:cs="Century Gothic"/>
        </w:rPr>
      </w:pPr>
      <w:r w:rsidRPr="00D80793">
        <w:rPr>
          <w:rFonts w:eastAsia="Century Gothic" w:cs="Century Gothic"/>
        </w:rPr>
        <w:lastRenderedPageBreak/>
        <w:t>Stock change in the baseline scenario above ground live tree biomass carbon pool is calculated as follows:</w:t>
      </w:r>
    </w:p>
    <w:p w14:paraId="000000CE" w14:textId="77777777" w:rsidR="00471C28" w:rsidRDefault="00471C28">
      <w:pPr>
        <w:spacing w:before="60" w:after="120" w:line="288" w:lineRule="auto"/>
        <w:ind w:left="720"/>
        <w:rPr>
          <w:rFonts w:ascii="Century Gothic" w:eastAsia="Century Gothic" w:hAnsi="Century Gothic" w:cs="Century Gothic"/>
        </w:rPr>
      </w:pP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6930"/>
        <w:gridCol w:w="1700"/>
      </w:tblGrid>
      <w:tr w:rsidR="00540A8E" w:rsidRPr="00D80793" w14:paraId="352F6F0B" w14:textId="77777777">
        <w:tc>
          <w:tcPr>
            <w:tcW w:w="6930" w:type="dxa"/>
            <w:shd w:val="clear" w:color="auto" w:fill="auto"/>
            <w:vAlign w:val="center"/>
          </w:tcPr>
          <w:p w14:paraId="000000CF" w14:textId="60D1D9FC" w:rsidR="00540A8E" w:rsidRPr="00D80793" w:rsidRDefault="00000000" w:rsidP="00D80793">
            <w:pPr>
              <w:pStyle w:val="Equation"/>
              <w:rPr>
                <w:rFonts w:ascii="Franklin Gothic Book" w:eastAsia="Libre Franklin" w:hAnsi="Franklin Gothic Book" w:cs="Libre Franklin"/>
                <w:color w:val="4F5150" w:themeColor="text2"/>
                <w:kern w:val="21"/>
                <w:sz w:val="21"/>
                <w:szCs w:val="21"/>
              </w:rPr>
            </w:pPr>
            <m:oMathPara>
              <m:oMath>
                <m:sSub>
                  <m:sSubPr>
                    <m:ctrlPr>
                      <w:rPr>
                        <w:rFonts w:eastAsia="Cambria Math" w:cs="Cambria Math"/>
                        <w:color w:val="4F5150" w:themeColor="text2"/>
                        <w:kern w:val="21"/>
                        <w:sz w:val="21"/>
                        <w:szCs w:val="21"/>
                      </w:rPr>
                    </m:ctrlPr>
                  </m:sSubPr>
                  <m:e>
                    <m:r>
                      <w:rPr>
                        <w:rFonts w:eastAsia="Cambria Math" w:cs="Cambria Math"/>
                        <w:color w:val="4F5150" w:themeColor="text2"/>
                        <w:kern w:val="21"/>
                        <w:sz w:val="21"/>
                        <w:szCs w:val="21"/>
                      </w:rPr>
                      <m:t>∆CO2</m:t>
                    </m:r>
                  </m:e>
                  <m:sub>
                    <m:r>
                      <w:rPr>
                        <w:rFonts w:eastAsia="Cambria Math" w:cs="Cambria Math"/>
                        <w:color w:val="4F5150" w:themeColor="text2"/>
                        <w:kern w:val="21"/>
                        <w:sz w:val="21"/>
                        <w:szCs w:val="21"/>
                      </w:rPr>
                      <m:t>bsl,t</m:t>
                    </m:r>
                  </m:sub>
                </m:sSub>
                <m:r>
                  <w:rPr>
                    <w:rFonts w:eastAsia="Cambria Math" w:cs="Cambria Math"/>
                    <w:color w:val="4F5150" w:themeColor="text2"/>
                    <w:kern w:val="21"/>
                    <w:sz w:val="21"/>
                    <w:szCs w:val="21"/>
                  </w:rPr>
                  <m:t>=</m:t>
                </m:r>
                <m:nary>
                  <m:naryPr>
                    <m:chr m:val="∑"/>
                    <m:ctrlPr>
                      <w:rPr>
                        <w:rFonts w:eastAsia="Cambria Math" w:cs="Cambria Math"/>
                        <w:color w:val="4F5150" w:themeColor="text2"/>
                        <w:kern w:val="21"/>
                        <w:sz w:val="21"/>
                        <w:szCs w:val="21"/>
                      </w:rPr>
                    </m:ctrlPr>
                  </m:naryPr>
                  <m:sub>
                    <m:r>
                      <w:rPr>
                        <w:rFonts w:eastAsia="Cambria Math" w:cs="Cambria Math"/>
                        <w:color w:val="4F5150" w:themeColor="text2"/>
                        <w:kern w:val="21"/>
                        <w:sz w:val="21"/>
                        <w:szCs w:val="21"/>
                      </w:rPr>
                      <m:t>i=1</m:t>
                    </m:r>
                  </m:sub>
                  <m:sup>
                    <m:r>
                      <w:rPr>
                        <w:rFonts w:eastAsia="Cambria Math" w:cs="Cambria Math"/>
                        <w:color w:val="4F5150" w:themeColor="text2"/>
                        <w:kern w:val="21"/>
                        <w:sz w:val="21"/>
                        <w:szCs w:val="21"/>
                      </w:rPr>
                      <m:t>n</m:t>
                    </m:r>
                  </m:sup>
                  <m:e>
                    <m:sSub>
                      <m:sSubPr>
                        <m:ctrlPr>
                          <w:rPr>
                            <w:rFonts w:eastAsia="Cambria Math" w:cs="Cambria Math"/>
                            <w:color w:val="4F5150" w:themeColor="text2"/>
                            <w:kern w:val="21"/>
                            <w:sz w:val="21"/>
                            <w:szCs w:val="21"/>
                          </w:rPr>
                        </m:ctrlPr>
                      </m:sSubPr>
                      <m:e>
                        <m:sSub>
                          <m:sSubPr>
                            <m:ctrlPr>
                              <w:rPr>
                                <w:rFonts w:eastAsia="Libre Franklin" w:cs="Libre Franklin"/>
                                <w:color w:val="4F5150" w:themeColor="text2"/>
                                <w:kern w:val="21"/>
                                <w:sz w:val="21"/>
                                <w:szCs w:val="21"/>
                              </w:rPr>
                            </m:ctrlPr>
                          </m:sSubPr>
                          <m:e>
                            <m:r>
                              <w:rPr>
                                <w:rFonts w:eastAsia="Libre Franklin" w:cs="Libre Franklin"/>
                                <w:color w:val="4F5150" w:themeColor="text2"/>
                                <w:kern w:val="21"/>
                                <w:sz w:val="21"/>
                                <w:szCs w:val="21"/>
                              </w:rPr>
                              <m:t>(1+G</m:t>
                            </m:r>
                          </m:e>
                          <m:sub>
                            <m:r>
                              <w:rPr>
                                <w:rFonts w:eastAsia="Libre Franklin" w:cs="Libre Franklin"/>
                                <w:color w:val="4F5150" w:themeColor="text2"/>
                                <w:kern w:val="21"/>
                                <w:sz w:val="21"/>
                                <w:szCs w:val="21"/>
                              </w:rPr>
                              <m:t>bsl, t, i</m:t>
                            </m:r>
                          </m:sub>
                        </m:sSub>
                        <m:r>
                          <w:rPr>
                            <w:rFonts w:eastAsia="Cambria Math" w:cs="Cambria Math"/>
                            <w:color w:val="4F5150" w:themeColor="text2"/>
                            <w:kern w:val="21"/>
                            <w:sz w:val="21"/>
                            <w:szCs w:val="21"/>
                          </w:rPr>
                          <m:t>)* C</m:t>
                        </m:r>
                      </m:e>
                      <m:sub>
                        <m:r>
                          <w:rPr>
                            <w:rFonts w:eastAsia="Cambria Math" w:cs="Cambria Math"/>
                            <w:color w:val="4F5150" w:themeColor="text2"/>
                            <w:kern w:val="21"/>
                            <w:sz w:val="21"/>
                            <w:szCs w:val="21"/>
                          </w:rPr>
                          <m:t>t0, i</m:t>
                        </m:r>
                      </m:sub>
                    </m:sSub>
                  </m:e>
                </m:nary>
                <m:r>
                  <w:rPr>
                    <w:rFonts w:eastAsia="Cambria Math" w:cs="Cambria Math"/>
                    <w:color w:val="4F5150" w:themeColor="text2"/>
                    <w:kern w:val="21"/>
                    <w:sz w:val="21"/>
                    <w:szCs w:val="21"/>
                  </w:rPr>
                  <m:t>*</m:t>
                </m:r>
                <m:d>
                  <m:dPr>
                    <m:ctrlPr>
                      <w:rPr>
                        <w:rFonts w:eastAsia="Cambria Math" w:cs="Cambria Math"/>
                        <w:color w:val="4F5150" w:themeColor="text2"/>
                        <w:kern w:val="21"/>
                        <w:sz w:val="21"/>
                        <w:szCs w:val="21"/>
                      </w:rPr>
                    </m:ctrlPr>
                  </m:dPr>
                  <m:e>
                    <m:r>
                      <w:rPr>
                        <w:rFonts w:eastAsia="Cambria Math" w:cs="Cambria Math"/>
                        <w:color w:val="4F5150" w:themeColor="text2"/>
                        <w:kern w:val="21"/>
                        <w:sz w:val="21"/>
                        <w:szCs w:val="21"/>
                      </w:rPr>
                      <m:t xml:space="preserve">1- </m:t>
                    </m:r>
                    <m:sSub>
                      <m:sSubPr>
                        <m:ctrlPr>
                          <w:rPr>
                            <w:rFonts w:eastAsia="Cambria Math" w:cs="Cambria Math"/>
                            <w:color w:val="4F5150" w:themeColor="text2"/>
                            <w:kern w:val="21"/>
                            <w:sz w:val="21"/>
                            <w:szCs w:val="21"/>
                          </w:rPr>
                        </m:ctrlPr>
                      </m:sSubPr>
                      <m:e>
                        <m:r>
                          <w:rPr>
                            <w:rFonts w:eastAsia="Cambria Math" w:cs="Cambria Math"/>
                            <w:color w:val="4F5150" w:themeColor="text2"/>
                            <w:kern w:val="21"/>
                            <w:sz w:val="21"/>
                            <w:szCs w:val="21"/>
                          </w:rPr>
                          <m:t>r</m:t>
                        </m:r>
                      </m:e>
                      <m:sub>
                        <m:r>
                          <w:rPr>
                            <w:rFonts w:eastAsia="Cambria Math" w:cs="Cambria Math"/>
                            <w:color w:val="4F5150" w:themeColor="text2"/>
                            <w:kern w:val="21"/>
                            <w:sz w:val="21"/>
                            <w:szCs w:val="21"/>
                          </w:rPr>
                          <m:t>i</m:t>
                        </m:r>
                      </m:sub>
                    </m:sSub>
                  </m:e>
                </m:d>
                <m:r>
                  <w:rPr>
                    <w:rFonts w:eastAsia="Cambria Math" w:cs="Cambria Math"/>
                    <w:color w:val="4F5150" w:themeColor="text2"/>
                    <w:kern w:val="21"/>
                    <w:sz w:val="21"/>
                    <w:szCs w:val="21"/>
                  </w:rPr>
                  <m:t xml:space="preserve"> -</m:t>
                </m:r>
                <m:nary>
                  <m:naryPr>
                    <m:chr m:val="∑"/>
                    <m:ctrlPr>
                      <w:rPr>
                        <w:rFonts w:eastAsia="Cambria Math" w:cs="Cambria Math"/>
                        <w:color w:val="4F5150" w:themeColor="text2"/>
                        <w:kern w:val="21"/>
                        <w:sz w:val="21"/>
                        <w:szCs w:val="21"/>
                      </w:rPr>
                    </m:ctrlPr>
                  </m:naryPr>
                  <m:sub>
                    <m:r>
                      <w:rPr>
                        <w:rFonts w:eastAsia="Cambria Math" w:cs="Cambria Math"/>
                        <w:color w:val="4F5150" w:themeColor="text2"/>
                        <w:kern w:val="21"/>
                        <w:sz w:val="21"/>
                        <w:szCs w:val="21"/>
                      </w:rPr>
                      <m:t>i=1</m:t>
                    </m:r>
                  </m:sub>
                  <m:sup>
                    <m:r>
                      <w:rPr>
                        <w:rFonts w:eastAsia="Cambria Math" w:cs="Cambria Math"/>
                        <w:color w:val="4F5150" w:themeColor="text2"/>
                        <w:kern w:val="21"/>
                        <w:sz w:val="21"/>
                        <w:szCs w:val="21"/>
                      </w:rPr>
                      <m:t>n</m:t>
                    </m:r>
                  </m:sup>
                  <m:e>
                    <m:sSub>
                      <m:sSubPr>
                        <m:ctrlPr>
                          <w:rPr>
                            <w:rFonts w:eastAsia="Cambria Math" w:cs="Cambria Math"/>
                            <w:color w:val="4F5150" w:themeColor="text2"/>
                            <w:kern w:val="21"/>
                            <w:sz w:val="21"/>
                            <w:szCs w:val="21"/>
                          </w:rPr>
                        </m:ctrlPr>
                      </m:sSubPr>
                      <m:e>
                        <m:r>
                          <w:rPr>
                            <w:rFonts w:eastAsia="Cambria Math" w:cs="Cambria Math"/>
                            <w:color w:val="4F5150" w:themeColor="text2"/>
                            <w:kern w:val="21"/>
                            <w:sz w:val="21"/>
                            <w:szCs w:val="21"/>
                          </w:rPr>
                          <m:t>C</m:t>
                        </m:r>
                      </m:e>
                      <m:sub>
                        <m:r>
                          <w:rPr>
                            <w:rFonts w:eastAsia="Cambria Math" w:cs="Cambria Math"/>
                            <w:color w:val="4F5150" w:themeColor="text2"/>
                            <w:kern w:val="21"/>
                            <w:sz w:val="21"/>
                            <w:szCs w:val="21"/>
                          </w:rPr>
                          <m:t>t0, i</m:t>
                        </m:r>
                      </m:sub>
                    </m:sSub>
                  </m:e>
                </m:nary>
                <m:r>
                  <w:rPr>
                    <w:rFonts w:eastAsia="Cambria Math" w:cs="Cambria Math"/>
                    <w:color w:val="4F5150" w:themeColor="text2"/>
                    <w:kern w:val="21"/>
                    <w:sz w:val="21"/>
                    <w:szCs w:val="21"/>
                  </w:rPr>
                  <m:t xml:space="preserve"> </m:t>
                </m:r>
              </m:oMath>
            </m:oMathPara>
          </w:p>
        </w:tc>
        <w:tc>
          <w:tcPr>
            <w:tcW w:w="1700" w:type="dxa"/>
            <w:vMerge w:val="restart"/>
            <w:shd w:val="clear" w:color="auto" w:fill="auto"/>
            <w:vAlign w:val="center"/>
          </w:tcPr>
          <w:p w14:paraId="000000D0" w14:textId="1DB48C1C" w:rsidR="00540A8E" w:rsidRPr="00D80793" w:rsidRDefault="00EA0739" w:rsidP="00D80793">
            <w:pPr>
              <w:pStyle w:val="Equation"/>
              <w:rPr>
                <w:rFonts w:ascii="Franklin Gothic Book" w:eastAsia="Libre Franklin" w:hAnsi="Franklin Gothic Book" w:cs="Libre Franklin"/>
                <w:color w:val="4F5150" w:themeColor="text2"/>
                <w:kern w:val="21"/>
                <w:sz w:val="21"/>
                <w:szCs w:val="21"/>
              </w:rPr>
            </w:pPr>
            <w:bookmarkStart w:id="22" w:name="_heading=h.1ci93xb" w:colFirst="0" w:colLast="0"/>
            <w:bookmarkEnd w:id="22"/>
            <w:r w:rsidRPr="00D80793">
              <w:rPr>
                <w:rFonts w:ascii="Franklin Gothic Book" w:eastAsia="Libre Franklin" w:hAnsi="Franklin Gothic Book" w:cs="Libre Franklin"/>
                <w:color w:val="4F5150" w:themeColor="text2"/>
                <w:kern w:val="21"/>
                <w:sz w:val="21"/>
                <w:szCs w:val="21"/>
              </w:rPr>
              <w:t xml:space="preserve"> </w:t>
            </w:r>
          </w:p>
          <w:p w14:paraId="000000D1" w14:textId="46D986A1" w:rsidR="00540A8E" w:rsidRPr="00D80793" w:rsidRDefault="00540A8E" w:rsidP="00403AE6">
            <w:bookmarkStart w:id="23" w:name="_heading=h.3whwml4" w:colFirst="0" w:colLast="0"/>
            <w:bookmarkEnd w:id="23"/>
            <w:r w:rsidRPr="00D80793">
              <w:t>(</w:t>
            </w:r>
            <w:r w:rsidR="00403AE6">
              <w:t>1</w:t>
            </w:r>
            <w:r w:rsidRPr="00D80793">
              <w:t>)</w:t>
            </w:r>
          </w:p>
        </w:tc>
      </w:tr>
      <w:tr w:rsidR="00540A8E" w:rsidRPr="00D80793" w14:paraId="77C3BE4D" w14:textId="77777777">
        <w:tc>
          <w:tcPr>
            <w:tcW w:w="6930" w:type="dxa"/>
            <w:shd w:val="clear" w:color="auto" w:fill="auto"/>
            <w:vAlign w:val="center"/>
          </w:tcPr>
          <w:p w14:paraId="000000D2" w14:textId="5A79FDFA" w:rsidR="00540A8E" w:rsidRPr="00D80793" w:rsidRDefault="00540A8E" w:rsidP="00D80793">
            <w:pPr>
              <w:pStyle w:val="Equation"/>
              <w:rPr>
                <w:rFonts w:ascii="Franklin Gothic Book" w:eastAsia="Libre Franklin" w:hAnsi="Franklin Gothic Book" w:cs="Libre Franklin"/>
                <w:color w:val="4F5150" w:themeColor="text2"/>
                <w:kern w:val="21"/>
                <w:sz w:val="21"/>
                <w:szCs w:val="21"/>
              </w:rPr>
            </w:pPr>
          </w:p>
        </w:tc>
        <w:tc>
          <w:tcPr>
            <w:tcW w:w="1700" w:type="dxa"/>
            <w:vMerge/>
            <w:shd w:val="clear" w:color="auto" w:fill="auto"/>
            <w:vAlign w:val="center"/>
          </w:tcPr>
          <w:p w14:paraId="000000D3" w14:textId="77777777" w:rsidR="00540A8E" w:rsidRPr="00D80793" w:rsidRDefault="00540A8E" w:rsidP="00D80793">
            <w:pPr>
              <w:pStyle w:val="Equation"/>
              <w:rPr>
                <w:rFonts w:ascii="Franklin Gothic Book" w:eastAsia="Libre Franklin" w:hAnsi="Franklin Gothic Book" w:cs="Libre Franklin"/>
                <w:color w:val="4F5150" w:themeColor="text2"/>
                <w:kern w:val="21"/>
                <w:sz w:val="21"/>
                <w:szCs w:val="21"/>
              </w:rPr>
            </w:pPr>
          </w:p>
        </w:tc>
      </w:tr>
      <w:tr w:rsidR="00540A8E" w14:paraId="01CC9A8A" w14:textId="77777777">
        <w:tc>
          <w:tcPr>
            <w:tcW w:w="6930" w:type="dxa"/>
            <w:shd w:val="clear" w:color="auto" w:fill="auto"/>
            <w:vAlign w:val="center"/>
          </w:tcPr>
          <w:p w14:paraId="000000D4" w14:textId="51B72E6A" w:rsidR="00540A8E" w:rsidRDefault="00540A8E">
            <w:pPr>
              <w:jc w:val="center"/>
              <w:rPr>
                <w:rFonts w:ascii="Cambria Math" w:eastAsia="Cambria Math" w:hAnsi="Cambria Math" w:cs="Cambria Math"/>
              </w:rPr>
            </w:pPr>
          </w:p>
        </w:tc>
        <w:tc>
          <w:tcPr>
            <w:tcW w:w="1700" w:type="dxa"/>
            <w:vMerge/>
            <w:shd w:val="clear" w:color="auto" w:fill="auto"/>
            <w:vAlign w:val="center"/>
          </w:tcPr>
          <w:p w14:paraId="000000D5" w14:textId="77777777" w:rsidR="00540A8E" w:rsidRDefault="00540A8E">
            <w:pPr>
              <w:widowControl w:val="0"/>
              <w:pBdr>
                <w:top w:val="nil"/>
                <w:left w:val="nil"/>
                <w:bottom w:val="nil"/>
                <w:right w:val="nil"/>
                <w:between w:val="nil"/>
              </w:pBdr>
              <w:spacing w:line="276" w:lineRule="auto"/>
              <w:rPr>
                <w:rFonts w:ascii="Cambria Math" w:eastAsia="Cambria Math" w:hAnsi="Cambria Math" w:cs="Cambria Math"/>
              </w:rPr>
            </w:pPr>
          </w:p>
        </w:tc>
      </w:tr>
    </w:tbl>
    <w:p w14:paraId="000000D6" w14:textId="77777777" w:rsidR="00471C28" w:rsidRPr="00D80793" w:rsidRDefault="00CF15C9">
      <w:pPr>
        <w:tabs>
          <w:tab w:val="left" w:pos="7920"/>
        </w:tabs>
        <w:spacing w:before="60" w:after="120" w:line="288" w:lineRule="auto"/>
        <w:ind w:left="720"/>
        <w:rPr>
          <w:rFonts w:eastAsia="Century Gothic" w:cs="Century Gothic"/>
        </w:rPr>
      </w:pPr>
      <w:r w:rsidRPr="00D80793">
        <w:rPr>
          <w:rFonts w:eastAsia="Century Gothic" w:cs="Century Gothic"/>
        </w:rPr>
        <w:t xml:space="preserve">Where: </w:t>
      </w:r>
    </w:p>
    <w:tbl>
      <w:tblPr>
        <w:tblW w:w="8640" w:type="dxa"/>
        <w:tblInd w:w="7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070"/>
        <w:gridCol w:w="6570"/>
      </w:tblGrid>
      <w:tr w:rsidR="00540A8E" w:rsidRPr="00D80793" w14:paraId="439D74BA" w14:textId="77777777" w:rsidTr="00271926">
        <w:trPr>
          <w:trHeight w:val="548"/>
        </w:trPr>
        <w:tc>
          <w:tcPr>
            <w:tcW w:w="2070" w:type="dxa"/>
            <w:shd w:val="clear" w:color="auto" w:fill="99A9CC" w:themeFill="accent2" w:themeFillTint="66"/>
            <w:vAlign w:val="center"/>
          </w:tcPr>
          <w:p w14:paraId="39F322CB" w14:textId="016FA9D5" w:rsidR="00540A8E" w:rsidRPr="00D80793" w:rsidRDefault="00540A8E" w:rsidP="00540A8E">
            <w:pPr>
              <w:spacing w:before="60" w:after="120"/>
              <w:rPr>
                <w:rFonts w:eastAsia="Century Gothic" w:cs="Century Gothic"/>
              </w:rPr>
            </w:pPr>
            <w:r w:rsidRPr="00D80793">
              <w:rPr>
                <w:rFonts w:eastAsia="Century Gothic" w:cs="Century Gothic"/>
                <w:color w:val="000000"/>
              </w:rPr>
              <w:t>∆</w:t>
            </w:r>
            <w:r w:rsidRPr="00D80793">
              <w:rPr>
                <w:rFonts w:eastAsia="Century Gothic" w:cs="Century Gothic"/>
              </w:rPr>
              <w:t>CO2</w:t>
            </w:r>
            <w:proofErr w:type="gramStart"/>
            <w:r w:rsidRPr="00D80793">
              <w:rPr>
                <w:rFonts w:eastAsia="Century Gothic" w:cs="Century Gothic"/>
                <w:vertAlign w:val="subscript"/>
              </w:rPr>
              <w:t>bsl,t</w:t>
            </w:r>
            <w:proofErr w:type="gramEnd"/>
          </w:p>
        </w:tc>
        <w:tc>
          <w:tcPr>
            <w:tcW w:w="6570" w:type="dxa"/>
            <w:shd w:val="clear" w:color="auto" w:fill="99A9CC" w:themeFill="accent2" w:themeFillTint="66"/>
            <w:vAlign w:val="center"/>
          </w:tcPr>
          <w:p w14:paraId="3F8A9C5D" w14:textId="33D2F3AC" w:rsidR="00540A8E" w:rsidRPr="00D80793" w:rsidRDefault="00540A8E" w:rsidP="00540A8E">
            <w:pPr>
              <w:spacing w:before="60" w:after="120"/>
              <w:rPr>
                <w:rFonts w:eastAsia="Century Gothic" w:cs="Century Gothic"/>
              </w:rPr>
            </w:pPr>
            <w:r w:rsidRPr="00D80793">
              <w:rPr>
                <w:rFonts w:eastAsia="Century Gothic" w:cs="Century Gothic"/>
              </w:rPr>
              <w:t>Stock change in above ground live tree biomass in the baseline scenario in the activity period, t; (tCO</w:t>
            </w:r>
            <w:r w:rsidRPr="00D80793">
              <w:rPr>
                <w:rFonts w:eastAsia="Century Gothic" w:cs="Century Gothic"/>
                <w:vertAlign w:val="subscript"/>
              </w:rPr>
              <w:t>2</w:t>
            </w:r>
            <w:r w:rsidRPr="00D80793">
              <w:rPr>
                <w:rFonts w:eastAsia="Century Gothic" w:cs="Century Gothic"/>
              </w:rPr>
              <w:t>)</w:t>
            </w:r>
          </w:p>
        </w:tc>
      </w:tr>
      <w:tr w:rsidR="00902150" w:rsidRPr="00D80793" w14:paraId="44EEF347" w14:textId="77777777">
        <w:trPr>
          <w:trHeight w:val="548"/>
        </w:trPr>
        <w:tc>
          <w:tcPr>
            <w:tcW w:w="2070" w:type="dxa"/>
            <w:shd w:val="clear" w:color="auto" w:fill="CCD4E5"/>
            <w:vAlign w:val="center"/>
          </w:tcPr>
          <w:p w14:paraId="0B89060B" w14:textId="185C8960" w:rsidR="00902150" w:rsidRPr="00D80793" w:rsidRDefault="004C4539" w:rsidP="00540A8E">
            <w:pPr>
              <w:spacing w:before="60" w:after="120"/>
              <w:rPr>
                <w:rFonts w:eastAsia="Century Gothic" w:cs="Century Gothic"/>
              </w:rPr>
            </w:pPr>
            <w:proofErr w:type="spellStart"/>
            <w:proofErr w:type="gramStart"/>
            <w:r w:rsidRPr="00D80793">
              <w:rPr>
                <w:rFonts w:eastAsia="Century Gothic" w:cs="Century Gothic"/>
              </w:rPr>
              <w:t>G</w:t>
            </w:r>
            <w:r w:rsidRPr="00D80793">
              <w:rPr>
                <w:rFonts w:eastAsia="Century Gothic" w:cs="Century Gothic"/>
                <w:vertAlign w:val="subscript"/>
              </w:rPr>
              <w:t>bsl,t</w:t>
            </w:r>
            <w:proofErr w:type="gramEnd"/>
            <w:r w:rsidR="007504E4" w:rsidRPr="00D80793">
              <w:rPr>
                <w:rFonts w:eastAsia="Century Gothic" w:cs="Century Gothic"/>
                <w:vertAlign w:val="subscript"/>
              </w:rPr>
              <w:t>,i</w:t>
            </w:r>
            <w:proofErr w:type="spellEnd"/>
          </w:p>
        </w:tc>
        <w:tc>
          <w:tcPr>
            <w:tcW w:w="6570" w:type="dxa"/>
            <w:shd w:val="clear" w:color="auto" w:fill="CCD4E5"/>
            <w:vAlign w:val="center"/>
          </w:tcPr>
          <w:p w14:paraId="22B99752" w14:textId="3D761910" w:rsidR="00902150" w:rsidRPr="00D80793" w:rsidRDefault="00902150" w:rsidP="00540A8E">
            <w:pPr>
              <w:spacing w:before="60" w:after="120"/>
              <w:rPr>
                <w:rFonts w:eastAsia="Century Gothic" w:cs="Century Gothic"/>
              </w:rPr>
            </w:pPr>
            <w:r w:rsidRPr="00D80793">
              <w:rPr>
                <w:szCs w:val="21"/>
              </w:rPr>
              <w:t>Biological growth rate in above ground live tree biomass in the</w:t>
            </w:r>
            <w:r w:rsidR="007504E4" w:rsidRPr="00D80793">
              <w:rPr>
                <w:szCs w:val="21"/>
              </w:rPr>
              <w:t xml:space="preserve"> participating property, </w:t>
            </w:r>
            <w:proofErr w:type="spellStart"/>
            <w:r w:rsidR="007504E4" w:rsidRPr="00D80793">
              <w:rPr>
                <w:szCs w:val="21"/>
              </w:rPr>
              <w:t>i</w:t>
            </w:r>
            <w:proofErr w:type="spellEnd"/>
            <w:r w:rsidR="007504E4" w:rsidRPr="00D80793">
              <w:rPr>
                <w:szCs w:val="21"/>
              </w:rPr>
              <w:t>,</w:t>
            </w:r>
            <w:r w:rsidRPr="00D80793">
              <w:rPr>
                <w:szCs w:val="21"/>
              </w:rPr>
              <w:t xml:space="preserve"> during the activity period, t; (percent)</w:t>
            </w:r>
          </w:p>
        </w:tc>
      </w:tr>
      <w:tr w:rsidR="00540A8E" w:rsidRPr="00D80793" w14:paraId="4640ED85" w14:textId="77777777">
        <w:trPr>
          <w:trHeight w:val="548"/>
        </w:trPr>
        <w:tc>
          <w:tcPr>
            <w:tcW w:w="2070" w:type="dxa"/>
            <w:shd w:val="clear" w:color="auto" w:fill="CCD4E5"/>
            <w:vAlign w:val="center"/>
          </w:tcPr>
          <w:p w14:paraId="000000D9" w14:textId="77777777" w:rsidR="00540A8E" w:rsidRPr="00D80793" w:rsidRDefault="00540A8E" w:rsidP="00540A8E">
            <w:pPr>
              <w:spacing w:before="60" w:after="120"/>
              <w:rPr>
                <w:rFonts w:eastAsia="Century Gothic" w:cs="Century Gothic"/>
                <w:vertAlign w:val="subscript"/>
              </w:rPr>
            </w:pPr>
            <w:bookmarkStart w:id="24" w:name="_heading=h.2bn6wsx" w:colFirst="0" w:colLast="0"/>
            <w:bookmarkEnd w:id="24"/>
            <w:r w:rsidRPr="00D80793">
              <w:rPr>
                <w:rFonts w:eastAsia="Century Gothic" w:cs="Century Gothic"/>
              </w:rPr>
              <w:t>C</w:t>
            </w:r>
            <w:r w:rsidRPr="00D80793">
              <w:rPr>
                <w:rFonts w:eastAsia="Century Gothic" w:cs="Century Gothic"/>
                <w:vertAlign w:val="subscript"/>
              </w:rPr>
              <w:t>t</w:t>
            </w:r>
            <w:proofErr w:type="gramStart"/>
            <w:r w:rsidRPr="00D80793">
              <w:rPr>
                <w:rFonts w:eastAsia="Century Gothic" w:cs="Century Gothic"/>
                <w:vertAlign w:val="subscript"/>
              </w:rPr>
              <w:t>0,i</w:t>
            </w:r>
            <w:proofErr w:type="gramEnd"/>
          </w:p>
        </w:tc>
        <w:tc>
          <w:tcPr>
            <w:tcW w:w="6570" w:type="dxa"/>
            <w:shd w:val="clear" w:color="auto" w:fill="CCD4E5"/>
            <w:vAlign w:val="center"/>
          </w:tcPr>
          <w:p w14:paraId="000000DA" w14:textId="77777777" w:rsidR="00540A8E" w:rsidRPr="00D80793" w:rsidRDefault="00540A8E" w:rsidP="00540A8E">
            <w:pPr>
              <w:spacing w:before="60" w:after="120"/>
              <w:rPr>
                <w:rFonts w:eastAsia="Century Gothic" w:cs="Century Gothic"/>
                <w:color w:val="404040"/>
              </w:rPr>
            </w:pPr>
            <w:r w:rsidRPr="00D80793">
              <w:rPr>
                <w:rFonts w:eastAsia="Century Gothic" w:cs="Century Gothic"/>
              </w:rPr>
              <w:t xml:space="preserve">Carbon contained in above ground live tree biomass at the beginning of the activity period (t0), for participating property, </w:t>
            </w:r>
            <w:proofErr w:type="spellStart"/>
            <w:r w:rsidRPr="00D80793">
              <w:rPr>
                <w:rFonts w:eastAsia="Century Gothic" w:cs="Century Gothic"/>
              </w:rPr>
              <w:t>i</w:t>
            </w:r>
            <w:proofErr w:type="spellEnd"/>
            <w:r w:rsidRPr="00D80793">
              <w:rPr>
                <w:rFonts w:eastAsia="Century Gothic" w:cs="Century Gothic"/>
              </w:rPr>
              <w:t>; (tCO</w:t>
            </w:r>
            <w:r w:rsidRPr="00D80793">
              <w:rPr>
                <w:rFonts w:eastAsia="Century Gothic" w:cs="Century Gothic"/>
                <w:vertAlign w:val="subscript"/>
              </w:rPr>
              <w:t>2</w:t>
            </w:r>
            <w:r w:rsidRPr="00D80793">
              <w:rPr>
                <w:rFonts w:eastAsia="Century Gothic" w:cs="Century Gothic"/>
              </w:rPr>
              <w:t>)</w:t>
            </w:r>
          </w:p>
        </w:tc>
      </w:tr>
      <w:tr w:rsidR="00540A8E" w:rsidRPr="00D80793" w14:paraId="43E4EE6B" w14:textId="77777777">
        <w:trPr>
          <w:trHeight w:val="548"/>
        </w:trPr>
        <w:tc>
          <w:tcPr>
            <w:tcW w:w="2070" w:type="dxa"/>
            <w:shd w:val="clear" w:color="auto" w:fill="CCD4E5"/>
            <w:vAlign w:val="center"/>
          </w:tcPr>
          <w:p w14:paraId="000000DB" w14:textId="77777777" w:rsidR="00540A8E" w:rsidRPr="00D80793" w:rsidRDefault="00540A8E" w:rsidP="00540A8E">
            <w:pPr>
              <w:spacing w:before="60" w:after="120"/>
              <w:rPr>
                <w:rFonts w:eastAsia="Century Gothic" w:cs="Century Gothic"/>
              </w:rPr>
            </w:pPr>
            <w:proofErr w:type="spellStart"/>
            <w:r w:rsidRPr="00D80793">
              <w:rPr>
                <w:rFonts w:eastAsia="Century Gothic" w:cs="Century Gothic"/>
              </w:rPr>
              <w:t>r</w:t>
            </w:r>
            <w:r w:rsidRPr="00D80793">
              <w:rPr>
                <w:rFonts w:eastAsia="Century Gothic" w:cs="Century Gothic"/>
                <w:vertAlign w:val="subscript"/>
              </w:rPr>
              <w:t>i</w:t>
            </w:r>
            <w:proofErr w:type="spellEnd"/>
          </w:p>
        </w:tc>
        <w:tc>
          <w:tcPr>
            <w:tcW w:w="6570" w:type="dxa"/>
            <w:shd w:val="clear" w:color="auto" w:fill="CCD4E5"/>
            <w:vAlign w:val="center"/>
          </w:tcPr>
          <w:p w14:paraId="000000DC" w14:textId="7B7C78DD" w:rsidR="00540A8E" w:rsidRPr="00D80793" w:rsidRDefault="00540A8E" w:rsidP="00540A8E">
            <w:pPr>
              <w:spacing w:before="60" w:after="120"/>
              <w:rPr>
                <w:rFonts w:eastAsia="Century Gothic" w:cs="Century Gothic"/>
              </w:rPr>
            </w:pPr>
            <w:r w:rsidRPr="00D80793">
              <w:rPr>
                <w:rFonts w:eastAsia="Century Gothic" w:cs="Century Gothic"/>
              </w:rPr>
              <w:t xml:space="preserve">Fraction of total carbon contained in above ground live tree biomass removed in the baseline scenario for property </w:t>
            </w:r>
            <w:proofErr w:type="spellStart"/>
            <w:r w:rsidRPr="00D80793">
              <w:rPr>
                <w:rFonts w:eastAsia="Century Gothic" w:cs="Century Gothic"/>
              </w:rPr>
              <w:t>i</w:t>
            </w:r>
            <w:proofErr w:type="spellEnd"/>
            <w:r w:rsidRPr="00D80793">
              <w:rPr>
                <w:rFonts w:eastAsia="Century Gothic" w:cs="Century Gothic"/>
              </w:rPr>
              <w:t>, as determined through the procedure described in Appendix A: Baseline Common practice harvest model; (</w:t>
            </w:r>
            <w:r w:rsidR="00B90CFE" w:rsidRPr="00D80793">
              <w:rPr>
                <w:rFonts w:eastAsia="Century Gothic" w:cs="Century Gothic"/>
              </w:rPr>
              <w:t>proportion</w:t>
            </w:r>
            <w:r w:rsidRPr="00D80793">
              <w:rPr>
                <w:rFonts w:eastAsia="Century Gothic" w:cs="Century Gothic"/>
              </w:rPr>
              <w:t>)</w:t>
            </w:r>
          </w:p>
        </w:tc>
      </w:tr>
      <w:tr w:rsidR="00540A8E" w:rsidRPr="00D80793" w14:paraId="409B5650" w14:textId="77777777">
        <w:trPr>
          <w:trHeight w:val="548"/>
        </w:trPr>
        <w:tc>
          <w:tcPr>
            <w:tcW w:w="2070" w:type="dxa"/>
            <w:shd w:val="clear" w:color="auto" w:fill="CCD4E5"/>
            <w:vAlign w:val="center"/>
          </w:tcPr>
          <w:p w14:paraId="000000DD" w14:textId="77777777" w:rsidR="00540A8E" w:rsidRPr="00D80793" w:rsidRDefault="00540A8E" w:rsidP="00540A8E">
            <w:pPr>
              <w:spacing w:before="60" w:after="120"/>
              <w:rPr>
                <w:rFonts w:eastAsia="Century Gothic" w:cs="Century Gothic"/>
                <w:i/>
              </w:rPr>
            </w:pPr>
            <w:r w:rsidRPr="00D80793">
              <w:rPr>
                <w:rFonts w:eastAsia="Century Gothic" w:cs="Century Gothic"/>
                <w:i/>
              </w:rPr>
              <w:t>n</w:t>
            </w:r>
          </w:p>
        </w:tc>
        <w:tc>
          <w:tcPr>
            <w:tcW w:w="6570" w:type="dxa"/>
            <w:shd w:val="clear" w:color="auto" w:fill="CCD4E5"/>
            <w:vAlign w:val="center"/>
          </w:tcPr>
          <w:p w14:paraId="000000DE" w14:textId="77777777" w:rsidR="00540A8E" w:rsidRPr="00D80793" w:rsidRDefault="00540A8E" w:rsidP="00540A8E">
            <w:pPr>
              <w:spacing w:before="60" w:after="120"/>
              <w:rPr>
                <w:rFonts w:eastAsia="Century Gothic" w:cs="Century Gothic"/>
              </w:rPr>
            </w:pPr>
            <w:bookmarkStart w:id="25" w:name="_heading=h.3as4poj" w:colFirst="0" w:colLast="0"/>
            <w:bookmarkEnd w:id="25"/>
            <w:r w:rsidRPr="00D80793">
              <w:rPr>
                <w:rFonts w:eastAsia="Century Gothic" w:cs="Century Gothic"/>
              </w:rPr>
              <w:t>Total number of participating properties; (unitless)</w:t>
            </w:r>
          </w:p>
        </w:tc>
      </w:tr>
    </w:tbl>
    <w:p w14:paraId="000000E1" w14:textId="77777777" w:rsidR="00471C28" w:rsidRPr="00D80793" w:rsidRDefault="00CF15C9">
      <w:pPr>
        <w:pBdr>
          <w:top w:val="nil"/>
          <w:left w:val="nil"/>
          <w:bottom w:val="nil"/>
          <w:right w:val="nil"/>
          <w:between w:val="nil"/>
        </w:pBdr>
        <w:spacing w:before="60" w:after="120"/>
        <w:ind w:left="720"/>
        <w:rPr>
          <w:rFonts w:eastAsia="Century Gothic" w:cs="Century Gothic"/>
          <w:color w:val="000000"/>
        </w:rPr>
      </w:pPr>
      <w:r w:rsidRPr="00D80793">
        <w:rPr>
          <w:rFonts w:eastAsia="Century Gothic" w:cs="Century Gothic"/>
          <w:color w:val="000000"/>
        </w:rPr>
        <w:t>Carbon contained in above ground live tree biomass at the beginning of the activity period is calculated as follows:</w:t>
      </w:r>
    </w:p>
    <w:tbl>
      <w:tblPr>
        <w:tblW w:w="8550" w:type="dxa"/>
        <w:tblInd w:w="7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6997"/>
        <w:gridCol w:w="1553"/>
      </w:tblGrid>
      <w:tr w:rsidR="00471C28" w:rsidRPr="00D80793" w14:paraId="3931A41F" w14:textId="77777777">
        <w:trPr>
          <w:trHeight w:val="525"/>
        </w:trPr>
        <w:tc>
          <w:tcPr>
            <w:tcW w:w="6997" w:type="dxa"/>
            <w:shd w:val="clear" w:color="auto" w:fill="auto"/>
          </w:tcPr>
          <w:p w14:paraId="000000E2" w14:textId="77777777" w:rsidR="00471C28" w:rsidRPr="00D80793" w:rsidRDefault="00000000">
            <w:pPr>
              <w:jc w:val="center"/>
              <w:rPr>
                <w:rFonts w:eastAsia="Libre Franklin" w:cs="Libre Franklin"/>
                <w:i/>
                <w:color w:val="4F5150" w:themeColor="text2"/>
                <w:kern w:val="21"/>
                <w:szCs w:val="21"/>
              </w:rPr>
            </w:pPr>
            <m:oMathPara>
              <m:oMath>
                <m:sSub>
                  <m:sSubPr>
                    <m:ctrlPr>
                      <w:rPr>
                        <w:rFonts w:ascii="Cambria Math" w:eastAsia="Cambria Math" w:hAnsi="Cambria Math" w:cs="Cambria Math"/>
                        <w:i/>
                        <w:color w:val="4F5150" w:themeColor="text2"/>
                        <w:kern w:val="21"/>
                        <w:szCs w:val="21"/>
                      </w:rPr>
                    </m:ctrlPr>
                  </m:sSubPr>
                  <m:e>
                    <m:r>
                      <w:rPr>
                        <w:rFonts w:ascii="Cambria Math" w:eastAsia="Cambria Math" w:hAnsi="Cambria Math" w:cs="Cambria Math"/>
                        <w:color w:val="4F5150" w:themeColor="text2"/>
                        <w:kern w:val="21"/>
                        <w:szCs w:val="21"/>
                      </w:rPr>
                      <m:t>C</m:t>
                    </m:r>
                  </m:e>
                  <m:sub>
                    <m:r>
                      <w:rPr>
                        <w:rFonts w:ascii="Cambria Math" w:eastAsia="Cambria Math" w:hAnsi="Cambria Math" w:cs="Cambria Math"/>
                        <w:color w:val="4F5150" w:themeColor="text2"/>
                        <w:kern w:val="21"/>
                        <w:szCs w:val="21"/>
                      </w:rPr>
                      <m:t>t0, i</m:t>
                    </m:r>
                  </m:sub>
                </m:sSub>
                <m:r>
                  <w:rPr>
                    <w:rFonts w:ascii="Cambria Math" w:eastAsia="Cambria Math" w:hAnsi="Cambria Math" w:cs="Cambria Math"/>
                    <w:color w:val="4F5150" w:themeColor="text2"/>
                    <w:kern w:val="21"/>
                    <w:szCs w:val="21"/>
                  </w:rPr>
                  <m:t xml:space="preserve">= </m:t>
                </m:r>
                <m:sSub>
                  <m:sSubPr>
                    <m:ctrlPr>
                      <w:rPr>
                        <w:rFonts w:ascii="Cambria Math" w:eastAsia="Cambria Math" w:hAnsi="Cambria Math" w:cs="Cambria Math"/>
                        <w:i/>
                        <w:color w:val="4F5150" w:themeColor="text2"/>
                        <w:kern w:val="21"/>
                        <w:szCs w:val="21"/>
                      </w:rPr>
                    </m:ctrlPr>
                  </m:sSubPr>
                  <m:e>
                    <m:r>
                      <w:rPr>
                        <w:rFonts w:ascii="Cambria Math" w:eastAsia="Cambria Math" w:hAnsi="Cambria Math" w:cs="Cambria Math"/>
                        <w:color w:val="4F5150" w:themeColor="text2"/>
                        <w:kern w:val="21"/>
                        <w:szCs w:val="21"/>
                      </w:rPr>
                      <m:t>PP</m:t>
                    </m:r>
                  </m:e>
                  <m:sub>
                    <m:r>
                      <w:rPr>
                        <w:rFonts w:ascii="Cambria Math" w:eastAsia="Cambria Math" w:hAnsi="Cambria Math" w:cs="Cambria Math"/>
                        <w:color w:val="4F5150" w:themeColor="text2"/>
                        <w:kern w:val="21"/>
                        <w:szCs w:val="21"/>
                      </w:rPr>
                      <m:t>Ct0, i</m:t>
                    </m:r>
                  </m:sub>
                </m:sSub>
                <m:r>
                  <w:rPr>
                    <w:rFonts w:ascii="Cambria Math" w:eastAsia="Cambria Math" w:hAnsi="Cambria Math" w:cs="Cambria Math"/>
                    <w:color w:val="4F5150" w:themeColor="text2"/>
                    <w:kern w:val="21"/>
                    <w:szCs w:val="21"/>
                  </w:rPr>
                  <m:t xml:space="preserve">* </m:t>
                </m:r>
                <m:sSub>
                  <m:sSubPr>
                    <m:ctrlPr>
                      <w:rPr>
                        <w:rFonts w:ascii="Cambria Math" w:eastAsia="Cambria Math" w:hAnsi="Cambria Math" w:cs="Cambria Math"/>
                        <w:i/>
                        <w:color w:val="4F5150" w:themeColor="text2"/>
                        <w:kern w:val="21"/>
                        <w:szCs w:val="21"/>
                      </w:rPr>
                    </m:ctrlPr>
                  </m:sSubPr>
                  <m:e>
                    <m:r>
                      <w:rPr>
                        <w:rFonts w:ascii="Cambria Math" w:eastAsia="Cambria Math" w:hAnsi="Cambria Math" w:cs="Cambria Math"/>
                        <w:color w:val="4F5150" w:themeColor="text2"/>
                        <w:kern w:val="21"/>
                        <w:szCs w:val="21"/>
                      </w:rPr>
                      <m:t>PP</m:t>
                    </m:r>
                  </m:e>
                  <m:sub>
                    <m:r>
                      <w:rPr>
                        <w:rFonts w:ascii="Cambria Math" w:eastAsia="Cambria Math" w:hAnsi="Cambria Math" w:cs="Cambria Math"/>
                        <w:color w:val="4F5150" w:themeColor="text2"/>
                        <w:kern w:val="21"/>
                        <w:szCs w:val="21"/>
                      </w:rPr>
                      <m:t>a,t,i</m:t>
                    </m:r>
                  </m:sub>
                </m:sSub>
                <m:r>
                  <w:rPr>
                    <w:rFonts w:ascii="Cambria Math" w:eastAsia="Cambria Math" w:hAnsi="Cambria Math" w:cs="Cambria Math"/>
                    <w:color w:val="4F5150" w:themeColor="text2"/>
                    <w:kern w:val="21"/>
                    <w:szCs w:val="21"/>
                  </w:rPr>
                  <m:t xml:space="preserve"> </m:t>
                </m:r>
              </m:oMath>
            </m:oMathPara>
          </w:p>
        </w:tc>
        <w:tc>
          <w:tcPr>
            <w:tcW w:w="1553" w:type="dxa"/>
            <w:shd w:val="clear" w:color="auto" w:fill="auto"/>
          </w:tcPr>
          <w:p w14:paraId="000000E3" w14:textId="6DCC7BFB" w:rsidR="00471C28" w:rsidRPr="00D80793" w:rsidRDefault="00CF15C9" w:rsidP="00403AE6">
            <w:pPr>
              <w:rPr>
                <w:rFonts w:eastAsia="Libre Franklin" w:cs="Libre Franklin"/>
                <w:color w:val="4F5150" w:themeColor="text2"/>
                <w:kern w:val="21"/>
                <w:szCs w:val="21"/>
              </w:rPr>
            </w:pPr>
            <w:bookmarkStart w:id="26" w:name="_heading=h.147n2zr" w:colFirst="0" w:colLast="0"/>
            <w:bookmarkEnd w:id="26"/>
            <w:r w:rsidRPr="00403AE6">
              <w:t>(</w:t>
            </w:r>
            <w:r w:rsidR="00FE6296" w:rsidRPr="00403AE6">
              <w:t>2</w:t>
            </w:r>
            <w:r w:rsidRPr="00403AE6">
              <w:t>)</w:t>
            </w:r>
          </w:p>
        </w:tc>
      </w:tr>
    </w:tbl>
    <w:p w14:paraId="000000E4" w14:textId="77777777" w:rsidR="00471C28" w:rsidRPr="00D80793" w:rsidRDefault="00CF15C9">
      <w:pPr>
        <w:tabs>
          <w:tab w:val="left" w:pos="7920"/>
        </w:tabs>
        <w:spacing w:before="60" w:after="120" w:line="288" w:lineRule="auto"/>
        <w:ind w:left="720"/>
        <w:rPr>
          <w:rFonts w:eastAsia="Century Gothic" w:cs="Century Gothic"/>
        </w:rPr>
      </w:pPr>
      <w:r w:rsidRPr="00D80793">
        <w:rPr>
          <w:rFonts w:eastAsia="Century Gothic" w:cs="Century Gothic"/>
        </w:rPr>
        <w:t xml:space="preserve">Where: </w:t>
      </w: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885"/>
        <w:gridCol w:w="6745"/>
      </w:tblGrid>
      <w:tr w:rsidR="00471C28" w:rsidRPr="00D80793" w14:paraId="407219EB" w14:textId="77777777">
        <w:tc>
          <w:tcPr>
            <w:tcW w:w="1885" w:type="dxa"/>
            <w:shd w:val="clear" w:color="auto" w:fill="CCD4E5"/>
            <w:vAlign w:val="center"/>
          </w:tcPr>
          <w:p w14:paraId="000000E5" w14:textId="77777777" w:rsidR="00471C28" w:rsidRPr="00D80793" w:rsidRDefault="00CF15C9">
            <w:pPr>
              <w:tabs>
                <w:tab w:val="left" w:pos="7920"/>
              </w:tabs>
              <w:spacing w:before="60" w:after="120" w:line="288" w:lineRule="auto"/>
              <w:rPr>
                <w:rFonts w:eastAsia="Century Gothic" w:cs="Century Gothic"/>
              </w:rPr>
            </w:pPr>
            <w:r w:rsidRPr="00D80793">
              <w:rPr>
                <w:rFonts w:eastAsia="Century Gothic" w:cs="Century Gothic"/>
              </w:rPr>
              <w:t>C</w:t>
            </w:r>
            <w:r w:rsidRPr="00D80793">
              <w:rPr>
                <w:rFonts w:eastAsia="Century Gothic" w:cs="Century Gothic"/>
                <w:vertAlign w:val="subscript"/>
              </w:rPr>
              <w:t>t</w:t>
            </w:r>
            <w:proofErr w:type="gramStart"/>
            <w:r w:rsidRPr="00D80793">
              <w:rPr>
                <w:rFonts w:eastAsia="Century Gothic" w:cs="Century Gothic"/>
                <w:vertAlign w:val="subscript"/>
              </w:rPr>
              <w:t>0,i</w:t>
            </w:r>
            <w:proofErr w:type="gramEnd"/>
          </w:p>
        </w:tc>
        <w:tc>
          <w:tcPr>
            <w:tcW w:w="6745" w:type="dxa"/>
            <w:shd w:val="clear" w:color="auto" w:fill="CCD4E5"/>
            <w:vAlign w:val="center"/>
          </w:tcPr>
          <w:p w14:paraId="000000E6" w14:textId="77777777" w:rsidR="00471C28" w:rsidRPr="00D80793" w:rsidRDefault="00CF15C9">
            <w:pPr>
              <w:tabs>
                <w:tab w:val="left" w:pos="1440"/>
              </w:tabs>
              <w:spacing w:before="60" w:after="120" w:line="288" w:lineRule="auto"/>
              <w:ind w:hanging="21"/>
              <w:rPr>
                <w:rFonts w:eastAsia="Century Gothic" w:cs="Century Gothic"/>
              </w:rPr>
            </w:pPr>
            <w:r w:rsidRPr="00D80793">
              <w:rPr>
                <w:rFonts w:eastAsia="Century Gothic" w:cs="Century Gothic"/>
              </w:rPr>
              <w:t xml:space="preserve">Carbon contained in above ground live tree biomass at the beginning of the activity period (t0), for participating property, </w:t>
            </w:r>
            <w:proofErr w:type="spellStart"/>
            <w:r w:rsidRPr="00D80793">
              <w:rPr>
                <w:rFonts w:eastAsia="Century Gothic" w:cs="Century Gothic"/>
              </w:rPr>
              <w:t>i</w:t>
            </w:r>
            <w:proofErr w:type="spellEnd"/>
            <w:r w:rsidRPr="00D80793">
              <w:rPr>
                <w:rFonts w:eastAsia="Century Gothic" w:cs="Century Gothic"/>
              </w:rPr>
              <w:t>; (tCO</w:t>
            </w:r>
            <w:r w:rsidRPr="00D80793">
              <w:rPr>
                <w:rFonts w:eastAsia="Century Gothic" w:cs="Century Gothic"/>
                <w:vertAlign w:val="subscript"/>
              </w:rPr>
              <w:t>2</w:t>
            </w:r>
            <w:r w:rsidRPr="00D80793">
              <w:rPr>
                <w:rFonts w:eastAsia="Century Gothic" w:cs="Century Gothic"/>
              </w:rPr>
              <w:t>)</w:t>
            </w:r>
          </w:p>
        </w:tc>
      </w:tr>
      <w:tr w:rsidR="00471C28" w:rsidRPr="00D80793" w14:paraId="74593258" w14:textId="77777777">
        <w:tc>
          <w:tcPr>
            <w:tcW w:w="1885" w:type="dxa"/>
            <w:shd w:val="clear" w:color="auto" w:fill="CCD4E5"/>
            <w:vAlign w:val="center"/>
          </w:tcPr>
          <w:p w14:paraId="000000E7" w14:textId="77777777" w:rsidR="00471C28" w:rsidRPr="00D80793" w:rsidRDefault="00CF15C9">
            <w:pPr>
              <w:tabs>
                <w:tab w:val="left" w:pos="7920"/>
              </w:tabs>
              <w:spacing w:before="60" w:after="120" w:line="288" w:lineRule="auto"/>
              <w:rPr>
                <w:rFonts w:eastAsia="Century Gothic" w:cs="Century Gothic"/>
              </w:rPr>
            </w:pPr>
            <w:proofErr w:type="gramStart"/>
            <w:r w:rsidRPr="00D80793">
              <w:rPr>
                <w:rFonts w:eastAsia="Century Gothic" w:cs="Century Gothic"/>
              </w:rPr>
              <w:t>PP</w:t>
            </w:r>
            <w:r w:rsidRPr="00D80793">
              <w:rPr>
                <w:rFonts w:eastAsia="Century Gothic" w:cs="Century Gothic"/>
                <w:vertAlign w:val="subscript"/>
              </w:rPr>
              <w:t>C,t</w:t>
            </w:r>
            <w:proofErr w:type="gramEnd"/>
            <w:r w:rsidRPr="00D80793">
              <w:rPr>
                <w:rFonts w:eastAsia="Century Gothic" w:cs="Century Gothic"/>
                <w:vertAlign w:val="subscript"/>
              </w:rPr>
              <w:t>0,i</w:t>
            </w:r>
          </w:p>
        </w:tc>
        <w:tc>
          <w:tcPr>
            <w:tcW w:w="6745" w:type="dxa"/>
            <w:shd w:val="clear" w:color="auto" w:fill="CCD4E5"/>
            <w:vAlign w:val="center"/>
          </w:tcPr>
          <w:p w14:paraId="000000E8" w14:textId="1D853CA0" w:rsidR="00471C28" w:rsidRPr="00D80793" w:rsidRDefault="00CF15C9">
            <w:pPr>
              <w:tabs>
                <w:tab w:val="left" w:pos="1440"/>
              </w:tabs>
              <w:spacing w:before="60" w:after="120" w:line="288" w:lineRule="auto"/>
              <w:ind w:hanging="21"/>
              <w:rPr>
                <w:rFonts w:eastAsia="Century Gothic" w:cs="Century Gothic"/>
              </w:rPr>
            </w:pPr>
            <w:r w:rsidRPr="00D80793">
              <w:rPr>
                <w:rFonts w:eastAsia="Century Gothic" w:cs="Century Gothic"/>
              </w:rPr>
              <w:t xml:space="preserve">Above ground live tree carbon at participating property, </w:t>
            </w:r>
            <w:proofErr w:type="spellStart"/>
            <w:r w:rsidRPr="00D80793">
              <w:rPr>
                <w:rFonts w:eastAsia="Century Gothic" w:cs="Century Gothic"/>
              </w:rPr>
              <w:t>i</w:t>
            </w:r>
            <w:proofErr w:type="spellEnd"/>
            <w:r w:rsidRPr="00D80793">
              <w:rPr>
                <w:rFonts w:eastAsia="Century Gothic" w:cs="Century Gothic"/>
              </w:rPr>
              <w:t>, at the beginning (t0) of activity period, t; (tCO</w:t>
            </w:r>
            <w:r w:rsidRPr="00D80793">
              <w:rPr>
                <w:rFonts w:eastAsia="Century Gothic" w:cs="Century Gothic"/>
                <w:vertAlign w:val="subscript"/>
              </w:rPr>
              <w:t>2</w:t>
            </w:r>
            <w:r w:rsidRPr="00D80793">
              <w:rPr>
                <w:rFonts w:eastAsia="Century Gothic" w:cs="Century Gothic"/>
              </w:rPr>
              <w:t>/ha)</w:t>
            </w:r>
          </w:p>
        </w:tc>
      </w:tr>
      <w:tr w:rsidR="00471C28" w:rsidRPr="00D80793" w14:paraId="1CED6257" w14:textId="77777777">
        <w:tc>
          <w:tcPr>
            <w:tcW w:w="1885" w:type="dxa"/>
            <w:shd w:val="clear" w:color="auto" w:fill="CCD4E5"/>
            <w:vAlign w:val="center"/>
          </w:tcPr>
          <w:p w14:paraId="000000E9" w14:textId="77777777" w:rsidR="00471C28" w:rsidRPr="00D80793" w:rsidRDefault="00CF15C9">
            <w:pPr>
              <w:tabs>
                <w:tab w:val="left" w:pos="7920"/>
              </w:tabs>
              <w:spacing w:before="60" w:after="120" w:line="288" w:lineRule="auto"/>
              <w:rPr>
                <w:rFonts w:eastAsia="Century Gothic" w:cs="Century Gothic"/>
              </w:rPr>
            </w:pPr>
            <w:proofErr w:type="spellStart"/>
            <w:proofErr w:type="gramStart"/>
            <w:r w:rsidRPr="00D80793">
              <w:rPr>
                <w:rFonts w:eastAsia="Century Gothic" w:cs="Century Gothic"/>
              </w:rPr>
              <w:t>PP</w:t>
            </w:r>
            <w:r w:rsidRPr="00D80793">
              <w:rPr>
                <w:rFonts w:eastAsia="Century Gothic" w:cs="Century Gothic"/>
                <w:vertAlign w:val="subscript"/>
              </w:rPr>
              <w:t>a,t</w:t>
            </w:r>
            <w:proofErr w:type="gramEnd"/>
            <w:r w:rsidRPr="00D80793">
              <w:rPr>
                <w:rFonts w:eastAsia="Century Gothic" w:cs="Century Gothic"/>
                <w:vertAlign w:val="subscript"/>
              </w:rPr>
              <w:t>,i</w:t>
            </w:r>
            <w:proofErr w:type="spellEnd"/>
          </w:p>
        </w:tc>
        <w:tc>
          <w:tcPr>
            <w:tcW w:w="6745" w:type="dxa"/>
            <w:shd w:val="clear" w:color="auto" w:fill="CCD4E5"/>
            <w:vAlign w:val="center"/>
          </w:tcPr>
          <w:p w14:paraId="000000EA" w14:textId="1B738B49" w:rsidR="00471C28" w:rsidRPr="00D80793" w:rsidRDefault="00CF15C9">
            <w:pPr>
              <w:tabs>
                <w:tab w:val="left" w:pos="1440"/>
              </w:tabs>
              <w:spacing w:before="60" w:after="120" w:line="288" w:lineRule="auto"/>
              <w:ind w:hanging="21"/>
              <w:rPr>
                <w:rFonts w:eastAsia="Century Gothic" w:cs="Century Gothic"/>
              </w:rPr>
            </w:pPr>
            <w:r w:rsidRPr="00D80793">
              <w:rPr>
                <w:rFonts w:eastAsia="Century Gothic" w:cs="Century Gothic"/>
              </w:rPr>
              <w:t xml:space="preserve">Area of participating property, </w:t>
            </w:r>
            <w:proofErr w:type="spellStart"/>
            <w:r w:rsidRPr="00D80793">
              <w:rPr>
                <w:rFonts w:eastAsia="Century Gothic" w:cs="Century Gothic"/>
              </w:rPr>
              <w:t>i</w:t>
            </w:r>
            <w:proofErr w:type="spellEnd"/>
            <w:r w:rsidRPr="00D80793">
              <w:rPr>
                <w:rFonts w:eastAsia="Century Gothic" w:cs="Century Gothic"/>
              </w:rPr>
              <w:t>, during activity period, t; (hectares)</w:t>
            </w:r>
          </w:p>
        </w:tc>
      </w:tr>
    </w:tbl>
    <w:p w14:paraId="000000EB" w14:textId="77777777" w:rsidR="00471C28" w:rsidRDefault="00CF15C9" w:rsidP="00D80793">
      <w:pPr>
        <w:pStyle w:val="Heading2"/>
      </w:pPr>
      <w:bookmarkStart w:id="27" w:name="_Toc98322288"/>
      <w:r>
        <w:lastRenderedPageBreak/>
        <w:t xml:space="preserve">Project </w:t>
      </w:r>
      <w:r w:rsidRPr="00D80793">
        <w:t>Emissions</w:t>
      </w:r>
      <w:bookmarkEnd w:id="27"/>
    </w:p>
    <w:p w14:paraId="000000EC" w14:textId="77777777" w:rsidR="00471C28" w:rsidRPr="00D80793" w:rsidRDefault="00CF15C9">
      <w:pPr>
        <w:spacing w:before="60" w:after="120" w:line="288" w:lineRule="auto"/>
        <w:ind w:left="720"/>
        <w:rPr>
          <w:rFonts w:eastAsia="Century Gothic" w:cs="Century Gothic"/>
        </w:rPr>
      </w:pPr>
      <w:r w:rsidRPr="00D80793">
        <w:rPr>
          <w:rFonts w:eastAsia="Century Gothic" w:cs="Century Gothic"/>
        </w:rPr>
        <w:t xml:space="preserve">Crediting in this methodology stems from the deferred harvest activity. For each activity period, the project scenario is quantified by estimating carbon contained in above ground live tree biomass at the beginning and end of a cycle. </w:t>
      </w:r>
    </w:p>
    <w:p w14:paraId="000000ED" w14:textId="77777777" w:rsidR="00471C28" w:rsidRPr="00D80793" w:rsidRDefault="00CF15C9">
      <w:pPr>
        <w:spacing w:before="60" w:after="120" w:line="288" w:lineRule="auto"/>
        <w:ind w:left="720"/>
        <w:rPr>
          <w:rFonts w:eastAsia="Century Gothic" w:cs="Century Gothic"/>
        </w:rPr>
      </w:pPr>
      <w:bookmarkStart w:id="28" w:name="_heading=h.23ckvvd" w:colFirst="0" w:colLast="0"/>
      <w:bookmarkEnd w:id="28"/>
      <w:r w:rsidRPr="00D80793">
        <w:rPr>
          <w:rFonts w:eastAsia="Century Gothic" w:cs="Century Gothic"/>
        </w:rPr>
        <w:t>Stock change in the project above ground live tree biomass carbon pool is calculated as follows:</w:t>
      </w:r>
    </w:p>
    <w:tbl>
      <w:tblPr>
        <w:tblW w:w="863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930"/>
        <w:gridCol w:w="1700"/>
      </w:tblGrid>
      <w:tr w:rsidR="00471C28" w14:paraId="378E8EEA" w14:textId="77777777">
        <w:tc>
          <w:tcPr>
            <w:tcW w:w="6930" w:type="dxa"/>
            <w:shd w:val="clear" w:color="auto" w:fill="auto"/>
            <w:vAlign w:val="center"/>
          </w:tcPr>
          <w:p w14:paraId="000000EE" w14:textId="715CA45A" w:rsidR="00471C28" w:rsidRDefault="00000000" w:rsidP="00403AE6">
            <m:oMathPara>
              <m:oMath>
                <m:sSub>
                  <m:sSubPr>
                    <m:ctrlPr>
                      <w:rPr>
                        <w:rFonts w:ascii="Cambria Math" w:hAnsi="Cambria Math"/>
                        <w:sz w:val="20"/>
                        <w:szCs w:val="20"/>
                      </w:rPr>
                    </m:ctrlPr>
                  </m:sSubPr>
                  <m:e>
                    <m:r>
                      <m:rPr>
                        <m:sty m:val="p"/>
                      </m:rPr>
                      <w:rPr>
                        <w:rFonts w:ascii="Cambria Math" w:hAnsi="Cambria Math"/>
                        <w:sz w:val="20"/>
                        <w:szCs w:val="20"/>
                      </w:rPr>
                      <m:t>∆</m:t>
                    </m:r>
                    <m:r>
                      <w:rPr>
                        <w:rFonts w:ascii="Cambria Math" w:hAnsi="Cambria Math"/>
                        <w:sz w:val="20"/>
                        <w:szCs w:val="20"/>
                      </w:rPr>
                      <m:t>CO</m:t>
                    </m:r>
                    <m:r>
                      <m:rPr>
                        <m:sty m:val="p"/>
                      </m:rPr>
                      <w:rPr>
                        <w:rFonts w:ascii="Cambria Math" w:hAnsi="Cambria Math"/>
                        <w:sz w:val="20"/>
                        <w:szCs w:val="20"/>
                      </w:rPr>
                      <m:t>2</m:t>
                    </m:r>
                  </m:e>
                  <m:sub>
                    <m:r>
                      <w:rPr>
                        <w:rFonts w:ascii="Cambria Math" w:hAnsi="Cambria Math"/>
                        <w:sz w:val="20"/>
                        <w:szCs w:val="20"/>
                      </w:rPr>
                      <m:t>p</m:t>
                    </m:r>
                    <m:r>
                      <m:rPr>
                        <m:sty m:val="p"/>
                      </m:rPr>
                      <w:rPr>
                        <w:rFonts w:ascii="Cambria Math" w:hAnsi="Cambria Math"/>
                        <w:sz w:val="20"/>
                        <w:szCs w:val="20"/>
                      </w:rPr>
                      <m:t>,</m:t>
                    </m:r>
                    <m:r>
                      <w:rPr>
                        <w:rFonts w:ascii="Cambria Math" w:hAnsi="Cambria Math"/>
                        <w:sz w:val="20"/>
                        <w:szCs w:val="20"/>
                      </w:rPr>
                      <m:t>t</m:t>
                    </m:r>
                  </m:sub>
                </m:sSub>
                <m:r>
                  <m:rPr>
                    <m:sty m:val="p"/>
                  </m:rPr>
                  <w:rPr>
                    <w:rFonts w:ascii="Cambria Math" w:hAnsi="Cambria Math"/>
                    <w:sz w:val="20"/>
                    <w:szCs w:val="20"/>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 xml:space="preserve">1, </m:t>
                        </m:r>
                        <m:r>
                          <w:rPr>
                            <w:rFonts w:ascii="Cambria Math" w:hAnsi="Cambria Math"/>
                          </w:rPr>
                          <m:t>i</m:t>
                        </m:r>
                      </m:sub>
                    </m:sSub>
                  </m:e>
                </m:nary>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 xml:space="preserve">0, </m:t>
                    </m:r>
                    <m:r>
                      <w:rPr>
                        <w:rFonts w:ascii="Cambria Math" w:hAnsi="Cambria Math"/>
                      </w:rPr>
                      <m:t>i</m:t>
                    </m:r>
                  </m:sub>
                </m:sSub>
              </m:oMath>
            </m:oMathPara>
          </w:p>
        </w:tc>
        <w:tc>
          <w:tcPr>
            <w:tcW w:w="1700" w:type="dxa"/>
            <w:shd w:val="clear" w:color="auto" w:fill="auto"/>
            <w:vAlign w:val="center"/>
          </w:tcPr>
          <w:p w14:paraId="000000EF" w14:textId="58BD493D" w:rsidR="00471C28" w:rsidRPr="00D80793" w:rsidRDefault="00CF15C9" w:rsidP="00403AE6">
            <w:pPr>
              <w:rPr>
                <w:rFonts w:eastAsia="Libre Franklin" w:cs="Libre Franklin"/>
                <w:color w:val="4F5150" w:themeColor="text2"/>
              </w:rPr>
            </w:pPr>
            <w:bookmarkStart w:id="29" w:name="_heading=h.ihv636" w:colFirst="0" w:colLast="0"/>
            <w:bookmarkEnd w:id="29"/>
            <w:r w:rsidRPr="00D80793">
              <w:rPr>
                <w:rFonts w:eastAsia="Libre Franklin" w:cs="Libre Franklin"/>
                <w:color w:val="4F5150" w:themeColor="text2"/>
              </w:rPr>
              <w:t>(</w:t>
            </w:r>
            <w:r w:rsidR="00FE6296" w:rsidRPr="00D80793">
              <w:rPr>
                <w:rFonts w:eastAsia="Libre Franklin" w:cs="Libre Franklin"/>
                <w:color w:val="4F5150" w:themeColor="text2"/>
              </w:rPr>
              <w:t>3</w:t>
            </w:r>
            <w:r w:rsidRPr="00D80793">
              <w:rPr>
                <w:rFonts w:eastAsia="Libre Franklin" w:cs="Libre Franklin"/>
                <w:color w:val="4F5150" w:themeColor="text2"/>
              </w:rPr>
              <w:t>)</w:t>
            </w:r>
          </w:p>
        </w:tc>
      </w:tr>
    </w:tbl>
    <w:p w14:paraId="000000F0" w14:textId="77777777" w:rsidR="00471C28" w:rsidRPr="00D80793" w:rsidRDefault="00CF15C9">
      <w:pPr>
        <w:tabs>
          <w:tab w:val="left" w:pos="7920"/>
        </w:tabs>
        <w:spacing w:before="60" w:after="120" w:line="288" w:lineRule="auto"/>
        <w:ind w:left="720"/>
        <w:rPr>
          <w:rFonts w:eastAsia="Century Gothic" w:cs="Century Gothic"/>
        </w:rPr>
      </w:pPr>
      <w:r w:rsidRPr="00D80793">
        <w:rPr>
          <w:rFonts w:eastAsia="Century Gothic" w:cs="Century Gothic"/>
        </w:rPr>
        <w:t xml:space="preserve">Where: </w:t>
      </w: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885"/>
        <w:gridCol w:w="6745"/>
      </w:tblGrid>
      <w:tr w:rsidR="00471C28" w:rsidRPr="00D80793" w14:paraId="730D6B1D" w14:textId="77777777">
        <w:trPr>
          <w:trHeight w:val="710"/>
        </w:trPr>
        <w:tc>
          <w:tcPr>
            <w:tcW w:w="1885" w:type="dxa"/>
            <w:shd w:val="clear" w:color="auto" w:fill="CCD4E5"/>
            <w:vAlign w:val="center"/>
          </w:tcPr>
          <w:p w14:paraId="000000F1" w14:textId="77777777" w:rsidR="00471C28" w:rsidRPr="00D80793" w:rsidRDefault="00CF15C9">
            <w:pPr>
              <w:spacing w:before="60" w:after="120"/>
              <w:rPr>
                <w:rFonts w:eastAsia="Century Gothic" w:cs="Century Gothic"/>
              </w:rPr>
            </w:pPr>
            <w:bookmarkStart w:id="30" w:name="_heading=h.28h4qwu" w:colFirst="0" w:colLast="0"/>
            <w:bookmarkEnd w:id="30"/>
            <w:r w:rsidRPr="00D80793">
              <w:rPr>
                <w:rFonts w:eastAsia="Century Gothic" w:cs="Century Gothic"/>
                <w:color w:val="000000"/>
              </w:rPr>
              <w:t>∆</w:t>
            </w:r>
            <w:r w:rsidRPr="00D80793">
              <w:rPr>
                <w:rFonts w:eastAsia="Century Gothic" w:cs="Century Gothic"/>
              </w:rPr>
              <w:t>CO2</w:t>
            </w:r>
            <w:proofErr w:type="gramStart"/>
            <w:r w:rsidRPr="00D80793">
              <w:rPr>
                <w:rFonts w:eastAsia="Century Gothic" w:cs="Century Gothic"/>
                <w:vertAlign w:val="subscript"/>
              </w:rPr>
              <w:t>p,t</w:t>
            </w:r>
            <w:proofErr w:type="gramEnd"/>
          </w:p>
        </w:tc>
        <w:tc>
          <w:tcPr>
            <w:tcW w:w="6745" w:type="dxa"/>
            <w:shd w:val="clear" w:color="auto" w:fill="CCD4E5"/>
            <w:vAlign w:val="center"/>
          </w:tcPr>
          <w:p w14:paraId="000000F2" w14:textId="77777777" w:rsidR="00471C28" w:rsidRPr="00D80793" w:rsidRDefault="00CF15C9">
            <w:pPr>
              <w:tabs>
                <w:tab w:val="left" w:pos="1440"/>
              </w:tabs>
              <w:spacing w:before="60" w:after="120" w:line="288" w:lineRule="auto"/>
              <w:ind w:left="-14"/>
              <w:rPr>
                <w:rFonts w:eastAsia="Century Gothic" w:cs="Century Gothic"/>
              </w:rPr>
            </w:pPr>
            <w:r w:rsidRPr="00D80793">
              <w:rPr>
                <w:rFonts w:eastAsia="Century Gothic" w:cs="Century Gothic"/>
              </w:rPr>
              <w:t>Stock change in above ground live tree biomass in the project scenario in the activity period, t; (tCO</w:t>
            </w:r>
            <w:r w:rsidRPr="00D80793">
              <w:rPr>
                <w:rFonts w:eastAsia="Century Gothic" w:cs="Century Gothic"/>
                <w:vertAlign w:val="subscript"/>
              </w:rPr>
              <w:t>2</w:t>
            </w:r>
            <w:r w:rsidRPr="00D80793">
              <w:rPr>
                <w:rFonts w:eastAsia="Century Gothic" w:cs="Century Gothic"/>
              </w:rPr>
              <w:t>)</w:t>
            </w:r>
          </w:p>
        </w:tc>
      </w:tr>
      <w:tr w:rsidR="00471C28" w:rsidRPr="00D80793" w14:paraId="64D33C02" w14:textId="77777777">
        <w:trPr>
          <w:trHeight w:val="710"/>
        </w:trPr>
        <w:tc>
          <w:tcPr>
            <w:tcW w:w="1885" w:type="dxa"/>
            <w:shd w:val="clear" w:color="auto" w:fill="CCD4E5"/>
            <w:vAlign w:val="center"/>
          </w:tcPr>
          <w:p w14:paraId="000000F3" w14:textId="77777777" w:rsidR="00471C28" w:rsidRPr="00D80793" w:rsidRDefault="00CF15C9">
            <w:pPr>
              <w:spacing w:before="60" w:after="120"/>
              <w:rPr>
                <w:rFonts w:eastAsia="Century Gothic" w:cs="Century Gothic"/>
                <w:color w:val="000000"/>
              </w:rPr>
            </w:pPr>
            <w:r w:rsidRPr="00D80793">
              <w:rPr>
                <w:rFonts w:eastAsia="Century Gothic" w:cs="Century Gothic"/>
              </w:rPr>
              <w:t>C</w:t>
            </w:r>
            <w:r w:rsidRPr="00D80793">
              <w:rPr>
                <w:rFonts w:eastAsia="Century Gothic" w:cs="Century Gothic"/>
                <w:vertAlign w:val="subscript"/>
              </w:rPr>
              <w:t>t</w:t>
            </w:r>
            <w:proofErr w:type="gramStart"/>
            <w:r w:rsidRPr="00D80793">
              <w:rPr>
                <w:rFonts w:eastAsia="Century Gothic" w:cs="Century Gothic"/>
                <w:vertAlign w:val="subscript"/>
              </w:rPr>
              <w:t>1,i</w:t>
            </w:r>
            <w:proofErr w:type="gramEnd"/>
          </w:p>
        </w:tc>
        <w:tc>
          <w:tcPr>
            <w:tcW w:w="6745" w:type="dxa"/>
            <w:shd w:val="clear" w:color="auto" w:fill="CCD4E5"/>
            <w:vAlign w:val="center"/>
          </w:tcPr>
          <w:p w14:paraId="000000F4" w14:textId="77777777" w:rsidR="00471C28" w:rsidRPr="00D80793" w:rsidRDefault="00CF15C9">
            <w:pPr>
              <w:tabs>
                <w:tab w:val="left" w:pos="1440"/>
              </w:tabs>
              <w:spacing w:before="60" w:after="120" w:line="288" w:lineRule="auto"/>
              <w:ind w:left="-14"/>
              <w:rPr>
                <w:rFonts w:eastAsia="Century Gothic" w:cs="Century Gothic"/>
              </w:rPr>
            </w:pPr>
            <w:r w:rsidRPr="00D80793">
              <w:rPr>
                <w:rFonts w:eastAsia="Century Gothic" w:cs="Century Gothic"/>
              </w:rPr>
              <w:t xml:space="preserve">Carbon contained in above ground live tree biomass at the end of the activity period (t1), for participating property, </w:t>
            </w:r>
            <w:proofErr w:type="spellStart"/>
            <w:r w:rsidRPr="00D80793">
              <w:rPr>
                <w:rFonts w:eastAsia="Century Gothic" w:cs="Century Gothic"/>
              </w:rPr>
              <w:t>i</w:t>
            </w:r>
            <w:proofErr w:type="spellEnd"/>
            <w:r w:rsidRPr="00D80793">
              <w:rPr>
                <w:rFonts w:eastAsia="Century Gothic" w:cs="Century Gothic"/>
              </w:rPr>
              <w:t>; (tCO</w:t>
            </w:r>
            <w:r w:rsidRPr="00D80793">
              <w:rPr>
                <w:rFonts w:eastAsia="Century Gothic" w:cs="Century Gothic"/>
                <w:vertAlign w:val="subscript"/>
              </w:rPr>
              <w:t>2</w:t>
            </w:r>
            <w:r w:rsidRPr="00D80793">
              <w:rPr>
                <w:rFonts w:eastAsia="Century Gothic" w:cs="Century Gothic"/>
              </w:rPr>
              <w:t>)</w:t>
            </w:r>
          </w:p>
        </w:tc>
      </w:tr>
      <w:tr w:rsidR="00471C28" w:rsidRPr="00D80793" w14:paraId="16B1F7F7" w14:textId="77777777">
        <w:trPr>
          <w:trHeight w:val="710"/>
        </w:trPr>
        <w:tc>
          <w:tcPr>
            <w:tcW w:w="1885" w:type="dxa"/>
            <w:shd w:val="clear" w:color="auto" w:fill="CCD4E5"/>
            <w:vAlign w:val="center"/>
          </w:tcPr>
          <w:p w14:paraId="000000F5" w14:textId="77777777" w:rsidR="00471C28" w:rsidRPr="00D80793" w:rsidRDefault="00CF15C9">
            <w:pPr>
              <w:spacing w:before="60" w:after="120"/>
              <w:rPr>
                <w:rFonts w:eastAsia="Century Gothic" w:cs="Century Gothic"/>
                <w:color w:val="000000"/>
              </w:rPr>
            </w:pPr>
            <w:r w:rsidRPr="00D80793">
              <w:rPr>
                <w:rFonts w:eastAsia="Century Gothic" w:cs="Century Gothic"/>
              </w:rPr>
              <w:t>C</w:t>
            </w:r>
            <w:r w:rsidRPr="00D80793">
              <w:rPr>
                <w:rFonts w:eastAsia="Century Gothic" w:cs="Century Gothic"/>
                <w:vertAlign w:val="subscript"/>
              </w:rPr>
              <w:t>t</w:t>
            </w:r>
            <w:proofErr w:type="gramStart"/>
            <w:r w:rsidRPr="00D80793">
              <w:rPr>
                <w:rFonts w:eastAsia="Century Gothic" w:cs="Century Gothic"/>
                <w:vertAlign w:val="subscript"/>
              </w:rPr>
              <w:t>0,i</w:t>
            </w:r>
            <w:proofErr w:type="gramEnd"/>
          </w:p>
        </w:tc>
        <w:tc>
          <w:tcPr>
            <w:tcW w:w="6745" w:type="dxa"/>
            <w:shd w:val="clear" w:color="auto" w:fill="CCD4E5"/>
            <w:vAlign w:val="center"/>
          </w:tcPr>
          <w:p w14:paraId="000000F6" w14:textId="77777777" w:rsidR="00471C28" w:rsidRPr="00D80793" w:rsidRDefault="00CF15C9">
            <w:pPr>
              <w:tabs>
                <w:tab w:val="left" w:pos="1440"/>
              </w:tabs>
              <w:spacing w:before="60" w:after="120" w:line="288" w:lineRule="auto"/>
              <w:ind w:left="-14"/>
              <w:rPr>
                <w:rFonts w:eastAsia="Century Gothic" w:cs="Century Gothic"/>
              </w:rPr>
            </w:pPr>
            <w:r w:rsidRPr="00D80793">
              <w:rPr>
                <w:rFonts w:eastAsia="Century Gothic" w:cs="Century Gothic"/>
              </w:rPr>
              <w:t xml:space="preserve">Carbon contained in above ground live tree biomass at the beginning of the activity period (t0), for participating property, </w:t>
            </w:r>
            <w:proofErr w:type="spellStart"/>
            <w:r w:rsidRPr="00D80793">
              <w:rPr>
                <w:rFonts w:eastAsia="Century Gothic" w:cs="Century Gothic"/>
              </w:rPr>
              <w:t>i</w:t>
            </w:r>
            <w:proofErr w:type="spellEnd"/>
            <w:r w:rsidRPr="00D80793">
              <w:rPr>
                <w:rFonts w:eastAsia="Century Gothic" w:cs="Century Gothic"/>
              </w:rPr>
              <w:t>; (tCO</w:t>
            </w:r>
            <w:r w:rsidRPr="00D80793">
              <w:rPr>
                <w:rFonts w:eastAsia="Century Gothic" w:cs="Century Gothic"/>
                <w:vertAlign w:val="subscript"/>
              </w:rPr>
              <w:t>2</w:t>
            </w:r>
            <w:r w:rsidRPr="00D80793">
              <w:rPr>
                <w:rFonts w:eastAsia="Century Gothic" w:cs="Century Gothic"/>
              </w:rPr>
              <w:t>)</w:t>
            </w:r>
          </w:p>
        </w:tc>
      </w:tr>
    </w:tbl>
    <w:p w14:paraId="000000F7" w14:textId="77777777" w:rsidR="00471C28" w:rsidRPr="00D80793" w:rsidRDefault="00CF15C9">
      <w:pPr>
        <w:pBdr>
          <w:top w:val="nil"/>
          <w:left w:val="nil"/>
          <w:bottom w:val="nil"/>
          <w:right w:val="nil"/>
          <w:between w:val="nil"/>
        </w:pBdr>
        <w:spacing w:before="60" w:after="120"/>
        <w:ind w:left="720"/>
        <w:rPr>
          <w:rFonts w:eastAsia="Century Gothic" w:cs="Century Gothic"/>
          <w:color w:val="000000"/>
        </w:rPr>
      </w:pPr>
      <w:r w:rsidRPr="00D80793">
        <w:rPr>
          <w:rFonts w:eastAsia="Century Gothic" w:cs="Century Gothic"/>
          <w:color w:val="000000"/>
        </w:rPr>
        <w:t>Carbon contained in above ground live tree biomass at the end of the activity period is calculated as follows:</w:t>
      </w:r>
    </w:p>
    <w:tbl>
      <w:tblPr>
        <w:tblW w:w="8550" w:type="dxa"/>
        <w:tblInd w:w="7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6997"/>
        <w:gridCol w:w="1553"/>
      </w:tblGrid>
      <w:tr w:rsidR="00471C28" w14:paraId="46065871" w14:textId="77777777">
        <w:trPr>
          <w:trHeight w:val="525"/>
        </w:trPr>
        <w:tc>
          <w:tcPr>
            <w:tcW w:w="6997" w:type="dxa"/>
            <w:shd w:val="clear" w:color="auto" w:fill="auto"/>
          </w:tcPr>
          <w:p w14:paraId="000000F8" w14:textId="77777777" w:rsidR="00471C28" w:rsidRDefault="00000000" w:rsidP="00403AE6">
            <m:oMathPara>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t</m:t>
                    </m:r>
                    <m:r>
                      <m:rPr>
                        <m:sty m:val="p"/>
                      </m:rPr>
                      <w:rPr>
                        <w:rFonts w:ascii="Cambria Math" w:hAnsi="Cambria Math"/>
                        <w:sz w:val="20"/>
                        <w:szCs w:val="20"/>
                      </w:rPr>
                      <m:t xml:space="preserve">1, </m:t>
                    </m:r>
                    <m:r>
                      <w:rPr>
                        <w:rFonts w:ascii="Cambria Math" w:hAnsi="Cambria Math"/>
                        <w:sz w:val="20"/>
                        <w:szCs w:val="20"/>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PP</m:t>
                    </m:r>
                  </m:e>
                  <m:sub>
                    <m:r>
                      <w:rPr>
                        <w:rFonts w:ascii="Cambria Math" w:hAnsi="Cambria Math"/>
                      </w:rPr>
                      <m:t>Ct</m:t>
                    </m:r>
                    <m:r>
                      <m:rPr>
                        <m:sty m:val="p"/>
                      </m:rPr>
                      <w:rPr>
                        <w:rFonts w:ascii="Cambria Math" w:hAnsi="Cambria Math"/>
                      </w:rPr>
                      <m:t xml:space="preserve">1, </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PP</m:t>
                    </m:r>
                  </m:e>
                  <m:sub>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oMath>
            </m:oMathPara>
          </w:p>
        </w:tc>
        <w:tc>
          <w:tcPr>
            <w:tcW w:w="1553" w:type="dxa"/>
            <w:shd w:val="clear" w:color="auto" w:fill="auto"/>
          </w:tcPr>
          <w:p w14:paraId="000000F9" w14:textId="48F77196" w:rsidR="00471C28" w:rsidRDefault="00CF15C9" w:rsidP="00403AE6">
            <w:bookmarkStart w:id="31" w:name="_heading=h.1mrcu09" w:colFirst="0" w:colLast="0"/>
            <w:bookmarkEnd w:id="31"/>
            <w:r>
              <w:t>(</w:t>
            </w:r>
            <w:r w:rsidR="00FE6296">
              <w:t>4</w:t>
            </w:r>
            <w:r>
              <w:t>)</w:t>
            </w:r>
          </w:p>
        </w:tc>
      </w:tr>
    </w:tbl>
    <w:p w14:paraId="000000FA" w14:textId="77777777" w:rsidR="00471C28" w:rsidRPr="00095583" w:rsidRDefault="00CF15C9">
      <w:pPr>
        <w:tabs>
          <w:tab w:val="left" w:pos="7920"/>
        </w:tabs>
        <w:spacing w:before="60" w:after="120" w:line="288" w:lineRule="auto"/>
        <w:ind w:left="720"/>
        <w:rPr>
          <w:rFonts w:eastAsia="Century Gothic" w:cs="Century Gothic"/>
        </w:rPr>
      </w:pPr>
      <w:r w:rsidRPr="00095583">
        <w:rPr>
          <w:rFonts w:eastAsia="Century Gothic" w:cs="Century Gothic"/>
        </w:rPr>
        <w:t xml:space="preserve">Where: </w:t>
      </w: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885"/>
        <w:gridCol w:w="6745"/>
      </w:tblGrid>
      <w:tr w:rsidR="00471C28" w:rsidRPr="00095583" w14:paraId="7C7BB5B9" w14:textId="77777777">
        <w:trPr>
          <w:trHeight w:val="710"/>
        </w:trPr>
        <w:tc>
          <w:tcPr>
            <w:tcW w:w="1885" w:type="dxa"/>
            <w:shd w:val="clear" w:color="auto" w:fill="CCD4E5"/>
            <w:vAlign w:val="center"/>
          </w:tcPr>
          <w:p w14:paraId="000000FB" w14:textId="77777777" w:rsidR="00471C28" w:rsidRPr="00095583" w:rsidRDefault="00CF15C9">
            <w:pPr>
              <w:spacing w:before="60" w:after="120"/>
              <w:rPr>
                <w:rFonts w:eastAsia="Century Gothic" w:cs="Century Gothic"/>
              </w:rPr>
            </w:pPr>
            <w:bookmarkStart w:id="32" w:name="_heading=h.46r0co2" w:colFirst="0" w:colLast="0"/>
            <w:bookmarkEnd w:id="32"/>
            <w:r w:rsidRPr="00095583">
              <w:rPr>
                <w:rFonts w:eastAsia="Century Gothic" w:cs="Century Gothic"/>
              </w:rPr>
              <w:t>C</w:t>
            </w:r>
            <w:r w:rsidRPr="00095583">
              <w:rPr>
                <w:rFonts w:eastAsia="Century Gothic" w:cs="Century Gothic"/>
                <w:vertAlign w:val="subscript"/>
              </w:rPr>
              <w:t>t</w:t>
            </w:r>
            <w:proofErr w:type="gramStart"/>
            <w:r w:rsidRPr="00095583">
              <w:rPr>
                <w:rFonts w:eastAsia="Century Gothic" w:cs="Century Gothic"/>
                <w:vertAlign w:val="subscript"/>
              </w:rPr>
              <w:t>1,i</w:t>
            </w:r>
            <w:proofErr w:type="gramEnd"/>
          </w:p>
        </w:tc>
        <w:tc>
          <w:tcPr>
            <w:tcW w:w="6745" w:type="dxa"/>
            <w:shd w:val="clear" w:color="auto" w:fill="CCD4E5"/>
            <w:vAlign w:val="center"/>
          </w:tcPr>
          <w:p w14:paraId="000000FC" w14:textId="77777777" w:rsidR="00471C28" w:rsidRPr="00095583" w:rsidRDefault="00CF15C9">
            <w:pPr>
              <w:tabs>
                <w:tab w:val="left" w:pos="1440"/>
              </w:tabs>
              <w:spacing w:before="60" w:after="120" w:line="288" w:lineRule="auto"/>
              <w:ind w:left="-14"/>
              <w:rPr>
                <w:rFonts w:eastAsia="Century Gothic" w:cs="Century Gothic"/>
              </w:rPr>
            </w:pPr>
            <w:r w:rsidRPr="00095583">
              <w:rPr>
                <w:rFonts w:eastAsia="Century Gothic" w:cs="Century Gothic"/>
              </w:rPr>
              <w:t xml:space="preserve">Carbon contained in above ground live tree biomass at the end of the activity period (t1), for participating property, </w:t>
            </w:r>
            <w:proofErr w:type="spellStart"/>
            <w:r w:rsidRPr="00095583">
              <w:rPr>
                <w:rFonts w:eastAsia="Century Gothic" w:cs="Century Gothic"/>
              </w:rPr>
              <w:t>i</w:t>
            </w:r>
            <w:proofErr w:type="spellEnd"/>
            <w:r w:rsidRPr="00095583">
              <w:rPr>
                <w:rFonts w:eastAsia="Century Gothic" w:cs="Century Gothic"/>
              </w:rPr>
              <w:t>; (tCO</w:t>
            </w:r>
            <w:r w:rsidRPr="00095583">
              <w:rPr>
                <w:rFonts w:eastAsia="Century Gothic" w:cs="Century Gothic"/>
                <w:vertAlign w:val="subscript"/>
              </w:rPr>
              <w:t>2</w:t>
            </w:r>
            <w:r w:rsidRPr="00095583">
              <w:rPr>
                <w:rFonts w:eastAsia="Century Gothic" w:cs="Century Gothic"/>
              </w:rPr>
              <w:t>)</w:t>
            </w:r>
          </w:p>
        </w:tc>
      </w:tr>
      <w:tr w:rsidR="00471C28" w:rsidRPr="00095583" w14:paraId="30F76FC5" w14:textId="77777777">
        <w:tc>
          <w:tcPr>
            <w:tcW w:w="1885" w:type="dxa"/>
            <w:shd w:val="clear" w:color="auto" w:fill="CCD4E5"/>
            <w:vAlign w:val="center"/>
          </w:tcPr>
          <w:p w14:paraId="000000FD" w14:textId="77777777" w:rsidR="00471C28" w:rsidRPr="00095583" w:rsidRDefault="00CF15C9">
            <w:pPr>
              <w:tabs>
                <w:tab w:val="left" w:pos="7920"/>
              </w:tabs>
              <w:spacing w:before="60" w:after="120" w:line="288" w:lineRule="auto"/>
              <w:rPr>
                <w:rFonts w:eastAsia="Century Gothic" w:cs="Century Gothic"/>
              </w:rPr>
            </w:pPr>
            <w:proofErr w:type="gramStart"/>
            <w:r w:rsidRPr="00095583">
              <w:rPr>
                <w:rFonts w:eastAsia="Century Gothic" w:cs="Century Gothic"/>
              </w:rPr>
              <w:t>PP</w:t>
            </w:r>
            <w:r w:rsidRPr="00095583">
              <w:rPr>
                <w:rFonts w:eastAsia="Century Gothic" w:cs="Century Gothic"/>
                <w:vertAlign w:val="subscript"/>
              </w:rPr>
              <w:t>C,t</w:t>
            </w:r>
            <w:proofErr w:type="gramEnd"/>
            <w:r w:rsidRPr="00095583">
              <w:rPr>
                <w:rFonts w:eastAsia="Century Gothic" w:cs="Century Gothic"/>
                <w:vertAlign w:val="subscript"/>
              </w:rPr>
              <w:t>1,i</w:t>
            </w:r>
          </w:p>
        </w:tc>
        <w:tc>
          <w:tcPr>
            <w:tcW w:w="6745" w:type="dxa"/>
            <w:shd w:val="clear" w:color="auto" w:fill="CCD4E5"/>
            <w:vAlign w:val="center"/>
          </w:tcPr>
          <w:p w14:paraId="000000FE" w14:textId="12B6DB77" w:rsidR="00471C28" w:rsidRPr="00095583" w:rsidRDefault="00CF15C9">
            <w:pPr>
              <w:tabs>
                <w:tab w:val="left" w:pos="1440"/>
              </w:tabs>
              <w:spacing w:before="60" w:after="120" w:line="288" w:lineRule="auto"/>
              <w:ind w:hanging="21"/>
              <w:rPr>
                <w:rFonts w:eastAsia="Century Gothic" w:cs="Century Gothic"/>
              </w:rPr>
            </w:pPr>
            <w:r w:rsidRPr="00095583">
              <w:rPr>
                <w:rFonts w:eastAsia="Century Gothic" w:cs="Century Gothic"/>
              </w:rPr>
              <w:t xml:space="preserve">Above ground live tree carbon at participating property, </w:t>
            </w:r>
            <w:proofErr w:type="spellStart"/>
            <w:r w:rsidRPr="00095583">
              <w:rPr>
                <w:rFonts w:eastAsia="Century Gothic" w:cs="Century Gothic"/>
              </w:rPr>
              <w:t>i</w:t>
            </w:r>
            <w:proofErr w:type="spellEnd"/>
            <w:r w:rsidRPr="00095583">
              <w:rPr>
                <w:rFonts w:eastAsia="Century Gothic" w:cs="Century Gothic"/>
              </w:rPr>
              <w:t>, at the end (t1) of activity period, t; (tCO</w:t>
            </w:r>
            <w:r w:rsidRPr="00095583">
              <w:rPr>
                <w:rFonts w:eastAsia="Century Gothic" w:cs="Century Gothic"/>
                <w:vertAlign w:val="subscript"/>
              </w:rPr>
              <w:t>2</w:t>
            </w:r>
            <w:r w:rsidRPr="00095583">
              <w:rPr>
                <w:rFonts w:eastAsia="Century Gothic" w:cs="Century Gothic"/>
              </w:rPr>
              <w:t>/ha)</w:t>
            </w:r>
          </w:p>
        </w:tc>
      </w:tr>
      <w:tr w:rsidR="00471C28" w:rsidRPr="00095583" w14:paraId="1F87B242" w14:textId="77777777">
        <w:tc>
          <w:tcPr>
            <w:tcW w:w="1885" w:type="dxa"/>
            <w:shd w:val="clear" w:color="auto" w:fill="CCD4E5"/>
            <w:vAlign w:val="center"/>
          </w:tcPr>
          <w:p w14:paraId="000000FF" w14:textId="77777777" w:rsidR="00471C28" w:rsidRPr="00095583" w:rsidRDefault="00CF15C9">
            <w:pPr>
              <w:tabs>
                <w:tab w:val="left" w:pos="7920"/>
              </w:tabs>
              <w:spacing w:before="60" w:after="120" w:line="288" w:lineRule="auto"/>
              <w:rPr>
                <w:rFonts w:eastAsia="Century Gothic" w:cs="Century Gothic"/>
              </w:rPr>
            </w:pPr>
            <w:proofErr w:type="spellStart"/>
            <w:proofErr w:type="gramStart"/>
            <w:r w:rsidRPr="00095583">
              <w:rPr>
                <w:rFonts w:eastAsia="Century Gothic" w:cs="Century Gothic"/>
              </w:rPr>
              <w:t>PP</w:t>
            </w:r>
            <w:r w:rsidRPr="00095583">
              <w:rPr>
                <w:rFonts w:eastAsia="Century Gothic" w:cs="Century Gothic"/>
                <w:vertAlign w:val="subscript"/>
              </w:rPr>
              <w:t>a,t</w:t>
            </w:r>
            <w:proofErr w:type="gramEnd"/>
            <w:r w:rsidRPr="00095583">
              <w:rPr>
                <w:rFonts w:eastAsia="Century Gothic" w:cs="Century Gothic"/>
                <w:vertAlign w:val="subscript"/>
              </w:rPr>
              <w:t>,i</w:t>
            </w:r>
            <w:proofErr w:type="spellEnd"/>
          </w:p>
        </w:tc>
        <w:tc>
          <w:tcPr>
            <w:tcW w:w="6745" w:type="dxa"/>
            <w:shd w:val="clear" w:color="auto" w:fill="CCD4E5"/>
            <w:vAlign w:val="center"/>
          </w:tcPr>
          <w:p w14:paraId="00000100" w14:textId="0C0E1683" w:rsidR="00471C28" w:rsidRPr="00095583" w:rsidRDefault="00CF15C9">
            <w:pPr>
              <w:tabs>
                <w:tab w:val="left" w:pos="1440"/>
              </w:tabs>
              <w:spacing w:before="60" w:after="120" w:line="288" w:lineRule="auto"/>
              <w:ind w:hanging="21"/>
              <w:rPr>
                <w:rFonts w:eastAsia="Century Gothic" w:cs="Century Gothic"/>
              </w:rPr>
            </w:pPr>
            <w:r w:rsidRPr="00095583">
              <w:rPr>
                <w:rFonts w:eastAsia="Century Gothic" w:cs="Century Gothic"/>
              </w:rPr>
              <w:t xml:space="preserve">Area of participating property, </w:t>
            </w:r>
            <w:proofErr w:type="spellStart"/>
            <w:r w:rsidRPr="00095583">
              <w:rPr>
                <w:rFonts w:eastAsia="Century Gothic" w:cs="Century Gothic"/>
              </w:rPr>
              <w:t>i</w:t>
            </w:r>
            <w:proofErr w:type="spellEnd"/>
            <w:r w:rsidRPr="00095583">
              <w:rPr>
                <w:rFonts w:eastAsia="Century Gothic" w:cs="Century Gothic"/>
              </w:rPr>
              <w:t>, during activity period, t; (hectares)</w:t>
            </w:r>
          </w:p>
        </w:tc>
      </w:tr>
    </w:tbl>
    <w:p w14:paraId="00000101" w14:textId="77777777" w:rsidR="00471C28" w:rsidRPr="00095583" w:rsidRDefault="00CF15C9">
      <w:pPr>
        <w:spacing w:before="60" w:after="120" w:line="288" w:lineRule="auto"/>
        <w:ind w:left="720"/>
        <w:rPr>
          <w:rFonts w:eastAsia="Century Gothic" w:cs="Century Gothic"/>
        </w:rPr>
      </w:pPr>
      <w:r w:rsidRPr="00095583">
        <w:rPr>
          <w:rFonts w:eastAsia="Century Gothic" w:cs="Century Gothic"/>
        </w:rPr>
        <w:t xml:space="preserve">The amount of deferred carbon (carbon existing above and beyond the baseline scenario) at the end of a cycle is: </w:t>
      </w:r>
    </w:p>
    <w:tbl>
      <w:tblPr>
        <w:tblW w:w="8550" w:type="dxa"/>
        <w:tblInd w:w="7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6642"/>
        <w:gridCol w:w="1908"/>
      </w:tblGrid>
      <w:tr w:rsidR="00540A8E" w14:paraId="2604CB2B" w14:textId="77777777">
        <w:trPr>
          <w:trHeight w:val="540"/>
        </w:trPr>
        <w:tc>
          <w:tcPr>
            <w:tcW w:w="6642" w:type="dxa"/>
            <w:shd w:val="clear" w:color="auto" w:fill="auto"/>
            <w:vAlign w:val="center"/>
          </w:tcPr>
          <w:p w14:paraId="00000102" w14:textId="11877034" w:rsidR="00540A8E" w:rsidRPr="00095583" w:rsidRDefault="00000000" w:rsidP="00403AE6">
            <w:pPr>
              <w:rPr>
                <w:rFonts w:eastAsia="Libre Franklin" w:cs="Libre Franklin"/>
              </w:rPr>
            </w:pPr>
            <m:oMathPara>
              <m:oMath>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CO</m:t>
                    </m:r>
                    <m:r>
                      <m:rPr>
                        <m:sty m:val="p"/>
                      </m:rPr>
                      <w:rPr>
                        <w:rFonts w:ascii="Cambria Math" w:hAnsi="Cambria Math"/>
                      </w:rPr>
                      <m:t>2</m:t>
                    </m:r>
                  </m:e>
                  <m:sub>
                    <m:r>
                      <w:rPr>
                        <w:rFonts w:ascii="Cambria Math" w:hAnsi="Cambria Math"/>
                      </w:rPr>
                      <m:t>p</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CO</m:t>
                    </m:r>
                    <m:r>
                      <m:rPr>
                        <m:sty m:val="p"/>
                      </m:rPr>
                      <w:rPr>
                        <w:rFonts w:ascii="Cambria Math" w:hAnsi="Cambria Math"/>
                      </w:rPr>
                      <m:t>2</m:t>
                    </m:r>
                  </m:e>
                  <m:sub>
                    <m:r>
                      <w:rPr>
                        <w:rFonts w:ascii="Cambria Math" w:hAnsi="Cambria Math"/>
                      </w:rPr>
                      <m:t>bsl</m:t>
                    </m:r>
                    <m:r>
                      <m:rPr>
                        <m:sty m:val="p"/>
                      </m:rPr>
                      <w:rPr>
                        <w:rFonts w:ascii="Cambria Math" w:hAnsi="Cambria Math"/>
                      </w:rPr>
                      <m:t>,</m:t>
                    </m:r>
                    <m:r>
                      <w:rPr>
                        <w:rFonts w:ascii="Cambria Math" w:hAnsi="Cambria Math"/>
                      </w:rPr>
                      <m:t>t</m:t>
                    </m:r>
                  </m:sub>
                </m:sSub>
              </m:oMath>
            </m:oMathPara>
          </w:p>
        </w:tc>
        <w:tc>
          <w:tcPr>
            <w:tcW w:w="1908" w:type="dxa"/>
            <w:vMerge w:val="restart"/>
            <w:shd w:val="clear" w:color="auto" w:fill="auto"/>
            <w:vAlign w:val="center"/>
          </w:tcPr>
          <w:p w14:paraId="00000103" w14:textId="16822443" w:rsidR="00540A8E" w:rsidRPr="00095583" w:rsidRDefault="00540A8E" w:rsidP="00403AE6">
            <w:pPr>
              <w:rPr>
                <w:rFonts w:eastAsia="Libre Franklin" w:cs="Libre Franklin"/>
              </w:rPr>
            </w:pPr>
            <w:r w:rsidRPr="00095583">
              <w:rPr>
                <w:rFonts w:eastAsia="Libre Franklin" w:cs="Libre Franklin"/>
              </w:rPr>
              <w:t>(</w:t>
            </w:r>
            <w:r w:rsidR="00FE6296" w:rsidRPr="00095583">
              <w:rPr>
                <w:rFonts w:eastAsia="Libre Franklin" w:cs="Libre Franklin"/>
              </w:rPr>
              <w:t>5</w:t>
            </w:r>
            <w:r w:rsidRPr="00095583">
              <w:rPr>
                <w:rFonts w:eastAsia="Libre Franklin" w:cs="Libre Franklin"/>
              </w:rPr>
              <w:t>)</w:t>
            </w:r>
          </w:p>
        </w:tc>
      </w:tr>
      <w:tr w:rsidR="00540A8E" w14:paraId="20F2F0C3" w14:textId="77777777">
        <w:trPr>
          <w:trHeight w:val="540"/>
        </w:trPr>
        <w:tc>
          <w:tcPr>
            <w:tcW w:w="6642" w:type="dxa"/>
            <w:shd w:val="clear" w:color="auto" w:fill="auto"/>
            <w:vAlign w:val="center"/>
          </w:tcPr>
          <w:p w14:paraId="00000104" w14:textId="4DCEB7BE" w:rsidR="00540A8E" w:rsidRPr="00095583" w:rsidRDefault="00540A8E" w:rsidP="00403AE6">
            <w:pPr>
              <w:rPr>
                <w:rFonts w:eastAsia="Libre Franklin" w:cs="Libre Franklin"/>
              </w:rPr>
            </w:pPr>
          </w:p>
        </w:tc>
        <w:tc>
          <w:tcPr>
            <w:tcW w:w="1908" w:type="dxa"/>
            <w:vMerge/>
            <w:shd w:val="clear" w:color="auto" w:fill="auto"/>
            <w:vAlign w:val="center"/>
          </w:tcPr>
          <w:p w14:paraId="00000105" w14:textId="77777777" w:rsidR="00540A8E" w:rsidRPr="00095583" w:rsidRDefault="00540A8E" w:rsidP="00403AE6">
            <w:pPr>
              <w:rPr>
                <w:rFonts w:eastAsia="Libre Franklin" w:cs="Libre Franklin"/>
              </w:rPr>
            </w:pPr>
          </w:p>
        </w:tc>
      </w:tr>
      <w:tr w:rsidR="00540A8E" w14:paraId="41EA609C" w14:textId="77777777">
        <w:trPr>
          <w:trHeight w:val="540"/>
        </w:trPr>
        <w:tc>
          <w:tcPr>
            <w:tcW w:w="6642" w:type="dxa"/>
            <w:shd w:val="clear" w:color="auto" w:fill="auto"/>
            <w:vAlign w:val="center"/>
          </w:tcPr>
          <w:p w14:paraId="00000106" w14:textId="733B82AF" w:rsidR="00540A8E" w:rsidRDefault="00540A8E" w:rsidP="00095583">
            <w:pPr>
              <w:rPr>
                <w:rFonts w:ascii="Cambria Math" w:eastAsia="Cambria Math" w:hAnsi="Cambria Math" w:cs="Cambria Math"/>
                <w:sz w:val="20"/>
                <w:szCs w:val="20"/>
              </w:rPr>
            </w:pPr>
          </w:p>
        </w:tc>
        <w:tc>
          <w:tcPr>
            <w:tcW w:w="1908" w:type="dxa"/>
            <w:vMerge/>
            <w:shd w:val="clear" w:color="auto" w:fill="auto"/>
            <w:vAlign w:val="center"/>
          </w:tcPr>
          <w:p w14:paraId="00000107" w14:textId="77777777" w:rsidR="00540A8E" w:rsidRDefault="00540A8E">
            <w:pPr>
              <w:widowControl w:val="0"/>
              <w:pBdr>
                <w:top w:val="nil"/>
                <w:left w:val="nil"/>
                <w:bottom w:val="nil"/>
                <w:right w:val="nil"/>
                <w:between w:val="nil"/>
              </w:pBdr>
              <w:spacing w:line="276" w:lineRule="auto"/>
              <w:rPr>
                <w:rFonts w:ascii="Cambria Math" w:eastAsia="Cambria Math" w:hAnsi="Cambria Math" w:cs="Cambria Math"/>
                <w:sz w:val="20"/>
                <w:szCs w:val="20"/>
              </w:rPr>
            </w:pPr>
          </w:p>
        </w:tc>
      </w:tr>
    </w:tbl>
    <w:p w14:paraId="00000108" w14:textId="77777777" w:rsidR="00471C28" w:rsidRPr="00095583" w:rsidRDefault="00CF15C9">
      <w:pPr>
        <w:tabs>
          <w:tab w:val="left" w:pos="7920"/>
        </w:tabs>
        <w:spacing w:before="60" w:after="120" w:line="288" w:lineRule="auto"/>
        <w:ind w:left="720"/>
        <w:rPr>
          <w:rFonts w:eastAsia="Century Gothic" w:cs="Century Gothic"/>
        </w:rPr>
      </w:pPr>
      <w:r w:rsidRPr="00095583">
        <w:rPr>
          <w:rFonts w:eastAsia="Century Gothic" w:cs="Century Gothic"/>
        </w:rPr>
        <w:t xml:space="preserve">Where: </w:t>
      </w: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885"/>
        <w:gridCol w:w="6745"/>
      </w:tblGrid>
      <w:tr w:rsidR="00471C28" w:rsidRPr="00095583" w14:paraId="5789248D" w14:textId="77777777">
        <w:trPr>
          <w:trHeight w:val="710"/>
        </w:trPr>
        <w:tc>
          <w:tcPr>
            <w:tcW w:w="1885" w:type="dxa"/>
            <w:shd w:val="clear" w:color="auto" w:fill="CCD4E5"/>
            <w:vAlign w:val="center"/>
          </w:tcPr>
          <w:p w14:paraId="00000109" w14:textId="77777777" w:rsidR="00471C28" w:rsidRPr="00095583" w:rsidRDefault="00CF15C9">
            <w:pPr>
              <w:spacing w:before="60" w:after="120"/>
              <w:rPr>
                <w:rFonts w:eastAsia="Century Gothic" w:cs="Century Gothic"/>
              </w:rPr>
            </w:pPr>
            <w:bookmarkStart w:id="33" w:name="_heading=h.4k668n3" w:colFirst="0" w:colLast="0"/>
            <w:bookmarkEnd w:id="33"/>
            <w:r w:rsidRPr="00095583">
              <w:rPr>
                <w:rFonts w:eastAsia="Century Gothic" w:cs="Century Gothic"/>
              </w:rPr>
              <w:lastRenderedPageBreak/>
              <w:t>C</w:t>
            </w:r>
            <w:r w:rsidRPr="00095583">
              <w:rPr>
                <w:rFonts w:eastAsia="Century Gothic" w:cs="Century Gothic"/>
                <w:vertAlign w:val="subscript"/>
              </w:rPr>
              <w:t>d</w:t>
            </w:r>
          </w:p>
        </w:tc>
        <w:tc>
          <w:tcPr>
            <w:tcW w:w="6745" w:type="dxa"/>
            <w:shd w:val="clear" w:color="auto" w:fill="CCD4E5"/>
            <w:vAlign w:val="center"/>
          </w:tcPr>
          <w:p w14:paraId="0000010A" w14:textId="77777777" w:rsidR="00471C28" w:rsidRPr="00095583" w:rsidRDefault="00CF15C9">
            <w:pPr>
              <w:tabs>
                <w:tab w:val="left" w:pos="1440"/>
              </w:tabs>
              <w:spacing w:before="60" w:after="120" w:line="288" w:lineRule="auto"/>
              <w:ind w:left="-14"/>
              <w:rPr>
                <w:rFonts w:eastAsia="Century Gothic" w:cs="Century Gothic"/>
              </w:rPr>
            </w:pPr>
            <w:r w:rsidRPr="00095583">
              <w:rPr>
                <w:rFonts w:eastAsia="Century Gothic" w:cs="Century Gothic"/>
              </w:rPr>
              <w:t>Amount of deferred carbon between t0 and t1, i.e., additional above ground live tree biomass resulting from the project; (tCO</w:t>
            </w:r>
            <w:r w:rsidRPr="00095583">
              <w:rPr>
                <w:rFonts w:eastAsia="Century Gothic" w:cs="Century Gothic"/>
                <w:vertAlign w:val="subscript"/>
              </w:rPr>
              <w:t>2</w:t>
            </w:r>
            <w:r w:rsidRPr="00095583">
              <w:rPr>
                <w:rFonts w:eastAsia="Century Gothic" w:cs="Century Gothic"/>
              </w:rPr>
              <w:t>)</w:t>
            </w:r>
          </w:p>
        </w:tc>
      </w:tr>
      <w:tr w:rsidR="00471C28" w:rsidRPr="00095583" w14:paraId="607C1354" w14:textId="77777777">
        <w:trPr>
          <w:trHeight w:val="710"/>
        </w:trPr>
        <w:tc>
          <w:tcPr>
            <w:tcW w:w="1885" w:type="dxa"/>
            <w:shd w:val="clear" w:color="auto" w:fill="CCD4E5"/>
            <w:vAlign w:val="center"/>
          </w:tcPr>
          <w:p w14:paraId="0000010F" w14:textId="77777777" w:rsidR="00471C28" w:rsidRPr="00095583" w:rsidRDefault="00CF15C9">
            <w:pPr>
              <w:spacing w:before="60" w:after="120"/>
              <w:rPr>
                <w:rFonts w:eastAsia="Century Gothic" w:cs="Century Gothic"/>
              </w:rPr>
            </w:pPr>
            <w:r w:rsidRPr="00095583">
              <w:rPr>
                <w:rFonts w:eastAsia="Century Gothic" w:cs="Century Gothic"/>
                <w:color w:val="000000"/>
              </w:rPr>
              <w:t>∆</w:t>
            </w:r>
            <w:r w:rsidRPr="00095583">
              <w:rPr>
                <w:rFonts w:eastAsia="Century Gothic" w:cs="Century Gothic"/>
              </w:rPr>
              <w:t>CO2</w:t>
            </w:r>
            <w:proofErr w:type="gramStart"/>
            <w:r w:rsidRPr="00095583">
              <w:rPr>
                <w:rFonts w:eastAsia="Century Gothic" w:cs="Century Gothic"/>
                <w:vertAlign w:val="subscript"/>
              </w:rPr>
              <w:t>bsl,t</w:t>
            </w:r>
            <w:proofErr w:type="gramEnd"/>
          </w:p>
        </w:tc>
        <w:tc>
          <w:tcPr>
            <w:tcW w:w="6745" w:type="dxa"/>
            <w:shd w:val="clear" w:color="auto" w:fill="CCD4E5"/>
            <w:vAlign w:val="center"/>
          </w:tcPr>
          <w:p w14:paraId="00000110" w14:textId="77777777" w:rsidR="00471C28" w:rsidRPr="00095583" w:rsidRDefault="00CF15C9">
            <w:pPr>
              <w:tabs>
                <w:tab w:val="left" w:pos="1440"/>
              </w:tabs>
              <w:spacing w:before="60" w:after="120" w:line="288" w:lineRule="auto"/>
              <w:ind w:hanging="14"/>
              <w:rPr>
                <w:rFonts w:eastAsia="Century Gothic" w:cs="Century Gothic"/>
              </w:rPr>
            </w:pPr>
            <w:r w:rsidRPr="00095583">
              <w:rPr>
                <w:rFonts w:eastAsia="Century Gothic" w:cs="Century Gothic"/>
              </w:rPr>
              <w:t>Stock change in above ground live tree biomass in the baseline scenario in the activity period, t; (tCO</w:t>
            </w:r>
            <w:r w:rsidRPr="00095583">
              <w:rPr>
                <w:rFonts w:eastAsia="Century Gothic" w:cs="Century Gothic"/>
                <w:vertAlign w:val="subscript"/>
              </w:rPr>
              <w:t>2</w:t>
            </w:r>
            <w:r w:rsidRPr="00095583">
              <w:rPr>
                <w:rFonts w:eastAsia="Century Gothic" w:cs="Century Gothic"/>
              </w:rPr>
              <w:t>)</w:t>
            </w:r>
          </w:p>
        </w:tc>
      </w:tr>
      <w:tr w:rsidR="00471C28" w:rsidRPr="00095583" w14:paraId="12FE6418" w14:textId="77777777">
        <w:tc>
          <w:tcPr>
            <w:tcW w:w="1885" w:type="dxa"/>
            <w:shd w:val="clear" w:color="auto" w:fill="CCD4E5"/>
            <w:vAlign w:val="center"/>
          </w:tcPr>
          <w:p w14:paraId="00000111" w14:textId="77777777" w:rsidR="00471C28" w:rsidRPr="00095583" w:rsidRDefault="00CF15C9">
            <w:pPr>
              <w:spacing w:before="60" w:after="120"/>
              <w:rPr>
                <w:rFonts w:eastAsia="Century Gothic" w:cs="Century Gothic"/>
              </w:rPr>
            </w:pPr>
            <w:r w:rsidRPr="00095583">
              <w:rPr>
                <w:rFonts w:eastAsia="Century Gothic" w:cs="Century Gothic"/>
                <w:color w:val="000000"/>
              </w:rPr>
              <w:t>∆</w:t>
            </w:r>
            <w:r w:rsidRPr="00095583">
              <w:rPr>
                <w:rFonts w:eastAsia="Century Gothic" w:cs="Century Gothic"/>
              </w:rPr>
              <w:t>CO2</w:t>
            </w:r>
            <w:proofErr w:type="gramStart"/>
            <w:r w:rsidRPr="00095583">
              <w:rPr>
                <w:rFonts w:eastAsia="Century Gothic" w:cs="Century Gothic"/>
                <w:vertAlign w:val="subscript"/>
              </w:rPr>
              <w:t>p,t</w:t>
            </w:r>
            <w:proofErr w:type="gramEnd"/>
          </w:p>
        </w:tc>
        <w:tc>
          <w:tcPr>
            <w:tcW w:w="6745" w:type="dxa"/>
            <w:shd w:val="clear" w:color="auto" w:fill="CCD4E5"/>
            <w:vAlign w:val="center"/>
          </w:tcPr>
          <w:p w14:paraId="00000112" w14:textId="77777777" w:rsidR="00471C28" w:rsidRPr="00095583" w:rsidRDefault="00CF15C9">
            <w:pPr>
              <w:tabs>
                <w:tab w:val="left" w:pos="1440"/>
              </w:tabs>
              <w:spacing w:before="60" w:after="120" w:line="288" w:lineRule="auto"/>
              <w:ind w:hanging="14"/>
              <w:rPr>
                <w:rFonts w:eastAsia="Century Gothic" w:cs="Century Gothic"/>
              </w:rPr>
            </w:pPr>
            <w:r w:rsidRPr="00095583">
              <w:rPr>
                <w:rFonts w:eastAsia="Century Gothic" w:cs="Century Gothic"/>
              </w:rPr>
              <w:t>Stock change in above ground live tree biomass in the project scenario in the activity period, t; (tCO</w:t>
            </w:r>
            <w:r w:rsidRPr="00095583">
              <w:rPr>
                <w:rFonts w:eastAsia="Century Gothic" w:cs="Century Gothic"/>
                <w:vertAlign w:val="subscript"/>
              </w:rPr>
              <w:t>2</w:t>
            </w:r>
            <w:r w:rsidRPr="00095583">
              <w:rPr>
                <w:rFonts w:eastAsia="Century Gothic" w:cs="Century Gothic"/>
              </w:rPr>
              <w:t>)</w:t>
            </w:r>
          </w:p>
        </w:tc>
      </w:tr>
    </w:tbl>
    <w:p w14:paraId="00000113" w14:textId="77777777" w:rsidR="00471C28" w:rsidRDefault="00CF15C9" w:rsidP="00095583">
      <w:pPr>
        <w:pStyle w:val="Heading2"/>
      </w:pPr>
      <w:bookmarkStart w:id="34" w:name="_Toc98322289"/>
      <w:r w:rsidRPr="00095583">
        <w:t>Leakage</w:t>
      </w:r>
      <w:bookmarkEnd w:id="34"/>
    </w:p>
    <w:p w14:paraId="00000114" w14:textId="28F4FE83" w:rsidR="00471C28" w:rsidRPr="00095583" w:rsidRDefault="00CF15C9">
      <w:pPr>
        <w:spacing w:after="120"/>
        <w:ind w:left="720"/>
        <w:rPr>
          <w:rFonts w:eastAsia="Century Gothic" w:cs="Century Gothic"/>
        </w:rPr>
      </w:pPr>
      <w:r w:rsidRPr="00095583">
        <w:rPr>
          <w:rFonts w:eastAsia="Century Gothic" w:cs="Century Gothic"/>
        </w:rPr>
        <w:t>Activity shifting leakage is assumed to be zero given the Applicability Condition</w:t>
      </w:r>
      <w:r w:rsidR="00CE1247" w:rsidRPr="00095583">
        <w:rPr>
          <w:rFonts w:eastAsia="Century Gothic" w:cs="Century Gothic"/>
        </w:rPr>
        <w:t xml:space="preserve"> 7</w:t>
      </w:r>
      <w:r w:rsidRPr="00095583">
        <w:rPr>
          <w:rFonts w:eastAsia="Century Gothic" w:cs="Century Gothic"/>
        </w:rPr>
        <w:t xml:space="preserve"> in section 4</w:t>
      </w:r>
      <w:r w:rsidR="00F31788" w:rsidRPr="00095583">
        <w:rPr>
          <w:rFonts w:eastAsia="Century Gothic" w:cs="Century Gothic"/>
        </w:rPr>
        <w:t xml:space="preserve">, as owners/managers must </w:t>
      </w:r>
      <w:proofErr w:type="spellStart"/>
      <w:r w:rsidR="00F31788" w:rsidRPr="00095583">
        <w:rPr>
          <w:rFonts w:eastAsia="Century Gothic" w:cs="Century Gothic"/>
        </w:rPr>
        <w:t>enroll</w:t>
      </w:r>
      <w:proofErr w:type="spellEnd"/>
      <w:r w:rsidR="00F31788" w:rsidRPr="00095583">
        <w:rPr>
          <w:rFonts w:eastAsia="Century Gothic" w:cs="Century Gothic"/>
        </w:rPr>
        <w:t xml:space="preserve"> the entirety of holdings within the project area</w:t>
      </w:r>
      <w:r w:rsidRPr="00095583">
        <w:rPr>
          <w:rFonts w:eastAsia="Century Gothic" w:cs="Century Gothic"/>
        </w:rPr>
        <w:t xml:space="preserve">. Market shifting leakage, </w:t>
      </w:r>
      <w:proofErr w:type="spellStart"/>
      <w:r w:rsidRPr="00095583">
        <w:rPr>
          <w:rFonts w:eastAsia="Century Gothic" w:cs="Century Gothic"/>
        </w:rPr>
        <w:t>ML</w:t>
      </w:r>
      <w:r w:rsidRPr="00095583">
        <w:rPr>
          <w:rFonts w:eastAsia="Century Gothic" w:cs="Century Gothic"/>
          <w:vertAlign w:val="subscript"/>
        </w:rPr>
        <w:t>t</w:t>
      </w:r>
      <w:proofErr w:type="spellEnd"/>
      <w:r w:rsidRPr="00095583">
        <w:rPr>
          <w:rFonts w:eastAsia="Century Gothic" w:cs="Century Gothic"/>
        </w:rPr>
        <w:t xml:space="preserve">, is calculated as follows. </w:t>
      </w:r>
    </w:p>
    <w:tbl>
      <w:tblPr>
        <w:tblW w:w="864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210"/>
        <w:gridCol w:w="2430"/>
      </w:tblGrid>
      <w:tr w:rsidR="00471C28" w14:paraId="20440EB0" w14:textId="77777777">
        <w:tc>
          <w:tcPr>
            <w:tcW w:w="6210" w:type="dxa"/>
          </w:tcPr>
          <w:p w14:paraId="00000115" w14:textId="569E4ED9" w:rsidR="00471C28" w:rsidRDefault="00000000" w:rsidP="00403AE6">
            <m:oMathPara>
              <m:oMath>
                <m:sSub>
                  <m:sSubPr>
                    <m:ctrlPr>
                      <w:rPr>
                        <w:rFonts w:ascii="Cambria Math" w:hAnsi="Cambria Math"/>
                      </w:rPr>
                    </m:ctrlPr>
                  </m:sSubPr>
                  <m:e>
                    <m:r>
                      <w:rPr>
                        <w:rFonts w:ascii="Cambria Math" w:hAnsi="Cambria Math"/>
                      </w:rPr>
                      <m:t>ML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WLDF</m:t>
                    </m:r>
                  </m:e>
                  <m:sub>
                    <m:r>
                      <w:rPr>
                        <w:rFonts w:ascii="Cambria Math" w:hAnsi="Cambria Math"/>
                      </w:rPr>
                      <m:t>t</m:t>
                    </m:r>
                  </m:sub>
                </m:sSub>
              </m:oMath>
            </m:oMathPara>
          </w:p>
        </w:tc>
        <w:tc>
          <w:tcPr>
            <w:tcW w:w="2430" w:type="dxa"/>
          </w:tcPr>
          <w:p w14:paraId="00000116" w14:textId="30BBD4AA" w:rsidR="00471C28" w:rsidRDefault="00CF15C9" w:rsidP="00403AE6">
            <w:r>
              <w:t>(</w:t>
            </w:r>
            <w:r w:rsidR="00403AE6">
              <w:t>6</w:t>
            </w:r>
            <w:r>
              <w:t>)</w:t>
            </w:r>
          </w:p>
        </w:tc>
      </w:tr>
    </w:tbl>
    <w:p w14:paraId="00000117" w14:textId="77777777" w:rsidR="00471C28" w:rsidRPr="00095583" w:rsidRDefault="00CF15C9">
      <w:pPr>
        <w:spacing w:after="120"/>
        <w:ind w:left="720"/>
        <w:rPr>
          <w:rFonts w:eastAsia="Century Gothic" w:cs="Century Gothic"/>
          <w:szCs w:val="21"/>
        </w:rPr>
      </w:pPr>
      <w:r w:rsidRPr="00095583">
        <w:rPr>
          <w:rFonts w:eastAsia="Century Gothic" w:cs="Century Gothic"/>
          <w:szCs w:val="21"/>
        </w:rPr>
        <w:t>Where:</w:t>
      </w: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795"/>
        <w:gridCol w:w="6835"/>
      </w:tblGrid>
      <w:tr w:rsidR="00471C28" w14:paraId="6DF43660" w14:textId="77777777">
        <w:tc>
          <w:tcPr>
            <w:tcW w:w="1795" w:type="dxa"/>
            <w:shd w:val="clear" w:color="auto" w:fill="CCD4E5"/>
            <w:vAlign w:val="center"/>
          </w:tcPr>
          <w:p w14:paraId="00000118" w14:textId="77777777" w:rsidR="00471C28" w:rsidRPr="00095583" w:rsidRDefault="00CF15C9">
            <w:pPr>
              <w:spacing w:after="120"/>
              <w:rPr>
                <w:rFonts w:eastAsia="Century Gothic" w:cs="Century Gothic"/>
                <w:szCs w:val="21"/>
              </w:rPr>
            </w:pPr>
            <w:proofErr w:type="spellStart"/>
            <w:r w:rsidRPr="00095583">
              <w:rPr>
                <w:rFonts w:eastAsia="Century Gothic" w:cs="Century Gothic"/>
                <w:szCs w:val="21"/>
              </w:rPr>
              <w:t>ML</w:t>
            </w:r>
            <w:r w:rsidRPr="00095583">
              <w:rPr>
                <w:rFonts w:eastAsia="Century Gothic" w:cs="Century Gothic"/>
                <w:szCs w:val="21"/>
                <w:vertAlign w:val="subscript"/>
              </w:rPr>
              <w:t>t</w:t>
            </w:r>
            <w:proofErr w:type="spellEnd"/>
          </w:p>
        </w:tc>
        <w:tc>
          <w:tcPr>
            <w:tcW w:w="6835" w:type="dxa"/>
            <w:shd w:val="clear" w:color="auto" w:fill="CCD4E5"/>
            <w:vAlign w:val="center"/>
          </w:tcPr>
          <w:p w14:paraId="00000119" w14:textId="77777777" w:rsidR="00471C28" w:rsidRPr="00095583" w:rsidRDefault="00CF15C9">
            <w:pPr>
              <w:spacing w:after="120"/>
              <w:rPr>
                <w:rFonts w:eastAsia="Century Gothic" w:cs="Century Gothic"/>
                <w:szCs w:val="21"/>
              </w:rPr>
            </w:pPr>
            <w:r w:rsidRPr="00095583">
              <w:rPr>
                <w:rFonts w:eastAsia="Century Gothic" w:cs="Century Gothic"/>
                <w:color w:val="000000"/>
                <w:szCs w:val="21"/>
              </w:rPr>
              <w:t>Market leakage in activity period, t; (tCO</w:t>
            </w:r>
            <w:r w:rsidRPr="00095583">
              <w:rPr>
                <w:rFonts w:eastAsia="Century Gothic" w:cs="Century Gothic"/>
                <w:color w:val="000000"/>
                <w:szCs w:val="21"/>
                <w:vertAlign w:val="subscript"/>
              </w:rPr>
              <w:t>2</w:t>
            </w:r>
            <w:r w:rsidRPr="00095583">
              <w:rPr>
                <w:rFonts w:eastAsia="Century Gothic" w:cs="Century Gothic"/>
                <w:color w:val="000000"/>
                <w:szCs w:val="21"/>
              </w:rPr>
              <w:t>)</w:t>
            </w:r>
          </w:p>
        </w:tc>
      </w:tr>
      <w:tr w:rsidR="00471C28" w14:paraId="4CD6E2CE" w14:textId="77777777">
        <w:tc>
          <w:tcPr>
            <w:tcW w:w="1795" w:type="dxa"/>
            <w:shd w:val="clear" w:color="auto" w:fill="CCD4E5"/>
            <w:vAlign w:val="center"/>
          </w:tcPr>
          <w:p w14:paraId="0000011A" w14:textId="205569B9" w:rsidR="00471C28" w:rsidRPr="00095583" w:rsidRDefault="00CF15C9">
            <w:pPr>
              <w:spacing w:after="120"/>
              <w:rPr>
                <w:rFonts w:eastAsia="Century Gothic" w:cs="Century Gothic"/>
                <w:szCs w:val="21"/>
              </w:rPr>
            </w:pPr>
            <w:r w:rsidRPr="00095583">
              <w:rPr>
                <w:rFonts w:eastAsia="Century Gothic" w:cs="Century Gothic"/>
                <w:szCs w:val="21"/>
              </w:rPr>
              <w:t>C</w:t>
            </w:r>
            <w:r w:rsidR="00630C9C" w:rsidRPr="00095583">
              <w:rPr>
                <w:rFonts w:eastAsia="Century Gothic" w:cs="Century Gothic"/>
                <w:szCs w:val="21"/>
                <w:vertAlign w:val="subscript"/>
              </w:rPr>
              <w:t>d</w:t>
            </w:r>
          </w:p>
        </w:tc>
        <w:tc>
          <w:tcPr>
            <w:tcW w:w="6835" w:type="dxa"/>
            <w:shd w:val="clear" w:color="auto" w:fill="CCD4E5"/>
            <w:vAlign w:val="center"/>
          </w:tcPr>
          <w:p w14:paraId="0000011B" w14:textId="73ABB8A0" w:rsidR="00471C28" w:rsidRPr="00095583" w:rsidRDefault="00630C9C">
            <w:pPr>
              <w:spacing w:after="120"/>
              <w:rPr>
                <w:rFonts w:eastAsia="Century Gothic" w:cs="Century Gothic"/>
                <w:szCs w:val="21"/>
              </w:rPr>
            </w:pPr>
            <w:r w:rsidRPr="00095583">
              <w:rPr>
                <w:rFonts w:eastAsia="Century Gothic" w:cs="Century Gothic"/>
                <w:szCs w:val="21"/>
              </w:rPr>
              <w:t>Amount of deferred carbon between t0 and t1, i.e., additional above ground live tree biomass resulting from the project; (tCO</w:t>
            </w:r>
            <w:r w:rsidRPr="00095583">
              <w:rPr>
                <w:rFonts w:eastAsia="Century Gothic" w:cs="Century Gothic"/>
                <w:szCs w:val="21"/>
                <w:vertAlign w:val="subscript"/>
              </w:rPr>
              <w:t>2</w:t>
            </w:r>
            <w:r w:rsidRPr="00095583">
              <w:rPr>
                <w:rFonts w:eastAsia="Century Gothic" w:cs="Century Gothic"/>
                <w:szCs w:val="21"/>
              </w:rPr>
              <w:t>); as determined through the procedure described in section 6 and Equation 7 (tCO</w:t>
            </w:r>
            <w:r w:rsidRPr="00095583">
              <w:rPr>
                <w:rFonts w:eastAsia="Century Gothic" w:cs="Century Gothic"/>
                <w:szCs w:val="21"/>
                <w:vertAlign w:val="subscript"/>
              </w:rPr>
              <w:t>2</w:t>
            </w:r>
            <w:r w:rsidRPr="00095583">
              <w:rPr>
                <w:rFonts w:eastAsia="Century Gothic" w:cs="Century Gothic"/>
                <w:szCs w:val="21"/>
              </w:rPr>
              <w:t>)</w:t>
            </w:r>
          </w:p>
        </w:tc>
      </w:tr>
      <w:tr w:rsidR="00471C28" w14:paraId="6AC7E242" w14:textId="77777777">
        <w:tc>
          <w:tcPr>
            <w:tcW w:w="1795" w:type="dxa"/>
            <w:shd w:val="clear" w:color="auto" w:fill="CCD4E5"/>
            <w:vAlign w:val="center"/>
          </w:tcPr>
          <w:p w14:paraId="0000011C" w14:textId="77777777" w:rsidR="00471C28" w:rsidRPr="00095583" w:rsidRDefault="00CF15C9">
            <w:pPr>
              <w:spacing w:after="120"/>
              <w:rPr>
                <w:rFonts w:eastAsia="Century Gothic" w:cs="Century Gothic"/>
                <w:szCs w:val="21"/>
              </w:rPr>
            </w:pPr>
            <w:proofErr w:type="spellStart"/>
            <w:r w:rsidRPr="00095583">
              <w:rPr>
                <w:rFonts w:eastAsia="Century Gothic" w:cs="Century Gothic"/>
                <w:szCs w:val="21"/>
              </w:rPr>
              <w:t>WLDF</w:t>
            </w:r>
            <w:r w:rsidRPr="00095583">
              <w:rPr>
                <w:rFonts w:eastAsia="Century Gothic" w:cs="Century Gothic"/>
                <w:szCs w:val="21"/>
                <w:vertAlign w:val="subscript"/>
              </w:rPr>
              <w:t>t</w:t>
            </w:r>
            <w:proofErr w:type="spellEnd"/>
          </w:p>
        </w:tc>
        <w:tc>
          <w:tcPr>
            <w:tcW w:w="6835" w:type="dxa"/>
            <w:shd w:val="clear" w:color="auto" w:fill="CCD4E5"/>
            <w:vAlign w:val="center"/>
          </w:tcPr>
          <w:p w14:paraId="0000011D" w14:textId="77777777" w:rsidR="00471C28" w:rsidRPr="00095583" w:rsidRDefault="00CF15C9">
            <w:pPr>
              <w:spacing w:after="120"/>
              <w:rPr>
                <w:rFonts w:eastAsia="Century Gothic" w:cs="Century Gothic"/>
                <w:szCs w:val="21"/>
              </w:rPr>
            </w:pPr>
            <w:r w:rsidRPr="00095583">
              <w:rPr>
                <w:rFonts w:eastAsia="Century Gothic" w:cs="Century Gothic"/>
                <w:color w:val="000000"/>
                <w:szCs w:val="21"/>
              </w:rPr>
              <w:t>Weighted leakage deduction factor during activity period, t; (%)</w:t>
            </w:r>
          </w:p>
        </w:tc>
      </w:tr>
    </w:tbl>
    <w:p w14:paraId="0000011E" w14:textId="77777777" w:rsidR="00471C28" w:rsidRPr="00095583" w:rsidRDefault="00471C28">
      <w:pPr>
        <w:spacing w:after="120"/>
        <w:ind w:left="720"/>
        <w:rPr>
          <w:rFonts w:eastAsia="Century Gothic" w:cs="Century Gothic"/>
          <w:color w:val="000000"/>
          <w:szCs w:val="21"/>
        </w:rPr>
      </w:pPr>
    </w:p>
    <w:p w14:paraId="0000011F" w14:textId="435926BC" w:rsidR="00471C28" w:rsidRPr="00095583" w:rsidRDefault="00CF15C9" w:rsidP="00095583">
      <w:pPr>
        <w:spacing w:after="120"/>
        <w:ind w:left="720"/>
        <w:rPr>
          <w:rFonts w:eastAsia="Century Gothic" w:cs="Century Gothic"/>
          <w:color w:val="000000"/>
          <w:szCs w:val="21"/>
        </w:rPr>
      </w:pPr>
      <w:r w:rsidRPr="00095583">
        <w:rPr>
          <w:rFonts w:eastAsia="Century Gothic" w:cs="Century Gothic"/>
          <w:color w:val="000000"/>
          <w:szCs w:val="21"/>
        </w:rPr>
        <w:t xml:space="preserve">A harvest deferral project using this methodology may apply a leakage deduction factor, </w:t>
      </w:r>
      <w:proofErr w:type="spellStart"/>
      <w:r w:rsidRPr="00095583">
        <w:rPr>
          <w:rFonts w:eastAsia="Century Gothic" w:cs="Century Gothic"/>
          <w:color w:val="000000"/>
          <w:szCs w:val="21"/>
        </w:rPr>
        <w:t>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of 10% in </w:t>
      </w:r>
      <w:r w:rsidR="002F229A" w:rsidRPr="00095583">
        <w:rPr>
          <w:rFonts w:eastAsia="Century Gothic" w:cs="Century Gothic"/>
          <w:color w:val="000000"/>
          <w:szCs w:val="21"/>
        </w:rPr>
        <w:t>E</w:t>
      </w:r>
      <w:r w:rsidRPr="00095583">
        <w:rPr>
          <w:rFonts w:eastAsia="Century Gothic" w:cs="Century Gothic"/>
          <w:color w:val="000000"/>
          <w:szCs w:val="21"/>
        </w:rPr>
        <w:t xml:space="preserve">quation </w:t>
      </w:r>
      <w:r w:rsidR="00FE6296" w:rsidRPr="00095583">
        <w:rPr>
          <w:rFonts w:eastAsia="Century Gothic" w:cs="Century Gothic"/>
          <w:i/>
          <w:iCs/>
          <w:color w:val="000000"/>
          <w:szCs w:val="21"/>
        </w:rPr>
        <w:t>7</w:t>
      </w:r>
      <w:r w:rsidRPr="00095583">
        <w:rPr>
          <w:rFonts w:eastAsia="Century Gothic" w:cs="Century Gothic"/>
          <w:color w:val="000000"/>
          <w:szCs w:val="21"/>
        </w:rPr>
        <w:t xml:space="preserve"> for participating properties for the first seven years of participation in a project </w:t>
      </w:r>
      <w:r w:rsidR="00EA51A7" w:rsidRPr="00095583">
        <w:rPr>
          <w:rFonts w:eastAsia="Century Gothic" w:cs="Century Gothic"/>
          <w:color w:val="000000"/>
          <w:szCs w:val="21"/>
        </w:rPr>
        <w:t xml:space="preserve">(VCS Standard v 4.2, Table </w:t>
      </w:r>
      <w:r w:rsidR="00196A1F" w:rsidRPr="00095583">
        <w:rPr>
          <w:rFonts w:eastAsia="Century Gothic" w:cs="Century Gothic"/>
          <w:color w:val="000000"/>
          <w:szCs w:val="21"/>
        </w:rPr>
        <w:t>3</w:t>
      </w:r>
      <w:r w:rsidR="00EA51A7" w:rsidRPr="00095583">
        <w:rPr>
          <w:rFonts w:eastAsia="Century Gothic" w:cs="Century Gothic"/>
          <w:color w:val="000000"/>
          <w:szCs w:val="21"/>
        </w:rPr>
        <w:t xml:space="preserve">) </w:t>
      </w:r>
      <w:r w:rsidRPr="00095583">
        <w:rPr>
          <w:rFonts w:eastAsia="Century Gothic" w:cs="Century Gothic"/>
          <w:color w:val="000000"/>
          <w:szCs w:val="21"/>
        </w:rPr>
        <w:t xml:space="preserve">as </w:t>
      </w:r>
      <w:r w:rsidR="00196A1F" w:rsidRPr="00095583">
        <w:rPr>
          <w:rFonts w:eastAsia="Century Gothic" w:cs="Century Gothic"/>
          <w:color w:val="000000"/>
          <w:szCs w:val="21"/>
        </w:rPr>
        <w:t>this indicates a shift in harvests across time periods.</w:t>
      </w:r>
      <w:r w:rsidRPr="00095583">
        <w:rPr>
          <w:rFonts w:eastAsia="Century Gothic" w:cs="Century Gothic"/>
          <w:color w:val="000000"/>
          <w:szCs w:val="21"/>
        </w:rPr>
        <w:t xml:space="preserve"> </w:t>
      </w:r>
    </w:p>
    <w:p w14:paraId="365131EE" w14:textId="1C5FEF16" w:rsidR="00656DB1" w:rsidRPr="00095583" w:rsidRDefault="00CF15C9" w:rsidP="00095583">
      <w:pPr>
        <w:spacing w:after="120"/>
        <w:ind w:left="720"/>
        <w:rPr>
          <w:rFonts w:eastAsia="Century Gothic" w:cs="Century Gothic"/>
          <w:color w:val="000000"/>
          <w:szCs w:val="21"/>
        </w:rPr>
      </w:pPr>
      <w:r w:rsidRPr="00095583">
        <w:rPr>
          <w:rFonts w:eastAsia="Century Gothic" w:cs="Century Gothic"/>
          <w:color w:val="000000"/>
          <w:szCs w:val="21"/>
        </w:rPr>
        <w:t xml:space="preserve">This methodology makes the conservative </w:t>
      </w:r>
      <w:r w:rsidR="00196A1F" w:rsidRPr="00095583">
        <w:rPr>
          <w:rFonts w:eastAsia="Century Gothic" w:cs="Century Gothic"/>
          <w:color w:val="000000"/>
          <w:szCs w:val="21"/>
        </w:rPr>
        <w:t>assertion that a rotation extension (harvest deferral) beyond</w:t>
      </w:r>
      <w:r w:rsidRPr="00095583">
        <w:rPr>
          <w:rFonts w:eastAsia="Century Gothic" w:cs="Century Gothic"/>
          <w:color w:val="000000"/>
          <w:szCs w:val="21"/>
        </w:rPr>
        <w:t xml:space="preserve"> 7 years </w:t>
      </w:r>
      <w:r w:rsidR="00196A1F" w:rsidRPr="00095583">
        <w:rPr>
          <w:rFonts w:eastAsia="Century Gothic" w:cs="Century Gothic"/>
          <w:color w:val="000000"/>
          <w:szCs w:val="21"/>
        </w:rPr>
        <w:t>may no longer be associated with a minimal change in total harvest over time (VCS Standard v4.2, Table 3), and should instead be considered a moderate to high leakage risk</w:t>
      </w:r>
      <w:r w:rsidRPr="00095583">
        <w:rPr>
          <w:rFonts w:eastAsia="Century Gothic" w:cs="Century Gothic"/>
          <w:color w:val="000000"/>
          <w:szCs w:val="21"/>
        </w:rPr>
        <w:t xml:space="preserve">. </w:t>
      </w:r>
      <w:r w:rsidR="000B2E16" w:rsidRPr="00095583">
        <w:rPr>
          <w:rFonts w:eastAsia="Century Gothic" w:cs="Century Gothic"/>
          <w:color w:val="000000"/>
          <w:szCs w:val="21"/>
        </w:rPr>
        <w:t xml:space="preserve">This is accounted for individually for each participating property as a component of the sum in Equation </w:t>
      </w:r>
      <w:r w:rsidR="00FE6296" w:rsidRPr="00095583">
        <w:rPr>
          <w:rFonts w:eastAsia="Century Gothic" w:cs="Century Gothic"/>
          <w:color w:val="000000"/>
          <w:szCs w:val="21"/>
        </w:rPr>
        <w:t>7</w:t>
      </w:r>
      <w:r w:rsidR="000B2E16" w:rsidRPr="00095583">
        <w:rPr>
          <w:rFonts w:eastAsia="Century Gothic" w:cs="Century Gothic"/>
          <w:color w:val="000000"/>
          <w:szCs w:val="21"/>
        </w:rPr>
        <w:t xml:space="preserve">, below. </w:t>
      </w:r>
      <w:r w:rsidR="00491D3E" w:rsidRPr="00095583">
        <w:rPr>
          <w:rFonts w:eastAsia="Century Gothic" w:cs="Century Gothic"/>
          <w:color w:val="000000"/>
          <w:szCs w:val="21"/>
        </w:rPr>
        <w:t xml:space="preserve"> </w:t>
      </w:r>
      <w:r w:rsidR="00656DB1" w:rsidRPr="00095583">
        <w:rPr>
          <w:rFonts w:eastAsia="Century Gothic" w:cs="Century Gothic"/>
          <w:color w:val="000000"/>
          <w:szCs w:val="21"/>
        </w:rPr>
        <w:t xml:space="preserve">Leakage deduction factors are calculated individually for each property; each property will use a 10% fixed rate in Equation 7, below, for the first 7 consecutive years of </w:t>
      </w:r>
      <w:proofErr w:type="spellStart"/>
      <w:r w:rsidR="00656DB1" w:rsidRPr="00095583">
        <w:rPr>
          <w:rFonts w:eastAsia="Century Gothic" w:cs="Century Gothic"/>
          <w:color w:val="000000"/>
          <w:szCs w:val="21"/>
        </w:rPr>
        <w:t>enrollment</w:t>
      </w:r>
      <w:proofErr w:type="spellEnd"/>
      <w:r w:rsidR="00656DB1" w:rsidRPr="00095583">
        <w:rPr>
          <w:rFonts w:eastAsia="Century Gothic" w:cs="Century Gothic"/>
          <w:color w:val="000000"/>
          <w:szCs w:val="21"/>
        </w:rPr>
        <w:t xml:space="preserve">. The rate for an individual property is calculated following the below steps beginning at consecutive year 8 of </w:t>
      </w:r>
      <w:proofErr w:type="spellStart"/>
      <w:r w:rsidR="00656DB1" w:rsidRPr="00095583">
        <w:rPr>
          <w:rFonts w:eastAsia="Century Gothic" w:cs="Century Gothic"/>
          <w:color w:val="000000"/>
          <w:szCs w:val="21"/>
        </w:rPr>
        <w:t>enrollment</w:t>
      </w:r>
      <w:proofErr w:type="spellEnd"/>
      <w:r w:rsidR="00656DB1" w:rsidRPr="00095583">
        <w:rPr>
          <w:rFonts w:eastAsia="Century Gothic" w:cs="Century Gothic"/>
          <w:color w:val="000000"/>
          <w:szCs w:val="21"/>
        </w:rPr>
        <w:t xml:space="preserve">. </w:t>
      </w:r>
    </w:p>
    <w:p w14:paraId="589935B4" w14:textId="458F854E" w:rsidR="00496AAF" w:rsidRPr="00095583" w:rsidRDefault="00CF15C9" w:rsidP="00095583">
      <w:pPr>
        <w:spacing w:after="120"/>
        <w:ind w:left="720"/>
        <w:rPr>
          <w:rFonts w:eastAsia="Century Gothic" w:cs="Century Gothic"/>
          <w:color w:val="000000"/>
          <w:szCs w:val="21"/>
        </w:rPr>
      </w:pPr>
      <w:r w:rsidRPr="00095583">
        <w:rPr>
          <w:rFonts w:eastAsia="Century Gothic" w:cs="Century Gothic"/>
          <w:color w:val="000000"/>
          <w:szCs w:val="21"/>
        </w:rPr>
        <w:lastRenderedPageBreak/>
        <w:t>Therefore, beginning in year 8 of participation</w:t>
      </w:r>
      <w:r w:rsidR="00491D3E" w:rsidRPr="00095583">
        <w:rPr>
          <w:rFonts w:eastAsia="Century Gothic" w:cs="Century Gothic"/>
          <w:color w:val="000000"/>
          <w:szCs w:val="21"/>
        </w:rPr>
        <w:t xml:space="preserve"> of a property</w:t>
      </w:r>
      <w:r w:rsidRPr="00095583">
        <w:rPr>
          <w:rFonts w:eastAsia="Century Gothic" w:cs="Century Gothic"/>
          <w:color w:val="000000"/>
          <w:szCs w:val="21"/>
        </w:rPr>
        <w:t xml:space="preserve">, the leakage deduction factor associated with a participating property must be determined. </w:t>
      </w:r>
    </w:p>
    <w:p w14:paraId="00000120" w14:textId="215D1267" w:rsidR="00471C28" w:rsidRPr="00095583" w:rsidRDefault="00CF15C9" w:rsidP="00095583">
      <w:pPr>
        <w:spacing w:after="120"/>
        <w:ind w:left="720"/>
        <w:rPr>
          <w:rFonts w:eastAsia="Century Gothic" w:cs="Century Gothic"/>
          <w:color w:val="000000"/>
          <w:szCs w:val="21"/>
        </w:rPr>
      </w:pPr>
      <w:r w:rsidRPr="00095583">
        <w:rPr>
          <w:rFonts w:eastAsia="Century Gothic" w:cs="Century Gothic"/>
          <w:color w:val="000000"/>
          <w:szCs w:val="21"/>
        </w:rPr>
        <w:t xml:space="preserve">Per </w:t>
      </w:r>
      <w:r w:rsidR="00D76565" w:rsidRPr="00095583">
        <w:rPr>
          <w:rFonts w:eastAsia="Libre Franklin" w:cs="Libre Franklin"/>
          <w:bCs/>
          <w:szCs w:val="21"/>
        </w:rPr>
        <w:t xml:space="preserve">VCS Standard v4.2, </w:t>
      </w:r>
      <w:r w:rsidRPr="00095583">
        <w:rPr>
          <w:rFonts w:eastAsia="Century Gothic" w:cs="Century Gothic"/>
          <w:color w:val="000000"/>
          <w:szCs w:val="21"/>
        </w:rPr>
        <w:t xml:space="preserve">this analysis considers </w:t>
      </w:r>
      <w:r w:rsidR="00491D3E" w:rsidRPr="00095583">
        <w:rPr>
          <w:rFonts w:eastAsia="Century Gothic" w:cs="Century Gothic"/>
          <w:color w:val="000000"/>
          <w:szCs w:val="21"/>
        </w:rPr>
        <w:t xml:space="preserve">carbon </w:t>
      </w:r>
      <w:r w:rsidRPr="00095583">
        <w:rPr>
          <w:rFonts w:eastAsia="Century Gothic" w:cs="Century Gothic"/>
          <w:color w:val="000000"/>
          <w:szCs w:val="21"/>
        </w:rPr>
        <w:t>stocks</w:t>
      </w:r>
      <w:r w:rsidR="00491D3E" w:rsidRPr="00095583">
        <w:rPr>
          <w:rFonts w:eastAsia="Century Gothic" w:cs="Century Gothic"/>
          <w:color w:val="000000"/>
          <w:szCs w:val="21"/>
        </w:rPr>
        <w:t xml:space="preserve"> in merchantable aboveground live tree biomass</w:t>
      </w:r>
      <w:r w:rsidRPr="00095583">
        <w:rPr>
          <w:rFonts w:eastAsia="Century Gothic" w:cs="Century Gothic"/>
          <w:color w:val="000000"/>
          <w:szCs w:val="21"/>
        </w:rPr>
        <w:t xml:space="preserve"> that are the same or </w:t>
      </w:r>
      <w:proofErr w:type="gramStart"/>
      <w:r w:rsidRPr="00095583">
        <w:rPr>
          <w:rFonts w:eastAsia="Century Gothic" w:cs="Century Gothic"/>
          <w:color w:val="000000"/>
          <w:szCs w:val="21"/>
        </w:rPr>
        <w:t>similar to</w:t>
      </w:r>
      <w:proofErr w:type="gramEnd"/>
      <w:r w:rsidRPr="00095583">
        <w:rPr>
          <w:rFonts w:eastAsia="Century Gothic" w:cs="Century Gothic"/>
          <w:color w:val="000000"/>
          <w:szCs w:val="21"/>
        </w:rPr>
        <w:t xml:space="preserve"> the species in the participating property. Determining the leakage deduction factor, </w:t>
      </w:r>
      <w:proofErr w:type="spellStart"/>
      <w:r w:rsidRPr="00095583">
        <w:rPr>
          <w:rFonts w:eastAsia="Century Gothic" w:cs="Century Gothic"/>
          <w:color w:val="000000"/>
          <w:szCs w:val="21"/>
        </w:rPr>
        <w:t>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to be applied in </w:t>
      </w:r>
      <w:r w:rsidR="002F229A" w:rsidRPr="00095583">
        <w:rPr>
          <w:rFonts w:eastAsia="Century Gothic" w:cs="Century Gothic"/>
          <w:color w:val="000000"/>
          <w:szCs w:val="21"/>
        </w:rPr>
        <w:t>E</w:t>
      </w:r>
      <w:r w:rsidRPr="00095583">
        <w:rPr>
          <w:rFonts w:eastAsia="Century Gothic" w:cs="Century Gothic"/>
          <w:color w:val="000000"/>
          <w:szCs w:val="21"/>
        </w:rPr>
        <w:t xml:space="preserve">quation </w:t>
      </w:r>
      <w:r w:rsidR="00FE6296" w:rsidRPr="00095583">
        <w:rPr>
          <w:rFonts w:eastAsia="Century Gothic" w:cs="Century Gothic"/>
          <w:color w:val="000000"/>
          <w:szCs w:val="21"/>
        </w:rPr>
        <w:t>7</w:t>
      </w:r>
      <w:r w:rsidRPr="00095583">
        <w:rPr>
          <w:rFonts w:eastAsia="Century Gothic" w:cs="Century Gothic"/>
          <w:color w:val="000000"/>
          <w:szCs w:val="21"/>
        </w:rPr>
        <w:t xml:space="preserve"> is done as follows: </w:t>
      </w:r>
    </w:p>
    <w:p w14:paraId="4E3DF77F" w14:textId="77777777" w:rsidR="007C4F71" w:rsidRPr="00095583" w:rsidRDefault="00CF15C9" w:rsidP="00095583">
      <w:pPr>
        <w:numPr>
          <w:ilvl w:val="1"/>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Calculate the ratio of merchantable biomass to total biomass in the area to which harvesting is displaced</w:t>
      </w:r>
    </w:p>
    <w:p w14:paraId="092C4211" w14:textId="759C17E7" w:rsidR="00496AAF" w:rsidRPr="00095583" w:rsidRDefault="00496AAF" w:rsidP="00095583">
      <w:pPr>
        <w:pStyle w:val="ListParagraph"/>
        <w:numPr>
          <w:ilvl w:val="2"/>
          <w:numId w:val="18"/>
        </w:numPr>
        <w:rPr>
          <w:szCs w:val="21"/>
        </w:rPr>
      </w:pPr>
      <w:r w:rsidRPr="00095583">
        <w:rPr>
          <w:szCs w:val="21"/>
        </w:rPr>
        <w:t xml:space="preserve">The leakage factor is determined by considering where in the country logging will be increased </w:t>
      </w:r>
      <w:proofErr w:type="gramStart"/>
      <w:r w:rsidRPr="00095583">
        <w:rPr>
          <w:szCs w:val="21"/>
        </w:rPr>
        <w:t>as a result of</w:t>
      </w:r>
      <w:proofErr w:type="gramEnd"/>
      <w:r w:rsidRPr="00095583">
        <w:rPr>
          <w:szCs w:val="21"/>
        </w:rPr>
        <w:t xml:space="preserve"> the decreased timber supply caused by the project.</w:t>
      </w:r>
    </w:p>
    <w:p w14:paraId="00000121" w14:textId="5605C472" w:rsidR="00471C28" w:rsidRPr="00095583" w:rsidRDefault="007C4F71"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Stem-level estimates of merchantable and total biomass should be calculated as per section 9.2 and </w:t>
      </w:r>
      <w:r w:rsidR="000332F9" w:rsidRPr="00095583">
        <w:rPr>
          <w:rFonts w:eastAsia="Century Gothic" w:cs="Century Gothic"/>
          <w:color w:val="000000"/>
          <w:szCs w:val="21"/>
        </w:rPr>
        <w:t>t</w:t>
      </w:r>
      <w:r w:rsidRPr="00095583">
        <w:rPr>
          <w:rFonts w:eastAsia="Century Gothic" w:cs="Century Gothic"/>
          <w:color w:val="000000"/>
          <w:szCs w:val="21"/>
        </w:rPr>
        <w:t>he</w:t>
      </w:r>
      <w:r w:rsidR="000332F9" w:rsidRPr="00095583">
        <w:rPr>
          <w:rFonts w:eastAsia="Century Gothic" w:cs="Century Gothic"/>
          <w:color w:val="000000"/>
          <w:szCs w:val="21"/>
        </w:rPr>
        <w:t xml:space="preserve"> baseline calculations described in Section 7. Merchantable</w:t>
      </w:r>
      <w:r w:rsidRPr="00095583">
        <w:rPr>
          <w:rFonts w:eastAsia="Century Gothic" w:cs="Century Gothic"/>
          <w:color w:val="000000"/>
          <w:szCs w:val="21"/>
        </w:rPr>
        <w:t xml:space="preserve"> biomass is calculated as bole wood</w:t>
      </w:r>
      <w:r w:rsidR="00CF15C9" w:rsidRPr="00095583">
        <w:rPr>
          <w:rFonts w:eastAsia="Century Gothic" w:cs="Century Gothic"/>
          <w:color w:val="000000"/>
          <w:szCs w:val="21"/>
        </w:rPr>
        <w:t xml:space="preserve"> </w:t>
      </w:r>
      <w:r w:rsidR="000332F9" w:rsidRPr="00095583">
        <w:rPr>
          <w:rFonts w:eastAsia="Century Gothic" w:cs="Century Gothic"/>
          <w:color w:val="000000"/>
          <w:szCs w:val="21"/>
        </w:rPr>
        <w:t>present in the volume</w:t>
      </w:r>
      <w:r w:rsidRPr="00095583">
        <w:rPr>
          <w:rFonts w:eastAsia="Century Gothic" w:cs="Century Gothic"/>
          <w:color w:val="000000"/>
          <w:szCs w:val="21"/>
        </w:rPr>
        <w:t xml:space="preserve"> </w:t>
      </w:r>
      <w:r w:rsidR="000332F9" w:rsidRPr="00095583">
        <w:rPr>
          <w:rFonts w:eastAsia="Century Gothic" w:cs="Century Gothic"/>
          <w:color w:val="000000"/>
          <w:szCs w:val="21"/>
        </w:rPr>
        <w:t>at risk of harvest, and total biomass is the total aboveground live tree biomass in the property.</w:t>
      </w:r>
    </w:p>
    <w:p w14:paraId="1BD3EE57" w14:textId="3DB0BB40" w:rsidR="00DE0D30" w:rsidRPr="00095583" w:rsidRDefault="000332F9"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These estimates can be generated from published or privately developed rasterized summaries of variables of interest, </w:t>
      </w:r>
      <w:proofErr w:type="gramStart"/>
      <w:r w:rsidRPr="00095583">
        <w:rPr>
          <w:rFonts w:eastAsia="Century Gothic" w:cs="Century Gothic"/>
          <w:color w:val="000000"/>
          <w:szCs w:val="21"/>
        </w:rPr>
        <w:t>or,</w:t>
      </w:r>
      <w:proofErr w:type="gramEnd"/>
      <w:r w:rsidRPr="00095583">
        <w:rPr>
          <w:rFonts w:eastAsia="Century Gothic" w:cs="Century Gothic"/>
          <w:color w:val="000000"/>
          <w:szCs w:val="21"/>
        </w:rPr>
        <w:t xml:space="preserve"> regional summaries derived from datasets such as National Forest Inventories (e.g., USFS FIA data). </w:t>
      </w:r>
    </w:p>
    <w:p w14:paraId="27A24F90" w14:textId="1CBB734D" w:rsidR="00C006FF" w:rsidRPr="00095583" w:rsidRDefault="00DE0D30"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Calculations should be done on a per-property basis.</w:t>
      </w:r>
    </w:p>
    <w:p w14:paraId="00000122" w14:textId="46063C01" w:rsidR="00471C28" w:rsidRPr="00095583" w:rsidRDefault="00CF15C9" w:rsidP="00095583">
      <w:pPr>
        <w:numPr>
          <w:ilvl w:val="1"/>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Calculate the ratio of merchantable biomass to total biomass in the participating property </w:t>
      </w:r>
    </w:p>
    <w:p w14:paraId="7838D9FC" w14:textId="355378E9" w:rsidR="000332F9" w:rsidRPr="00095583" w:rsidRDefault="000332F9"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Stem-level estimates of merchantable and total biomass should be calculated as per section 9.2 and the baseline calculations described in Section 7. Merchantable biomass is calculated as bole wood present in the volume at risk of harvest, and total biomass is the total aboveground live tree biomass in the property.</w:t>
      </w:r>
    </w:p>
    <w:p w14:paraId="00000123" w14:textId="77777777" w:rsidR="00471C28" w:rsidRPr="00095583" w:rsidRDefault="00CF15C9" w:rsidP="00095583">
      <w:pPr>
        <w:numPr>
          <w:ilvl w:val="1"/>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Apply the appropriate leakage deduction factors as follows: </w:t>
      </w:r>
    </w:p>
    <w:p w14:paraId="00000124" w14:textId="77777777" w:rsidR="00471C28" w:rsidRPr="00095583" w:rsidRDefault="00CF15C9"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Where the ratio of merchantable to total biomass in the displaced area is higher (greater than 120%) than the participating property level, </w:t>
      </w:r>
      <w:proofErr w:type="spellStart"/>
      <w:r w:rsidRPr="00095583">
        <w:rPr>
          <w:rFonts w:eastAsia="Century Gothic" w:cs="Century Gothic"/>
          <w:color w:val="000000"/>
          <w:szCs w:val="21"/>
        </w:rPr>
        <w:t>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 20%</w:t>
      </w:r>
    </w:p>
    <w:p w14:paraId="00000125" w14:textId="77777777" w:rsidR="00471C28" w:rsidRPr="00095583" w:rsidRDefault="00CF15C9"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Where the ratio of merchantable to total biomass in the displaced area is similar (within +/- 20%) to the participating property level, </w:t>
      </w:r>
      <w:proofErr w:type="spellStart"/>
      <w:r w:rsidRPr="00095583">
        <w:rPr>
          <w:rFonts w:eastAsia="Century Gothic" w:cs="Century Gothic"/>
          <w:color w:val="000000"/>
          <w:szCs w:val="21"/>
        </w:rPr>
        <w:t>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 40%</w:t>
      </w:r>
    </w:p>
    <w:p w14:paraId="00000126" w14:textId="77777777" w:rsidR="00471C28" w:rsidRPr="00095583" w:rsidRDefault="00CF15C9" w:rsidP="00095583">
      <w:pPr>
        <w:numPr>
          <w:ilvl w:val="2"/>
          <w:numId w:val="18"/>
        </w:numPr>
        <w:pBdr>
          <w:top w:val="nil"/>
          <w:left w:val="nil"/>
          <w:bottom w:val="nil"/>
          <w:right w:val="nil"/>
          <w:between w:val="nil"/>
        </w:pBdr>
        <w:spacing w:after="120"/>
        <w:rPr>
          <w:rFonts w:eastAsia="Century Gothic" w:cs="Century Gothic"/>
          <w:color w:val="000000"/>
          <w:szCs w:val="21"/>
        </w:rPr>
      </w:pPr>
      <w:r w:rsidRPr="00095583">
        <w:rPr>
          <w:rFonts w:eastAsia="Century Gothic" w:cs="Century Gothic"/>
          <w:color w:val="000000"/>
          <w:szCs w:val="21"/>
        </w:rPr>
        <w:t xml:space="preserve">Where the ratio of merchantable to total biomass in the displaced area is lower (less than 80%) than the participating property level, </w:t>
      </w:r>
      <w:proofErr w:type="spellStart"/>
      <w:r w:rsidRPr="00095583">
        <w:rPr>
          <w:rFonts w:eastAsia="Century Gothic" w:cs="Century Gothic"/>
          <w:color w:val="000000"/>
          <w:szCs w:val="21"/>
        </w:rPr>
        <w:t>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 70%</w:t>
      </w:r>
    </w:p>
    <w:p w14:paraId="00000127" w14:textId="77777777" w:rsidR="00471C28" w:rsidRPr="00095583" w:rsidRDefault="00CF15C9" w:rsidP="00095583">
      <w:pPr>
        <w:spacing w:after="120"/>
        <w:ind w:left="720"/>
        <w:rPr>
          <w:rFonts w:eastAsia="Century Gothic" w:cs="Century Gothic"/>
          <w:color w:val="000000"/>
          <w:szCs w:val="21"/>
        </w:rPr>
      </w:pPr>
      <w:r w:rsidRPr="00095583">
        <w:rPr>
          <w:rFonts w:eastAsia="Century Gothic" w:cs="Century Gothic"/>
          <w:color w:val="000000"/>
          <w:szCs w:val="21"/>
        </w:rPr>
        <w:lastRenderedPageBreak/>
        <w:t xml:space="preserve">Once the appropriate leakage deduction factor, </w:t>
      </w:r>
      <w:proofErr w:type="spellStart"/>
      <w:r w:rsidRPr="00095583">
        <w:rPr>
          <w:rFonts w:eastAsia="Century Gothic" w:cs="Century Gothic"/>
          <w:color w:val="000000"/>
          <w:szCs w:val="21"/>
        </w:rPr>
        <w:t>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has been determined based on the length of time a participating property has been included in a project, a weighted leakage discount factor is calculated. </w:t>
      </w:r>
    </w:p>
    <w:p w14:paraId="00000128" w14:textId="3788A6BD" w:rsidR="00471C28" w:rsidRPr="00095583" w:rsidRDefault="00CF15C9" w:rsidP="00095583">
      <w:pPr>
        <w:spacing w:after="120"/>
        <w:ind w:left="720"/>
        <w:rPr>
          <w:rFonts w:eastAsia="Century Gothic" w:cs="Century Gothic"/>
          <w:color w:val="000000"/>
          <w:szCs w:val="21"/>
        </w:rPr>
      </w:pPr>
      <w:r w:rsidRPr="00095583">
        <w:rPr>
          <w:rFonts w:eastAsia="Century Gothic" w:cs="Century Gothic"/>
          <w:color w:val="000000"/>
          <w:szCs w:val="21"/>
        </w:rPr>
        <w:t xml:space="preserve">The weighted leakage deduction factor, </w:t>
      </w:r>
      <w:proofErr w:type="spellStart"/>
      <w:r w:rsidRPr="00095583">
        <w:rPr>
          <w:rFonts w:eastAsia="Century Gothic" w:cs="Century Gothic"/>
          <w:color w:val="000000"/>
          <w:szCs w:val="21"/>
        </w:rPr>
        <w:t>WLDF</w:t>
      </w:r>
      <w:r w:rsidRPr="00095583">
        <w:rPr>
          <w:rFonts w:eastAsia="Century Gothic" w:cs="Century Gothic"/>
          <w:color w:val="000000"/>
          <w:szCs w:val="21"/>
          <w:vertAlign w:val="subscript"/>
        </w:rPr>
        <w:t>t</w:t>
      </w:r>
      <w:proofErr w:type="spellEnd"/>
      <w:r w:rsidRPr="00095583">
        <w:rPr>
          <w:rFonts w:eastAsia="Century Gothic" w:cs="Century Gothic"/>
          <w:color w:val="000000"/>
          <w:szCs w:val="21"/>
        </w:rPr>
        <w:t xml:space="preserve">, is calculated as follows:           </w:t>
      </w:r>
      <w:r w:rsidRPr="00095583">
        <w:rPr>
          <w:rFonts w:eastAsia="Century Gothic" w:cs="Century Gothic"/>
          <w:szCs w:val="21"/>
        </w:rPr>
        <w:t xml:space="preserve">       </w:t>
      </w:r>
    </w:p>
    <w:tbl>
      <w:tblPr>
        <w:tblW w:w="12911"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030"/>
        <w:gridCol w:w="2610"/>
        <w:gridCol w:w="4271"/>
      </w:tblGrid>
      <w:tr w:rsidR="00471C28" w14:paraId="0383BFFF" w14:textId="77777777">
        <w:tc>
          <w:tcPr>
            <w:tcW w:w="6030" w:type="dxa"/>
          </w:tcPr>
          <w:p w14:paraId="00000129" w14:textId="7B5CF5FE" w:rsidR="00471C28" w:rsidRDefault="00000000">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rPr>
                    </m:ctrlPr>
                  </m:sSubPr>
                  <m:e>
                    <m:r>
                      <w:rPr>
                        <w:rFonts w:ascii="Cambria Math" w:eastAsia="Cambria Math" w:hAnsi="Cambria Math" w:cs="Cambria Math"/>
                        <w:color w:val="000000"/>
                      </w:rPr>
                      <m:t>WLDF</m:t>
                    </m:r>
                  </m:e>
                  <m:sub>
                    <m:r>
                      <w:rPr>
                        <w:rFonts w:ascii="Cambria Math" w:eastAsia="Cambria Math" w:hAnsi="Cambria Math" w:cs="Cambria Math"/>
                        <w:color w:val="000000"/>
                      </w:rPr>
                      <m:t>t</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LDF</m:t>
                                </m:r>
                              </m:e>
                              <m:sub>
                                <m:r>
                                  <w:rPr>
                                    <w:rFonts w:ascii="Cambria Math" w:eastAsia="Cambria Math" w:hAnsi="Cambria Math" w:cs="Cambria Math"/>
                                    <w:color w:val="000000"/>
                                  </w:rPr>
                                  <m:t>i, t</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PP</m:t>
                                </m:r>
                              </m:e>
                              <m:sub>
                                <m:r>
                                  <w:rPr>
                                    <w:rFonts w:ascii="Cambria Math" w:eastAsia="Cambria Math" w:hAnsi="Cambria Math" w:cs="Cambria Math"/>
                                    <w:color w:val="000000"/>
                                  </w:rPr>
                                  <m:t>i, t</m:t>
                                </m:r>
                              </m:sub>
                            </m:sSub>
                          </m:e>
                        </m:d>
                      </m:e>
                    </m:nary>
                  </m:num>
                  <m:den>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sSub>
                          <m:sSubPr>
                            <m:ctrlPr>
                              <w:rPr>
                                <w:rFonts w:ascii="Cambria Math" w:eastAsia="Cambria Math" w:hAnsi="Cambria Math" w:cs="Cambria Math"/>
                                <w:color w:val="000000"/>
                              </w:rPr>
                            </m:ctrlPr>
                          </m:sSubPr>
                          <m:e>
                            <m:r>
                              <w:rPr>
                                <w:rFonts w:ascii="Cambria Math" w:eastAsia="Cambria Math" w:hAnsi="Cambria Math" w:cs="Cambria Math"/>
                                <w:color w:val="000000"/>
                              </w:rPr>
                              <m:t>PP</m:t>
                            </m:r>
                          </m:e>
                          <m:sub>
                            <m:r>
                              <w:rPr>
                                <w:rFonts w:ascii="Cambria Math" w:eastAsia="Cambria Math" w:hAnsi="Cambria Math" w:cs="Cambria Math"/>
                                <w:color w:val="000000"/>
                              </w:rPr>
                              <m:t>i, t</m:t>
                            </m:r>
                          </m:sub>
                        </m:sSub>
                      </m:e>
                    </m:nary>
                  </m:den>
                </m:f>
              </m:oMath>
            </m:oMathPara>
          </w:p>
        </w:tc>
        <w:tc>
          <w:tcPr>
            <w:tcW w:w="2610" w:type="dxa"/>
          </w:tcPr>
          <w:p w14:paraId="0000012A" w14:textId="6CD05151" w:rsidR="00471C28" w:rsidRDefault="00CF15C9" w:rsidP="00403AE6">
            <w:pPr>
              <w:rPr>
                <w:color w:val="000000"/>
              </w:rPr>
            </w:pPr>
            <w:r>
              <w:t>(</w:t>
            </w:r>
            <w:r w:rsidR="00FE6296">
              <w:t>7</w:t>
            </w:r>
            <w:r>
              <w:t>)</w:t>
            </w:r>
          </w:p>
        </w:tc>
        <w:tc>
          <w:tcPr>
            <w:tcW w:w="4271" w:type="dxa"/>
          </w:tcPr>
          <w:p w14:paraId="0000012B" w14:textId="77777777" w:rsidR="00471C28" w:rsidRDefault="00471C28">
            <w:pPr>
              <w:spacing w:before="240" w:line="288" w:lineRule="auto"/>
              <w:rPr>
                <w:rFonts w:ascii="Century Gothic" w:eastAsia="Century Gothic" w:hAnsi="Century Gothic" w:cs="Century Gothic"/>
                <w:color w:val="000000"/>
              </w:rPr>
            </w:pPr>
          </w:p>
        </w:tc>
      </w:tr>
    </w:tbl>
    <w:p w14:paraId="0000012C" w14:textId="77777777" w:rsidR="00471C28" w:rsidRPr="00095583" w:rsidRDefault="00CF15C9">
      <w:pPr>
        <w:spacing w:line="288" w:lineRule="auto"/>
        <w:ind w:left="720"/>
        <w:rPr>
          <w:rFonts w:eastAsia="Century Gothic" w:cs="Century Gothic"/>
          <w:color w:val="000000"/>
        </w:rPr>
      </w:pPr>
      <w:r w:rsidRPr="00095583">
        <w:rPr>
          <w:rFonts w:eastAsia="Century Gothic" w:cs="Century Gothic"/>
          <w:color w:val="000000"/>
        </w:rPr>
        <w:t>Where:</w:t>
      </w:r>
    </w:p>
    <w:tbl>
      <w:tblPr>
        <w:tblW w:w="863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1795"/>
        <w:gridCol w:w="6835"/>
      </w:tblGrid>
      <w:tr w:rsidR="00471C28" w:rsidRPr="00095583" w14:paraId="70694791" w14:textId="77777777">
        <w:tc>
          <w:tcPr>
            <w:tcW w:w="1795" w:type="dxa"/>
            <w:shd w:val="clear" w:color="auto" w:fill="CCD4E5"/>
            <w:vAlign w:val="center"/>
          </w:tcPr>
          <w:p w14:paraId="0000012D" w14:textId="77777777" w:rsidR="00471C28" w:rsidRPr="00095583" w:rsidRDefault="00CF15C9">
            <w:pPr>
              <w:spacing w:before="240" w:line="288" w:lineRule="auto"/>
            </w:pPr>
            <w:bookmarkStart w:id="35" w:name="_Hlk87291454"/>
            <w:proofErr w:type="spellStart"/>
            <w:r w:rsidRPr="00095583">
              <w:rPr>
                <w:rFonts w:eastAsia="Century Gothic" w:cs="Century Gothic"/>
              </w:rPr>
              <w:t>WLDF</w:t>
            </w:r>
            <w:r w:rsidRPr="00095583">
              <w:rPr>
                <w:rFonts w:eastAsia="Century Gothic" w:cs="Century Gothic"/>
                <w:vertAlign w:val="subscript"/>
              </w:rPr>
              <w:t>t</w:t>
            </w:r>
            <w:proofErr w:type="spellEnd"/>
          </w:p>
        </w:tc>
        <w:tc>
          <w:tcPr>
            <w:tcW w:w="6835" w:type="dxa"/>
            <w:shd w:val="clear" w:color="auto" w:fill="CCD4E5"/>
            <w:vAlign w:val="center"/>
          </w:tcPr>
          <w:p w14:paraId="0000012E" w14:textId="77777777" w:rsidR="00471C28" w:rsidRPr="00095583" w:rsidRDefault="00CF15C9">
            <w:pPr>
              <w:spacing w:before="240" w:line="288" w:lineRule="auto"/>
              <w:rPr>
                <w:rFonts w:eastAsia="Century Gothic" w:cs="Century Gothic"/>
                <w:color w:val="000000"/>
              </w:rPr>
            </w:pPr>
            <w:r w:rsidRPr="00095583">
              <w:rPr>
                <w:rFonts w:eastAsia="Century Gothic" w:cs="Century Gothic"/>
                <w:color w:val="000000"/>
              </w:rPr>
              <w:t>Weighted leakage deduction factor during activity period, t; (%)</w:t>
            </w:r>
          </w:p>
        </w:tc>
      </w:tr>
      <w:tr w:rsidR="00471C28" w:rsidRPr="00095583" w14:paraId="11EB6CC8" w14:textId="77777777">
        <w:trPr>
          <w:trHeight w:val="1386"/>
        </w:trPr>
        <w:tc>
          <w:tcPr>
            <w:tcW w:w="1795" w:type="dxa"/>
            <w:shd w:val="clear" w:color="auto" w:fill="CCD4E5"/>
            <w:vAlign w:val="center"/>
          </w:tcPr>
          <w:p w14:paraId="0000012F" w14:textId="59288438" w:rsidR="00471C28" w:rsidRPr="00095583" w:rsidRDefault="00CF15C9">
            <w:pPr>
              <w:spacing w:before="240" w:line="288" w:lineRule="auto"/>
              <w:rPr>
                <w:rFonts w:eastAsia="Century Gothic" w:cs="Century Gothic"/>
              </w:rPr>
            </w:pPr>
            <w:proofErr w:type="spellStart"/>
            <w:proofErr w:type="gramStart"/>
            <w:r w:rsidRPr="00095583">
              <w:rPr>
                <w:rFonts w:eastAsia="Century Gothic" w:cs="Century Gothic"/>
              </w:rPr>
              <w:t>LDF</w:t>
            </w:r>
            <w:r w:rsidR="00FE6296" w:rsidRPr="00095583">
              <w:rPr>
                <w:rFonts w:eastAsia="Century Gothic" w:cs="Century Gothic"/>
                <w:vertAlign w:val="subscript"/>
              </w:rPr>
              <w:t>i,t</w:t>
            </w:r>
            <w:proofErr w:type="spellEnd"/>
            <w:proofErr w:type="gramEnd"/>
          </w:p>
        </w:tc>
        <w:tc>
          <w:tcPr>
            <w:tcW w:w="6835" w:type="dxa"/>
            <w:shd w:val="clear" w:color="auto" w:fill="CCD4E5"/>
            <w:vAlign w:val="center"/>
          </w:tcPr>
          <w:p w14:paraId="00000130" w14:textId="47778DA9" w:rsidR="00471C28" w:rsidRPr="00095583" w:rsidRDefault="00CF15C9">
            <w:pPr>
              <w:spacing w:before="240" w:line="288" w:lineRule="auto"/>
              <w:rPr>
                <w:rFonts w:eastAsia="Century Gothic" w:cs="Century Gothic"/>
                <w:color w:val="000000"/>
              </w:rPr>
            </w:pPr>
            <w:r w:rsidRPr="00095583">
              <w:rPr>
                <w:rFonts w:eastAsia="Century Gothic" w:cs="Century Gothic"/>
                <w:color w:val="000000"/>
              </w:rPr>
              <w:t>Leakage deduction factor during activity period, t; apply 10% for all participating properties</w:t>
            </w:r>
            <w:r w:rsidR="00FE6296" w:rsidRPr="00095583">
              <w:rPr>
                <w:rFonts w:eastAsia="Century Gothic" w:cs="Century Gothic"/>
                <w:color w:val="000000"/>
              </w:rPr>
              <w:t xml:space="preserve"> </w:t>
            </w:r>
            <w:proofErr w:type="spellStart"/>
            <w:r w:rsidR="00FE6296" w:rsidRPr="00095583">
              <w:rPr>
                <w:rFonts w:eastAsia="Century Gothic" w:cs="Century Gothic"/>
                <w:i/>
                <w:iCs/>
                <w:color w:val="000000"/>
              </w:rPr>
              <w:t>i</w:t>
            </w:r>
            <w:proofErr w:type="spellEnd"/>
            <w:r w:rsidRPr="00095583">
              <w:rPr>
                <w:rFonts w:eastAsia="Century Gothic" w:cs="Century Gothic"/>
                <w:color w:val="000000"/>
              </w:rPr>
              <w:t xml:space="preserve"> included in the project for up to 7 years; apply appropriate factor, per the above procedure, for all participating properties</w:t>
            </w:r>
            <w:r w:rsidR="00FE6296" w:rsidRPr="00095583">
              <w:rPr>
                <w:rFonts w:eastAsia="Century Gothic" w:cs="Century Gothic"/>
                <w:color w:val="000000"/>
              </w:rPr>
              <w:t xml:space="preserve"> </w:t>
            </w:r>
            <w:proofErr w:type="spellStart"/>
            <w:r w:rsidR="00FE6296" w:rsidRPr="00095583">
              <w:rPr>
                <w:rFonts w:eastAsia="Century Gothic" w:cs="Century Gothic"/>
                <w:i/>
                <w:iCs/>
                <w:color w:val="000000"/>
              </w:rPr>
              <w:t>i</w:t>
            </w:r>
            <w:proofErr w:type="spellEnd"/>
            <w:r w:rsidRPr="00095583">
              <w:rPr>
                <w:rFonts w:eastAsia="Century Gothic" w:cs="Century Gothic"/>
                <w:color w:val="000000"/>
              </w:rPr>
              <w:t xml:space="preserve"> included in the project for years 8 and beyond; (%)</w:t>
            </w:r>
            <w:r w:rsidR="00D76565" w:rsidRPr="00095583">
              <w:rPr>
                <w:rFonts w:eastAsia="Century Gothic" w:cs="Century Gothic"/>
                <w:color w:val="000000"/>
              </w:rPr>
              <w:t xml:space="preserve"> (</w:t>
            </w:r>
            <w:r w:rsidR="00D76565" w:rsidRPr="00095583">
              <w:rPr>
                <w:rFonts w:eastAsia="Libre Franklin" w:cs="Libre Franklin"/>
                <w:bCs/>
                <w:szCs w:val="20"/>
              </w:rPr>
              <w:t>VCS Standard v4.2, Table 3)</w:t>
            </w:r>
          </w:p>
        </w:tc>
      </w:tr>
      <w:tr w:rsidR="00471C28" w:rsidRPr="00095583" w14:paraId="0FB8E5BD" w14:textId="77777777">
        <w:tc>
          <w:tcPr>
            <w:tcW w:w="1795" w:type="dxa"/>
            <w:shd w:val="clear" w:color="auto" w:fill="CCD4E5"/>
            <w:vAlign w:val="center"/>
          </w:tcPr>
          <w:p w14:paraId="00000131" w14:textId="02655122" w:rsidR="00471C28" w:rsidRPr="00095583" w:rsidRDefault="00CF15C9">
            <w:pPr>
              <w:spacing w:before="240" w:line="288" w:lineRule="auto"/>
              <w:rPr>
                <w:rFonts w:eastAsia="Century Gothic" w:cs="Century Gothic"/>
              </w:rPr>
            </w:pPr>
            <w:proofErr w:type="spellStart"/>
            <w:proofErr w:type="gramStart"/>
            <w:r w:rsidRPr="00095583">
              <w:rPr>
                <w:rFonts w:eastAsia="Century Gothic" w:cs="Century Gothic"/>
              </w:rPr>
              <w:t>PP</w:t>
            </w:r>
            <w:r w:rsidR="00FE6296" w:rsidRPr="00095583">
              <w:rPr>
                <w:rFonts w:eastAsia="Century Gothic" w:cs="Century Gothic"/>
                <w:vertAlign w:val="subscript"/>
              </w:rPr>
              <w:t>i,t</w:t>
            </w:r>
            <w:proofErr w:type="spellEnd"/>
            <w:proofErr w:type="gramEnd"/>
          </w:p>
        </w:tc>
        <w:tc>
          <w:tcPr>
            <w:tcW w:w="6835" w:type="dxa"/>
            <w:shd w:val="clear" w:color="auto" w:fill="CCD4E5"/>
            <w:vAlign w:val="center"/>
          </w:tcPr>
          <w:p w14:paraId="00000132" w14:textId="7F2AAC80" w:rsidR="00471C28" w:rsidRPr="00095583" w:rsidRDefault="00CF15C9">
            <w:pPr>
              <w:spacing w:before="240" w:line="288" w:lineRule="auto"/>
              <w:rPr>
                <w:rFonts w:eastAsia="Century Gothic" w:cs="Century Gothic"/>
                <w:color w:val="000000"/>
              </w:rPr>
            </w:pPr>
            <w:r w:rsidRPr="00095583">
              <w:rPr>
                <w:rFonts w:eastAsia="Century Gothic" w:cs="Century Gothic"/>
                <w:color w:val="000000"/>
              </w:rPr>
              <w:t xml:space="preserve">Participating property </w:t>
            </w:r>
            <w:proofErr w:type="spellStart"/>
            <w:r w:rsidR="00FE6296" w:rsidRPr="00095583">
              <w:rPr>
                <w:rFonts w:eastAsia="Century Gothic" w:cs="Century Gothic"/>
                <w:i/>
                <w:iCs/>
                <w:color w:val="000000"/>
              </w:rPr>
              <w:t>i</w:t>
            </w:r>
            <w:proofErr w:type="spellEnd"/>
            <w:r w:rsidR="00FE6296" w:rsidRPr="00095583">
              <w:rPr>
                <w:rFonts w:eastAsia="Century Gothic" w:cs="Century Gothic"/>
                <w:i/>
                <w:iCs/>
                <w:color w:val="000000"/>
              </w:rPr>
              <w:t xml:space="preserve"> </w:t>
            </w:r>
            <w:r w:rsidRPr="00095583">
              <w:rPr>
                <w:rFonts w:eastAsia="Century Gothic" w:cs="Century Gothic"/>
                <w:color w:val="000000"/>
              </w:rPr>
              <w:t>during activity period, t; unitless</w:t>
            </w:r>
          </w:p>
        </w:tc>
      </w:tr>
    </w:tbl>
    <w:p w14:paraId="00000133" w14:textId="77777777" w:rsidR="00471C28" w:rsidRDefault="00CF15C9" w:rsidP="00095583">
      <w:pPr>
        <w:pStyle w:val="Heading2"/>
      </w:pPr>
      <w:bookmarkStart w:id="36" w:name="_Toc98322290"/>
      <w:bookmarkEnd w:id="35"/>
      <w:r w:rsidRPr="00095583">
        <w:t>Uncertainty</w:t>
      </w:r>
      <w:bookmarkEnd w:id="36"/>
    </w:p>
    <w:p w14:paraId="00000134" w14:textId="77777777" w:rsidR="00471C28" w:rsidRPr="00095583" w:rsidRDefault="00CF15C9">
      <w:pPr>
        <w:spacing w:before="240" w:line="274" w:lineRule="auto"/>
        <w:ind w:left="720"/>
        <w:rPr>
          <w:rFonts w:eastAsia="Century Gothic" w:cs="Century Gothic"/>
        </w:rPr>
      </w:pPr>
      <w:r w:rsidRPr="00095583">
        <w:rPr>
          <w:rFonts w:eastAsia="Century Gothic" w:cs="Century Gothic"/>
        </w:rPr>
        <w:t xml:space="preserve">Uncertainty </w:t>
      </w:r>
      <w:proofErr w:type="gramStart"/>
      <w:r w:rsidRPr="00095583">
        <w:rPr>
          <w:rFonts w:eastAsia="Century Gothic" w:cs="Century Gothic"/>
        </w:rPr>
        <w:t>at all times</w:t>
      </w:r>
      <w:proofErr w:type="gramEnd"/>
      <w:r w:rsidRPr="00095583">
        <w:rPr>
          <w:rFonts w:eastAsia="Century Gothic" w:cs="Century Gothic"/>
        </w:rPr>
        <w:t xml:space="preserve"> is defined at the 90% confidence interval where the estimated variance exceeds +/- 10 percent from the mean. Procedures including stratification and the allocation of sufficient measurement plots will help ensure that low uncertainty results and ultimately full crediting can result.</w:t>
      </w:r>
    </w:p>
    <w:p w14:paraId="00000135" w14:textId="77777777" w:rsidR="00471C28" w:rsidRPr="00095583" w:rsidRDefault="00CF15C9">
      <w:pPr>
        <w:spacing w:before="240" w:line="274" w:lineRule="auto"/>
        <w:ind w:left="720"/>
        <w:rPr>
          <w:rFonts w:eastAsia="Century Gothic" w:cs="Century Gothic"/>
        </w:rPr>
      </w:pPr>
      <w:r w:rsidRPr="00095583">
        <w:rPr>
          <w:rFonts w:eastAsia="Century Gothic" w:cs="Century Gothic"/>
        </w:rPr>
        <w:t>It is good practice to consider uncertainty at an early stage to identify the data sources with the highest uncertainty to allow the opportunity to conduct further work to diminish uncertainty.</w:t>
      </w:r>
    </w:p>
    <w:p w14:paraId="00000136" w14:textId="77777777" w:rsidR="00471C28" w:rsidRPr="00095583" w:rsidRDefault="00CF15C9">
      <w:pPr>
        <w:spacing w:before="240" w:line="274" w:lineRule="auto"/>
        <w:ind w:left="720"/>
        <w:rPr>
          <w:rFonts w:eastAsia="Century Gothic" w:cs="Century Gothic"/>
        </w:rPr>
      </w:pPr>
      <w:r w:rsidRPr="00095583">
        <w:rPr>
          <w:rFonts w:eastAsia="Century Gothic" w:cs="Century Gothic"/>
        </w:rPr>
        <w:t>For both the baseline and the with-project case the total uncertainty is equal to the square root of the sum of the squares of each component uncertainty and is calculated at the time of reporting through propagating the error in the baseline stocks and the error in the project stocks.</w:t>
      </w:r>
    </w:p>
    <w:p w14:paraId="00000137" w14:textId="65F21535" w:rsidR="00471C28" w:rsidRPr="00095583" w:rsidRDefault="00CF15C9">
      <w:pPr>
        <w:spacing w:before="240" w:line="274" w:lineRule="auto"/>
        <w:ind w:left="720"/>
        <w:rPr>
          <w:rFonts w:eastAsia="Century Gothic" w:cs="Century Gothic"/>
        </w:rPr>
      </w:pPr>
      <w:r w:rsidRPr="00095583">
        <w:rPr>
          <w:rFonts w:eastAsia="Century Gothic" w:cs="Century Gothic"/>
        </w:rPr>
        <w:t xml:space="preserve">The uncertainty deduction applied in </w:t>
      </w:r>
      <w:r w:rsidR="002F229A" w:rsidRPr="00095583">
        <w:rPr>
          <w:rFonts w:eastAsia="Century Gothic" w:cs="Century Gothic"/>
        </w:rPr>
        <w:t>E</w:t>
      </w:r>
      <w:r w:rsidRPr="00095583">
        <w:rPr>
          <w:rFonts w:eastAsia="Century Gothic" w:cs="Century Gothic"/>
        </w:rPr>
        <w:t>quation</w:t>
      </w:r>
      <w:r w:rsidR="00983C9C" w:rsidRPr="00095583">
        <w:rPr>
          <w:rFonts w:eastAsia="Century Gothic" w:cs="Century Gothic"/>
        </w:rPr>
        <w:t xml:space="preserve"> 1</w:t>
      </w:r>
      <w:r w:rsidR="00FE6296" w:rsidRPr="00095583">
        <w:rPr>
          <w:rFonts w:eastAsia="Century Gothic" w:cs="Century Gothic"/>
        </w:rPr>
        <w:t>2</w:t>
      </w:r>
      <w:r w:rsidR="00224513" w:rsidRPr="00095583">
        <w:rPr>
          <w:rFonts w:eastAsia="Century Gothic" w:cs="Century Gothic"/>
        </w:rPr>
        <w:t xml:space="preserve"> (Section 8.6)</w:t>
      </w:r>
      <w:r w:rsidR="00983C9C" w:rsidRPr="00095583">
        <w:rPr>
          <w:rFonts w:eastAsia="Century Gothic" w:cs="Century Gothic"/>
        </w:rPr>
        <w:t xml:space="preserve"> </w:t>
      </w:r>
      <w:r w:rsidRPr="00095583">
        <w:rPr>
          <w:rFonts w:eastAsia="Century Gothic" w:cs="Century Gothic"/>
        </w:rPr>
        <w:t>is derived according to the following instructions. For the baseline and project above ground live tree biomass estimations, uncertainty is assessed based on the sampling error. It is assumed that no uncertainty is associated with other variables, such as overall project area, as accurate GIS boundaries are required to conduct the project.</w:t>
      </w:r>
    </w:p>
    <w:p w14:paraId="00000138" w14:textId="297058FA" w:rsidR="00471C28" w:rsidRPr="00095583" w:rsidRDefault="00CF15C9">
      <w:pPr>
        <w:spacing w:before="240" w:line="274" w:lineRule="auto"/>
        <w:ind w:left="720"/>
        <w:rPr>
          <w:rFonts w:eastAsia="Century Gothic" w:cs="Century Gothic"/>
        </w:rPr>
      </w:pPr>
      <w:r w:rsidRPr="00095583">
        <w:rPr>
          <w:rFonts w:eastAsia="Century Gothic" w:cs="Century Gothic"/>
        </w:rPr>
        <w:t>For the above ground live tree biomass carbon pool in the baseline and project scenarios, calculation of the mean and 90% confidence interval is required. Uncertainty is then documented as the 90% confidence interval as a percentage of the mean.</w:t>
      </w:r>
      <w:r w:rsidR="00F4748E" w:rsidRPr="00095583">
        <w:rPr>
          <w:rFonts w:eastAsia="Century Gothic" w:cs="Century Gothic"/>
        </w:rPr>
        <w:t xml:space="preserve"> These values are </w:t>
      </w:r>
      <w:r w:rsidR="00F4748E" w:rsidRPr="00095583">
        <w:rPr>
          <w:rFonts w:eastAsia="Century Gothic" w:cs="Century Gothic"/>
        </w:rPr>
        <w:lastRenderedPageBreak/>
        <w:t>calculated for the activity period total</w:t>
      </w:r>
      <w:r w:rsidR="00580F96" w:rsidRPr="00095583">
        <w:rPr>
          <w:rFonts w:eastAsia="Century Gothic" w:cs="Century Gothic"/>
        </w:rPr>
        <w:t xml:space="preserve"> for all participants</w:t>
      </w:r>
      <w:r w:rsidR="00F4748E" w:rsidRPr="00095583">
        <w:rPr>
          <w:rFonts w:eastAsia="Century Gothic" w:cs="Century Gothic"/>
        </w:rPr>
        <w:t xml:space="preserve">, that is, the values computed in Equations </w:t>
      </w:r>
      <w:r w:rsidR="00FE6296" w:rsidRPr="00095583">
        <w:rPr>
          <w:rFonts w:eastAsia="Century Gothic" w:cs="Century Gothic"/>
        </w:rPr>
        <w:t xml:space="preserve">2 and </w:t>
      </w:r>
      <w:r w:rsidR="00F4748E" w:rsidRPr="00095583">
        <w:rPr>
          <w:rFonts w:eastAsia="Century Gothic" w:cs="Century Gothic"/>
        </w:rPr>
        <w:t xml:space="preserve">4. </w:t>
      </w:r>
    </w:p>
    <w:p w14:paraId="00000139" w14:textId="62772FF7" w:rsidR="00471C28" w:rsidRPr="00095583" w:rsidRDefault="00CF15C9">
      <w:pPr>
        <w:spacing w:before="240" w:line="274" w:lineRule="auto"/>
        <w:ind w:left="720"/>
        <w:rPr>
          <w:rFonts w:eastAsia="Century Gothic" w:cs="Century Gothic"/>
        </w:rPr>
      </w:pPr>
      <w:r w:rsidRPr="00095583">
        <w:rPr>
          <w:rFonts w:eastAsia="Century Gothic" w:cs="Century Gothic"/>
        </w:rPr>
        <w:t>For baseline above ground live tree biomass, uncertainty is calculated as follows:</w:t>
      </w:r>
    </w:p>
    <w:tbl>
      <w:tblPr>
        <w:tblW w:w="8550" w:type="dxa"/>
        <w:tblInd w:w="5" w:type="dxa"/>
        <w:tblLayout w:type="fixed"/>
        <w:tblCellMar>
          <w:top w:w="100" w:type="dxa"/>
          <w:left w:w="100" w:type="dxa"/>
          <w:bottom w:w="100" w:type="dxa"/>
          <w:right w:w="100" w:type="dxa"/>
        </w:tblCellMar>
        <w:tblLook w:val="04A0" w:firstRow="1" w:lastRow="0" w:firstColumn="1" w:lastColumn="0" w:noHBand="0" w:noVBand="1"/>
      </w:tblPr>
      <w:tblGrid>
        <w:gridCol w:w="6745"/>
        <w:gridCol w:w="1805"/>
      </w:tblGrid>
      <w:tr w:rsidR="00BA39E1" w14:paraId="3F0B49D3" w14:textId="77777777" w:rsidTr="00BA39E1">
        <w:tc>
          <w:tcPr>
            <w:tcW w:w="6745" w:type="dxa"/>
          </w:tcPr>
          <w:p w14:paraId="42D8F141" w14:textId="132476E3" w:rsidR="00BA39E1" w:rsidRDefault="00000000" w:rsidP="00403AE6">
            <w:pPr>
              <w:rPr>
                <w:rFonts w:eastAsia="Cambria Math" w:cs="Cambria Math"/>
                <w:color w:val="000000"/>
              </w:rPr>
            </w:pPr>
            <m:oMathPara>
              <m:oMath>
                <m:sSub>
                  <m:sSubPr>
                    <m:ctrlPr>
                      <w:rPr>
                        <w:rFonts w:ascii="Cambria Math" w:hAnsi="Cambria Math"/>
                      </w:rPr>
                    </m:ctrlPr>
                  </m:sSubPr>
                  <m:e>
                    <m:r>
                      <w:rPr>
                        <w:rFonts w:ascii="Cambria Math" w:hAnsi="Cambria Math"/>
                      </w:rPr>
                      <m:t>UNC</m:t>
                    </m:r>
                  </m:e>
                  <m:sub>
                    <m:r>
                      <w:rPr>
                        <w:rFonts w:ascii="Cambria Math" w:hAnsi="Cambria Math"/>
                      </w:rPr>
                      <m:t>bsl</m:t>
                    </m:r>
                    <m:r>
                      <m:rPr>
                        <m:sty m:val="p"/>
                      </m:rPr>
                      <w:rPr>
                        <w:rFonts w:ascii="Cambria Math" w:hAnsi="Cambria Math"/>
                      </w:rPr>
                      <m:t>,</m:t>
                    </m:r>
                    <m:r>
                      <w:rPr>
                        <w:rFonts w:ascii="Cambria Math" w:hAnsi="Cambria Math"/>
                      </w:rPr>
                      <m:t>t</m:t>
                    </m:r>
                    <m:r>
                      <m:rPr>
                        <m:sty m:val="p"/>
                      </m:rPr>
                      <w:rPr>
                        <w:rFonts w:ascii="Cambria Math" w:hAnsi="Cambria Math"/>
                      </w:rPr>
                      <m:t xml:space="preserve">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UNC</m:t>
                    </m:r>
                  </m:e>
                  <m:sub>
                    <m:r>
                      <w:rPr>
                        <w:rFonts w:ascii="Cambria Math" w:hAnsi="Cambria Math"/>
                      </w:rPr>
                      <m:t>altbsl</m:t>
                    </m:r>
                    <m:r>
                      <m:rPr>
                        <m:sty m:val="p"/>
                      </m:rPr>
                      <w:rPr>
                        <w:rFonts w:ascii="Cambria Math" w:hAnsi="Cambria Math"/>
                      </w:rPr>
                      <m:t>,</m:t>
                    </m:r>
                    <m:r>
                      <w:rPr>
                        <w:rFonts w:ascii="Cambria Math" w:hAnsi="Cambria Math"/>
                      </w:rPr>
                      <m:t>t</m:t>
                    </m:r>
                  </m:sub>
                </m:sSub>
              </m:oMath>
            </m:oMathPara>
          </w:p>
        </w:tc>
        <w:tc>
          <w:tcPr>
            <w:tcW w:w="1805" w:type="dxa"/>
          </w:tcPr>
          <w:p w14:paraId="17AC10C0" w14:textId="0ECC72BC" w:rsidR="00BA39E1" w:rsidRDefault="00BA39E1" w:rsidP="00403AE6">
            <w:pPr>
              <w:rPr>
                <w:color w:val="000000"/>
              </w:rPr>
            </w:pPr>
            <w:r>
              <w:t>(</w:t>
            </w:r>
            <w:r w:rsidR="00FE6296">
              <w:t>8</w:t>
            </w:r>
            <w:r>
              <w:t>)</w:t>
            </w:r>
          </w:p>
        </w:tc>
      </w:tr>
    </w:tbl>
    <w:p w14:paraId="0000013C" w14:textId="44A23D19" w:rsidR="00471C28" w:rsidRPr="00095583" w:rsidRDefault="00CF15C9">
      <w:pPr>
        <w:spacing w:before="240" w:line="274" w:lineRule="auto"/>
        <w:ind w:left="720"/>
        <w:rPr>
          <w:rFonts w:eastAsia="Century Gothic" w:cs="Century Gothic"/>
        </w:rPr>
      </w:pPr>
      <w:r w:rsidRPr="00095583">
        <w:rPr>
          <w:rFonts w:eastAsia="Century Gothic" w:cs="Century Gothic"/>
        </w:rPr>
        <w:t>Where:</w:t>
      </w:r>
    </w:p>
    <w:tbl>
      <w:tblPr>
        <w:tblW w:w="86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1795"/>
        <w:gridCol w:w="6835"/>
      </w:tblGrid>
      <w:tr w:rsidR="00BA39E1" w:rsidRPr="00095583" w14:paraId="6D760F97" w14:textId="77777777" w:rsidTr="00C34B29">
        <w:tc>
          <w:tcPr>
            <w:tcW w:w="1795" w:type="dxa"/>
            <w:shd w:val="clear" w:color="auto" w:fill="CCD4E5"/>
            <w:vAlign w:val="center"/>
          </w:tcPr>
          <w:p w14:paraId="64C1405B" w14:textId="34551651" w:rsidR="00BA39E1" w:rsidRPr="00095583" w:rsidRDefault="00BA39E1" w:rsidP="00C34B29">
            <w:pPr>
              <w:spacing w:before="240" w:line="288" w:lineRule="auto"/>
            </w:pPr>
            <w:proofErr w:type="spellStart"/>
            <w:proofErr w:type="gramStart"/>
            <w:r w:rsidRPr="00095583">
              <w:rPr>
                <w:rFonts w:eastAsia="Century Gothic" w:cs="Century Gothic"/>
              </w:rPr>
              <w:t>UNC</w:t>
            </w:r>
            <w:r w:rsidRPr="00095583">
              <w:rPr>
                <w:rFonts w:eastAsia="Century Gothic" w:cs="Century Gothic"/>
                <w:vertAlign w:val="subscript"/>
              </w:rPr>
              <w:t>bsl,t</w:t>
            </w:r>
            <w:proofErr w:type="spellEnd"/>
            <w:proofErr w:type="gramEnd"/>
          </w:p>
        </w:tc>
        <w:tc>
          <w:tcPr>
            <w:tcW w:w="6835" w:type="dxa"/>
            <w:shd w:val="clear" w:color="auto" w:fill="CCD4E5"/>
            <w:vAlign w:val="center"/>
          </w:tcPr>
          <w:p w14:paraId="64CED2B3" w14:textId="5A53885D" w:rsidR="00BA39E1" w:rsidRPr="00095583" w:rsidRDefault="00BA39E1" w:rsidP="00C34B29">
            <w:pPr>
              <w:spacing w:before="240" w:line="288" w:lineRule="auto"/>
              <w:rPr>
                <w:rFonts w:eastAsia="Century Gothic" w:cs="Century Gothic"/>
              </w:rPr>
            </w:pPr>
            <w:r w:rsidRPr="00095583">
              <w:rPr>
                <w:rFonts w:eastAsia="Century Gothic" w:cs="Century Gothic"/>
              </w:rPr>
              <w:t>Uncertainty in above ground live tree biomass in the baseline scenario in activity period, t; (percent)</w:t>
            </w:r>
          </w:p>
        </w:tc>
      </w:tr>
      <w:tr w:rsidR="00BA39E1" w:rsidRPr="00095583" w14:paraId="070236E6" w14:textId="77777777" w:rsidTr="009C76E8">
        <w:tc>
          <w:tcPr>
            <w:tcW w:w="1795" w:type="dxa"/>
            <w:shd w:val="clear" w:color="auto" w:fill="CCD4E5"/>
          </w:tcPr>
          <w:p w14:paraId="1A0BCBB6" w14:textId="7B03BC83" w:rsidR="00BA39E1" w:rsidRPr="00095583" w:rsidRDefault="00BA39E1" w:rsidP="00BA39E1">
            <w:pPr>
              <w:spacing w:before="240" w:line="288" w:lineRule="auto"/>
              <w:rPr>
                <w:rFonts w:eastAsia="Century Gothic" w:cs="Century Gothic"/>
              </w:rPr>
            </w:pPr>
            <w:proofErr w:type="spellStart"/>
            <w:proofErr w:type="gramStart"/>
            <w:r w:rsidRPr="00095583">
              <w:rPr>
                <w:rFonts w:eastAsia="Century Gothic" w:cs="Century Gothic"/>
              </w:rPr>
              <w:t>UNC</w:t>
            </w:r>
            <w:r w:rsidRPr="00095583">
              <w:rPr>
                <w:rFonts w:eastAsia="Century Gothic" w:cs="Century Gothic"/>
                <w:vertAlign w:val="subscript"/>
              </w:rPr>
              <w:t>altbsl,t</w:t>
            </w:r>
            <w:proofErr w:type="spellEnd"/>
            <w:proofErr w:type="gramEnd"/>
          </w:p>
        </w:tc>
        <w:tc>
          <w:tcPr>
            <w:tcW w:w="6835" w:type="dxa"/>
            <w:shd w:val="clear" w:color="auto" w:fill="CCD4E5"/>
          </w:tcPr>
          <w:p w14:paraId="5192C7A7" w14:textId="720A3B4B" w:rsidR="00BA39E1" w:rsidRPr="00095583" w:rsidRDefault="00BA39E1" w:rsidP="00BA39E1">
            <w:pPr>
              <w:spacing w:before="240" w:line="288" w:lineRule="auto"/>
              <w:rPr>
                <w:rFonts w:eastAsia="Century Gothic" w:cs="Century Gothic"/>
              </w:rPr>
            </w:pPr>
            <w:r w:rsidRPr="00095583">
              <w:rPr>
                <w:rFonts w:eastAsia="Century Gothic" w:cs="Century Gothic"/>
              </w:rPr>
              <w:t xml:space="preserve">Uncertainty in above ground live tree biomass at the beginning of activity period, t; </w:t>
            </w:r>
            <w:r w:rsidR="00AD2995" w:rsidRPr="00095583">
              <w:rPr>
                <w:rFonts w:eastAsia="Century Gothic" w:cs="Century Gothic"/>
              </w:rPr>
              <w:t xml:space="preserve">(half the </w:t>
            </w:r>
            <w:r w:rsidRPr="00095583">
              <w:rPr>
                <w:rFonts w:eastAsia="Century Gothic" w:cs="Century Gothic"/>
              </w:rPr>
              <w:t xml:space="preserve">90% confidence interval </w:t>
            </w:r>
            <w:r w:rsidR="00AD2995" w:rsidRPr="00095583">
              <w:rPr>
                <w:rFonts w:eastAsia="Century Gothic" w:cs="Century Gothic"/>
              </w:rPr>
              <w:t>divided by the</w:t>
            </w:r>
            <w:r w:rsidRPr="00095583">
              <w:rPr>
                <w:rFonts w:eastAsia="Century Gothic" w:cs="Century Gothic"/>
              </w:rPr>
              <w:t xml:space="preserve"> </w:t>
            </w:r>
            <w:r w:rsidR="00AD2995" w:rsidRPr="00095583">
              <w:rPr>
                <w:rFonts w:eastAsia="Century Gothic" w:cs="Century Gothic"/>
              </w:rPr>
              <w:t xml:space="preserve">total </w:t>
            </w:r>
            <w:r w:rsidRPr="00095583">
              <w:rPr>
                <w:rFonts w:eastAsia="Century Gothic" w:cs="Century Gothic"/>
              </w:rPr>
              <w:t>carbon stock</w:t>
            </w:r>
            <w:r w:rsidR="00AD2995" w:rsidRPr="00095583">
              <w:rPr>
                <w:rFonts w:eastAsia="Century Gothic" w:cs="Century Gothic"/>
              </w:rPr>
              <w:t>, expressed as a</w:t>
            </w:r>
            <w:r w:rsidRPr="00095583">
              <w:rPr>
                <w:rFonts w:eastAsia="Century Gothic" w:cs="Century Gothic"/>
              </w:rPr>
              <w:t xml:space="preserve"> percent</w:t>
            </w:r>
            <w:r w:rsidR="00AD2995" w:rsidRPr="00095583">
              <w:rPr>
                <w:rFonts w:eastAsia="Century Gothic" w:cs="Century Gothic"/>
              </w:rPr>
              <w:t>age</w:t>
            </w:r>
            <w:r w:rsidRPr="00095583">
              <w:rPr>
                <w:rFonts w:eastAsia="Century Gothic" w:cs="Century Gothic"/>
              </w:rPr>
              <w:t>)</w:t>
            </w:r>
          </w:p>
        </w:tc>
      </w:tr>
    </w:tbl>
    <w:p w14:paraId="00000143" w14:textId="1D51AF44" w:rsidR="00471C28" w:rsidRPr="00095583" w:rsidRDefault="00CF15C9">
      <w:pPr>
        <w:spacing w:before="240" w:line="274" w:lineRule="auto"/>
        <w:ind w:left="720"/>
        <w:rPr>
          <w:rFonts w:eastAsia="Century Gothic" w:cs="Century Gothic"/>
        </w:rPr>
      </w:pPr>
      <w:r w:rsidRPr="00095583">
        <w:rPr>
          <w:rFonts w:eastAsia="Century Gothic" w:cs="Century Gothic"/>
        </w:rPr>
        <w:t>For the project scenario above ground live tree biomass, uncertainty is calculated as follows:</w:t>
      </w:r>
    </w:p>
    <w:tbl>
      <w:tblPr>
        <w:tblW w:w="8550" w:type="dxa"/>
        <w:tblLayout w:type="fixed"/>
        <w:tblCellMar>
          <w:top w:w="100" w:type="dxa"/>
          <w:left w:w="100" w:type="dxa"/>
          <w:bottom w:w="100" w:type="dxa"/>
          <w:right w:w="100" w:type="dxa"/>
        </w:tblCellMar>
        <w:tblLook w:val="04A0" w:firstRow="1" w:lastRow="0" w:firstColumn="1" w:lastColumn="0" w:noHBand="0" w:noVBand="1"/>
      </w:tblPr>
      <w:tblGrid>
        <w:gridCol w:w="6660"/>
        <w:gridCol w:w="1890"/>
      </w:tblGrid>
      <w:tr w:rsidR="00BA39E1" w14:paraId="6A1D335E" w14:textId="77777777" w:rsidTr="00BA39E1">
        <w:tc>
          <w:tcPr>
            <w:tcW w:w="6660" w:type="dxa"/>
          </w:tcPr>
          <w:p w14:paraId="3DABA4B6" w14:textId="0D91B3A5" w:rsidR="00BA39E1" w:rsidRDefault="00000000" w:rsidP="00403AE6">
            <w:pPr>
              <w:rPr>
                <w:rFonts w:eastAsia="Cambria Math" w:cs="Cambria Math"/>
                <w:color w:val="000000"/>
              </w:rPr>
            </w:pPr>
            <m:oMathPara>
              <m:oMath>
                <m:sSub>
                  <m:sSubPr>
                    <m:ctrlPr>
                      <w:rPr>
                        <w:rFonts w:ascii="Cambria Math" w:hAnsi="Cambria Math"/>
                        <w:color w:val="44546A"/>
                        <w:vertAlign w:val="subscript"/>
                      </w:rPr>
                    </m:ctrlPr>
                  </m:sSubPr>
                  <m:e>
                    <m:r>
                      <w:rPr>
                        <w:rFonts w:ascii="Cambria Math" w:hAnsi="Cambria Math"/>
                        <w:color w:val="44546A"/>
                        <w:vertAlign w:val="subscript"/>
                      </w:rPr>
                      <m:t>UNC</m:t>
                    </m:r>
                  </m:e>
                  <m:sub>
                    <m:sSub>
                      <m:sSubPr>
                        <m:ctrlPr>
                          <w:rPr>
                            <w:rFonts w:ascii="Cambria Math" w:hAnsi="Cambria Math"/>
                            <w:vertAlign w:val="subscript"/>
                          </w:rPr>
                        </m:ctrlPr>
                      </m:sSubPr>
                      <m:e>
                        <m:r>
                          <w:rPr>
                            <w:rFonts w:ascii="Cambria Math" w:hAnsi="Cambria Math"/>
                            <w:vertAlign w:val="subscript"/>
                          </w:rPr>
                          <m:t>p</m:t>
                        </m:r>
                        <m:r>
                          <m:rPr>
                            <m:sty m:val="p"/>
                          </m:rPr>
                          <w:rPr>
                            <w:rFonts w:ascii="Cambria Math" w:hAnsi="Cambria Math"/>
                            <w:vertAlign w:val="subscript"/>
                          </w:rPr>
                          <m:t>,</m:t>
                        </m:r>
                        <m:r>
                          <w:rPr>
                            <w:rFonts w:ascii="Cambria Math" w:hAnsi="Cambria Math"/>
                            <w:vertAlign w:val="subscript"/>
                          </w:rPr>
                          <m:t>t</m:t>
                        </m:r>
                        <m:r>
                          <m:rPr>
                            <m:sty m:val="p"/>
                          </m:rPr>
                          <w:rPr>
                            <w:rFonts w:ascii="Cambria Math" w:hAnsi="Cambria Math"/>
                            <w:vertAlign w:val="subscript"/>
                          </w:rPr>
                          <m:t xml:space="preserve"> = </m:t>
                        </m:r>
                      </m:e>
                      <m:sub/>
                    </m:sSub>
                  </m:sub>
                </m:sSub>
                <m:sSub>
                  <m:sSubPr>
                    <m:ctrlPr>
                      <w:rPr>
                        <w:rFonts w:ascii="Cambria Math" w:hAnsi="Cambria Math"/>
                      </w:rPr>
                    </m:ctrlPr>
                  </m:sSubPr>
                  <m:e>
                    <m:r>
                      <w:rPr>
                        <w:rFonts w:ascii="Cambria Math" w:hAnsi="Cambria Math"/>
                      </w:rPr>
                      <m:t>UNC</m:t>
                    </m:r>
                  </m:e>
                  <m:sub>
                    <m:r>
                      <w:rPr>
                        <w:rFonts w:ascii="Cambria Math" w:hAnsi="Cambria Math"/>
                      </w:rPr>
                      <m:t>alt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t</m:t>
                    </m:r>
                  </m:sub>
                </m:sSub>
                <m:r>
                  <m:rPr>
                    <m:sty m:val="p"/>
                  </m:rPr>
                  <w:rPr>
                    <w:rFonts w:ascii="Cambria Math" w:hAnsi="Cambria Math"/>
                  </w:rPr>
                  <m:t xml:space="preserve"> </m:t>
                </m:r>
              </m:oMath>
            </m:oMathPara>
          </w:p>
        </w:tc>
        <w:tc>
          <w:tcPr>
            <w:tcW w:w="1890" w:type="dxa"/>
          </w:tcPr>
          <w:p w14:paraId="7CDA9F46" w14:textId="02FAB97A" w:rsidR="00BA39E1" w:rsidRDefault="00BA39E1" w:rsidP="00403AE6">
            <w:pPr>
              <w:rPr>
                <w:color w:val="000000"/>
              </w:rPr>
            </w:pPr>
            <w:r>
              <w:t>(</w:t>
            </w:r>
            <w:r w:rsidR="00FE6296">
              <w:t>9</w:t>
            </w:r>
            <w:r>
              <w:t>)</w:t>
            </w:r>
          </w:p>
        </w:tc>
      </w:tr>
    </w:tbl>
    <w:p w14:paraId="00000146" w14:textId="1E46E957" w:rsidR="00471C28" w:rsidRPr="00095583" w:rsidRDefault="00CF15C9">
      <w:pPr>
        <w:spacing w:before="240" w:line="274" w:lineRule="auto"/>
        <w:ind w:left="720"/>
        <w:rPr>
          <w:rFonts w:eastAsia="Century Gothic" w:cs="Century Gothic"/>
        </w:rPr>
      </w:pPr>
      <w:r w:rsidRPr="00095583">
        <w:rPr>
          <w:rFonts w:eastAsia="Century Gothic" w:cs="Century Gothic"/>
        </w:rPr>
        <w:t>Where:</w:t>
      </w:r>
    </w:p>
    <w:tbl>
      <w:tblPr>
        <w:tblW w:w="86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1795"/>
        <w:gridCol w:w="6835"/>
      </w:tblGrid>
      <w:tr w:rsidR="00BA39E1" w:rsidRPr="00095583" w14:paraId="28DCEFA1" w14:textId="77777777" w:rsidTr="00C34B29">
        <w:tc>
          <w:tcPr>
            <w:tcW w:w="1795" w:type="dxa"/>
            <w:shd w:val="clear" w:color="auto" w:fill="CCD4E5"/>
            <w:vAlign w:val="center"/>
          </w:tcPr>
          <w:p w14:paraId="0D2965A0" w14:textId="73248125" w:rsidR="00BA39E1" w:rsidRPr="00095583" w:rsidRDefault="00BA39E1" w:rsidP="00C34B29">
            <w:pPr>
              <w:spacing w:before="240" w:line="288" w:lineRule="auto"/>
            </w:pPr>
            <w:proofErr w:type="spellStart"/>
            <w:proofErr w:type="gramStart"/>
            <w:r w:rsidRPr="00095583">
              <w:rPr>
                <w:rFonts w:eastAsia="Century Gothic" w:cs="Century Gothic"/>
              </w:rPr>
              <w:t>UNC</w:t>
            </w:r>
            <w:r w:rsidRPr="00095583">
              <w:rPr>
                <w:rFonts w:eastAsia="Century Gothic" w:cs="Century Gothic"/>
                <w:vertAlign w:val="subscript"/>
              </w:rPr>
              <w:t>p,t</w:t>
            </w:r>
            <w:proofErr w:type="spellEnd"/>
            <w:proofErr w:type="gramEnd"/>
          </w:p>
        </w:tc>
        <w:tc>
          <w:tcPr>
            <w:tcW w:w="6835" w:type="dxa"/>
            <w:shd w:val="clear" w:color="auto" w:fill="CCD4E5"/>
            <w:vAlign w:val="center"/>
          </w:tcPr>
          <w:p w14:paraId="082C5C48" w14:textId="35F05C30" w:rsidR="00BA39E1" w:rsidRPr="00095583" w:rsidRDefault="00BA39E1" w:rsidP="00C34B29">
            <w:pPr>
              <w:spacing w:before="240" w:line="288" w:lineRule="auto"/>
              <w:rPr>
                <w:rFonts w:eastAsia="Century Gothic" w:cs="Century Gothic"/>
              </w:rPr>
            </w:pPr>
            <w:r w:rsidRPr="00095583">
              <w:rPr>
                <w:rFonts w:eastAsia="Century Gothic" w:cs="Century Gothic"/>
              </w:rPr>
              <w:t>Uncertainty in above ground live tree biomass in the project scenario in activity period, t; (percent)</w:t>
            </w:r>
          </w:p>
        </w:tc>
      </w:tr>
      <w:tr w:rsidR="00BA39E1" w:rsidRPr="00095583" w14:paraId="16DF856D" w14:textId="77777777" w:rsidTr="00C34B29">
        <w:tc>
          <w:tcPr>
            <w:tcW w:w="1795" w:type="dxa"/>
            <w:shd w:val="clear" w:color="auto" w:fill="CCD4E5"/>
          </w:tcPr>
          <w:p w14:paraId="2632877A" w14:textId="4CBD6F8A" w:rsidR="00BA39E1" w:rsidRPr="00095583" w:rsidRDefault="00BA39E1" w:rsidP="00C34B29">
            <w:pPr>
              <w:spacing w:before="240" w:line="288" w:lineRule="auto"/>
              <w:rPr>
                <w:rFonts w:eastAsia="Century Gothic" w:cs="Century Gothic"/>
              </w:rPr>
            </w:pPr>
            <w:proofErr w:type="spellStart"/>
            <w:r w:rsidRPr="00095583">
              <w:rPr>
                <w:rFonts w:eastAsia="Century Gothic" w:cs="Century Gothic"/>
              </w:rPr>
              <w:t>UNC</w:t>
            </w:r>
            <w:r w:rsidR="00F33F2B" w:rsidRPr="00095583">
              <w:rPr>
                <w:rFonts w:eastAsia="Century Gothic" w:cs="Century Gothic"/>
                <w:vertAlign w:val="subscript"/>
              </w:rPr>
              <w:t>alt</w:t>
            </w:r>
            <w:proofErr w:type="spellEnd"/>
            <w:r w:rsidR="00F33F2B" w:rsidRPr="00095583">
              <w:rPr>
                <w:rFonts w:eastAsia="Century Gothic" w:cs="Century Gothic"/>
                <w:vertAlign w:val="subscript"/>
              </w:rPr>
              <w:t xml:space="preserve"> </w:t>
            </w:r>
            <w:proofErr w:type="spellStart"/>
            <w:proofErr w:type="gramStart"/>
            <w:r w:rsidR="00F33F2B" w:rsidRPr="00095583">
              <w:rPr>
                <w:rFonts w:eastAsia="Century Gothic" w:cs="Century Gothic"/>
                <w:vertAlign w:val="subscript"/>
              </w:rPr>
              <w:t>p</w:t>
            </w:r>
            <w:r w:rsidRPr="00095583">
              <w:rPr>
                <w:rFonts w:eastAsia="Century Gothic" w:cs="Century Gothic"/>
                <w:vertAlign w:val="subscript"/>
              </w:rPr>
              <w:t>,t</w:t>
            </w:r>
            <w:proofErr w:type="spellEnd"/>
            <w:proofErr w:type="gramEnd"/>
          </w:p>
        </w:tc>
        <w:tc>
          <w:tcPr>
            <w:tcW w:w="6835" w:type="dxa"/>
            <w:shd w:val="clear" w:color="auto" w:fill="CCD4E5"/>
          </w:tcPr>
          <w:p w14:paraId="7B84207E" w14:textId="1A6CEF35" w:rsidR="00BA39E1" w:rsidRPr="00095583" w:rsidRDefault="00BA39E1" w:rsidP="00C34B29">
            <w:pPr>
              <w:spacing w:before="240" w:line="288" w:lineRule="auto"/>
              <w:rPr>
                <w:rFonts w:eastAsia="Century Gothic" w:cs="Century Gothic"/>
              </w:rPr>
            </w:pPr>
            <w:r w:rsidRPr="00095583">
              <w:rPr>
                <w:rFonts w:eastAsia="Century Gothic" w:cs="Century Gothic"/>
              </w:rPr>
              <w:t xml:space="preserve">Uncertainty in above ground live tree biomass at the end of activity period, t; </w:t>
            </w:r>
            <w:r w:rsidR="00AD2995" w:rsidRPr="00095583">
              <w:rPr>
                <w:rFonts w:eastAsia="Century Gothic" w:cs="Century Gothic"/>
              </w:rPr>
              <w:t>(half the 90% confidence interval divided by the total carbon stock, expressed as a percentage)</w:t>
            </w:r>
          </w:p>
        </w:tc>
      </w:tr>
    </w:tbl>
    <w:p w14:paraId="0000014D" w14:textId="5F36DE76" w:rsidR="00471C28" w:rsidRPr="00095583" w:rsidRDefault="00CF15C9">
      <w:pPr>
        <w:spacing w:before="240" w:line="274" w:lineRule="auto"/>
        <w:ind w:left="720"/>
        <w:rPr>
          <w:rFonts w:eastAsia="Century Gothic" w:cs="Century Gothic"/>
          <w:iCs/>
        </w:rPr>
      </w:pPr>
      <w:r w:rsidRPr="00095583">
        <w:rPr>
          <w:rFonts w:eastAsia="Century Gothic" w:cs="Century Gothic"/>
          <w:iCs/>
        </w:rPr>
        <w:t>Total uncertainty during the activity period is calculated as follows:</w:t>
      </w:r>
    </w:p>
    <w:tbl>
      <w:tblPr>
        <w:tblW w:w="8550" w:type="dxa"/>
        <w:tblLayout w:type="fixed"/>
        <w:tblCellMar>
          <w:top w:w="100" w:type="dxa"/>
          <w:left w:w="100" w:type="dxa"/>
          <w:bottom w:w="100" w:type="dxa"/>
          <w:right w:w="100" w:type="dxa"/>
        </w:tblCellMar>
        <w:tblLook w:val="04A0" w:firstRow="1" w:lastRow="0" w:firstColumn="1" w:lastColumn="0" w:noHBand="0" w:noVBand="1"/>
      </w:tblPr>
      <w:tblGrid>
        <w:gridCol w:w="6660"/>
        <w:gridCol w:w="1890"/>
      </w:tblGrid>
      <w:tr w:rsidR="00BA39E1" w14:paraId="1EE0B750" w14:textId="77777777" w:rsidTr="009B08F0">
        <w:tc>
          <w:tcPr>
            <w:tcW w:w="6660" w:type="dxa"/>
          </w:tcPr>
          <w:p w14:paraId="65BF8C86" w14:textId="49C47FF3" w:rsidR="00BA39E1" w:rsidRDefault="00BA39E1" w:rsidP="00403AE6">
            <w:pPr>
              <w:rPr>
                <w:rFonts w:eastAsia="Cambria Math" w:cs="Cambria Math"/>
                <w:color w:val="000000"/>
              </w:rPr>
            </w:pPr>
            <m:oMathPara>
              <m:oMath>
                <m:r>
                  <w:rPr>
                    <w:rFonts w:ascii="Cambria Math" w:hAnsi="Cambria Math"/>
                  </w:rPr>
                  <m:t>UNCa</m:t>
                </m:r>
                <m:r>
                  <w:rPr>
                    <w:rFonts w:ascii="Cambria Math" w:hAnsi="Cambria Math"/>
                    <w:vertAlign w:val="subscript"/>
                  </w:rPr>
                  <m:t>p</m:t>
                </m:r>
                <m:r>
                  <m:rPr>
                    <m:sty m:val="p"/>
                  </m:rPr>
                  <w:rPr>
                    <w:rFonts w:ascii="Cambria Math" w:hAnsi="Cambria Math"/>
                    <w:vertAlign w:val="subscript"/>
                  </w:rPr>
                  <m:t>,</m:t>
                </m:r>
                <m:r>
                  <w:rPr>
                    <w:rFonts w:ascii="Cambria Math" w:hAnsi="Cambria Math"/>
                    <w:vertAlign w:val="subscript"/>
                  </w:rPr>
                  <m:t>t</m:t>
                </m:r>
                <m:r>
                  <m:rPr>
                    <m:sty m:val="p"/>
                  </m:rPr>
                  <w:rPr>
                    <w:rFonts w:ascii="Cambria Math" w:hAnsi="Cambria Math"/>
                    <w:vertAlign w:val="subscript"/>
                  </w:rPr>
                  <m:t xml:space="preserve"> =</m:t>
                </m:r>
                <m:rad>
                  <m:radPr>
                    <m:degHide m:val="1"/>
                    <m:ctrlPr>
                      <w:rPr>
                        <w:rFonts w:ascii="Cambria Math" w:hAnsi="Cambria Math"/>
                        <w:vertAlign w:val="subscript"/>
                      </w:rPr>
                    </m:ctrlPr>
                  </m:radPr>
                  <m:deg/>
                  <m:e>
                    <m:sSubSup>
                      <m:sSubSupPr>
                        <m:ctrlPr>
                          <w:rPr>
                            <w:rFonts w:ascii="Cambria Math" w:hAnsi="Cambria Math"/>
                            <w:vertAlign w:val="subscript"/>
                          </w:rPr>
                        </m:ctrlPr>
                      </m:sSubSupPr>
                      <m:e>
                        <m:sSub>
                          <m:sSubPr>
                            <m:ctrlPr>
                              <w:rPr>
                                <w:rFonts w:ascii="Cambria Math" w:hAnsi="Cambria Math"/>
                                <w:vertAlign w:val="subscript"/>
                              </w:rPr>
                            </m:ctrlPr>
                          </m:sSubPr>
                          <m:e>
                            <m:r>
                              <w:rPr>
                                <w:rFonts w:ascii="Cambria Math" w:hAnsi="Cambria Math"/>
                                <w:vertAlign w:val="subscript"/>
                              </w:rPr>
                              <m:t>UNC</m:t>
                            </m:r>
                          </m:e>
                          <m:sub>
                            <m:sSub>
                              <m:sSubPr>
                                <m:ctrlPr>
                                  <w:rPr>
                                    <w:rFonts w:ascii="Cambria Math" w:hAnsi="Cambria Math"/>
                                    <w:vertAlign w:val="subscript"/>
                                  </w:rPr>
                                </m:ctrlPr>
                              </m:sSubPr>
                              <m:e>
                                <m:r>
                                  <w:rPr>
                                    <w:rFonts w:ascii="Cambria Math" w:hAnsi="Cambria Math"/>
                                    <w:vertAlign w:val="subscript"/>
                                  </w:rPr>
                                  <m:t>bsl</m:t>
                                </m:r>
                                <m:r>
                                  <m:rPr>
                                    <m:sty m:val="p"/>
                                  </m:rPr>
                                  <w:rPr>
                                    <w:rFonts w:ascii="Cambria Math" w:hAnsi="Cambria Math"/>
                                    <w:vertAlign w:val="subscript"/>
                                  </w:rPr>
                                  <m:t>,</m:t>
                                </m:r>
                                <m:r>
                                  <w:rPr>
                                    <w:rFonts w:ascii="Cambria Math" w:hAnsi="Cambria Math"/>
                                    <w:vertAlign w:val="subscript"/>
                                  </w:rPr>
                                  <m:t>t</m:t>
                                </m:r>
                              </m:e>
                              <m:sub/>
                            </m:sSub>
                          </m:sub>
                        </m:sSub>
                      </m:e>
                      <m:sub/>
                      <m:sup>
                        <m:r>
                          <m:rPr>
                            <m:sty m:val="p"/>
                          </m:rPr>
                          <w:rPr>
                            <w:rFonts w:ascii="Cambria Math" w:hAnsi="Cambria Math"/>
                            <w:vertAlign w:val="subscript"/>
                          </w:rPr>
                          <m:t>2</m:t>
                        </m:r>
                      </m:sup>
                    </m:sSubSup>
                    <m:r>
                      <m:rPr>
                        <m:sty m:val="p"/>
                      </m:rPr>
                      <w:rPr>
                        <w:rFonts w:ascii="Cambria Math" w:hAnsi="Cambria Math"/>
                        <w:vertAlign w:val="subscript"/>
                      </w:rPr>
                      <m:t xml:space="preserve"> + </m:t>
                    </m:r>
                    <m:sSubSup>
                      <m:sSubSupPr>
                        <m:ctrlPr>
                          <w:rPr>
                            <w:rFonts w:ascii="Cambria Math" w:hAnsi="Cambria Math"/>
                            <w:vertAlign w:val="subscript"/>
                          </w:rPr>
                        </m:ctrlPr>
                      </m:sSubSupPr>
                      <m:e>
                        <m:sSub>
                          <m:sSubPr>
                            <m:ctrlPr>
                              <w:rPr>
                                <w:rFonts w:ascii="Cambria Math" w:hAnsi="Cambria Math"/>
                                <w:vertAlign w:val="subscript"/>
                              </w:rPr>
                            </m:ctrlPr>
                          </m:sSubPr>
                          <m:e>
                            <m:r>
                              <w:rPr>
                                <w:rFonts w:ascii="Cambria Math" w:hAnsi="Cambria Math"/>
                                <w:vertAlign w:val="subscript"/>
                              </w:rPr>
                              <m:t>UNC</m:t>
                            </m:r>
                          </m:e>
                          <m:sub>
                            <m:sSub>
                              <m:sSubPr>
                                <m:ctrlPr>
                                  <w:rPr>
                                    <w:rFonts w:ascii="Cambria Math" w:hAnsi="Cambria Math"/>
                                    <w:vertAlign w:val="subscript"/>
                                  </w:rPr>
                                </m:ctrlPr>
                              </m:sSubPr>
                              <m:e>
                                <m:r>
                                  <w:rPr>
                                    <w:rFonts w:ascii="Cambria Math" w:hAnsi="Cambria Math"/>
                                    <w:vertAlign w:val="subscript"/>
                                  </w:rPr>
                                  <m:t>p</m:t>
                                </m:r>
                                <m:r>
                                  <m:rPr>
                                    <m:sty m:val="p"/>
                                  </m:rPr>
                                  <w:rPr>
                                    <w:rFonts w:ascii="Cambria Math" w:hAnsi="Cambria Math"/>
                                    <w:vertAlign w:val="subscript"/>
                                  </w:rPr>
                                  <m:t>,</m:t>
                                </m:r>
                                <m:r>
                                  <w:rPr>
                                    <w:rFonts w:ascii="Cambria Math" w:hAnsi="Cambria Math"/>
                                    <w:vertAlign w:val="subscript"/>
                                  </w:rPr>
                                  <m:t>t</m:t>
                                </m:r>
                              </m:e>
                              <m:sub/>
                            </m:sSub>
                          </m:sub>
                        </m:sSub>
                      </m:e>
                      <m:sub/>
                      <m:sup>
                        <m:r>
                          <m:rPr>
                            <m:sty m:val="p"/>
                          </m:rPr>
                          <w:rPr>
                            <w:rFonts w:ascii="Cambria Math" w:hAnsi="Cambria Math"/>
                            <w:vertAlign w:val="subscript"/>
                          </w:rPr>
                          <m:t>2</m:t>
                        </m:r>
                      </m:sup>
                    </m:sSubSup>
                    <m:r>
                      <m:rPr>
                        <m:sty m:val="p"/>
                      </m:rPr>
                      <w:rPr>
                        <w:rFonts w:ascii="Cambria Math" w:hAnsi="Cambria Math"/>
                        <w:vertAlign w:val="subscript"/>
                      </w:rPr>
                      <m:t xml:space="preserve"> </m:t>
                    </m:r>
                  </m:e>
                </m:rad>
              </m:oMath>
            </m:oMathPara>
          </w:p>
        </w:tc>
        <w:tc>
          <w:tcPr>
            <w:tcW w:w="1890" w:type="dxa"/>
          </w:tcPr>
          <w:p w14:paraId="007EE340" w14:textId="0774AF8D" w:rsidR="00BA39E1" w:rsidRDefault="00BA39E1" w:rsidP="00403AE6">
            <w:pPr>
              <w:rPr>
                <w:color w:val="000000"/>
              </w:rPr>
            </w:pPr>
            <w:r>
              <w:t>(1</w:t>
            </w:r>
            <w:r w:rsidR="00FE6296">
              <w:t>0</w:t>
            </w:r>
            <w:r>
              <w:t>)</w:t>
            </w:r>
          </w:p>
        </w:tc>
      </w:tr>
    </w:tbl>
    <w:p w14:paraId="00000152" w14:textId="40F84C6F" w:rsidR="00471C28" w:rsidRPr="00095583" w:rsidRDefault="00CF15C9" w:rsidP="00BA39E1">
      <w:pPr>
        <w:spacing w:line="297" w:lineRule="auto"/>
        <w:ind w:firstLine="720"/>
        <w:rPr>
          <w:rFonts w:eastAsia="Arial" w:cs="Arial"/>
        </w:rPr>
      </w:pPr>
      <w:r w:rsidRPr="00095583">
        <w:rPr>
          <w:rFonts w:eastAsia="Century Gothic" w:cs="Century Gothic"/>
        </w:rPr>
        <w:t>Where:</w:t>
      </w:r>
    </w:p>
    <w:tbl>
      <w:tblPr>
        <w:tblW w:w="86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1795"/>
        <w:gridCol w:w="6835"/>
      </w:tblGrid>
      <w:tr w:rsidR="00BA39E1" w:rsidRPr="00095583" w14:paraId="1F3C0A23" w14:textId="77777777" w:rsidTr="000B17DF">
        <w:tc>
          <w:tcPr>
            <w:tcW w:w="1795" w:type="dxa"/>
            <w:shd w:val="clear" w:color="auto" w:fill="CCD4E5"/>
            <w:vAlign w:val="center"/>
          </w:tcPr>
          <w:p w14:paraId="20396922" w14:textId="74BC49CB" w:rsidR="00BA39E1" w:rsidRPr="00095583" w:rsidRDefault="00CD5BFE" w:rsidP="00BA39E1">
            <w:pPr>
              <w:spacing w:before="240" w:line="288" w:lineRule="auto"/>
            </w:pPr>
            <w:bookmarkStart w:id="37" w:name="_Hlk87291844"/>
            <w:proofErr w:type="spellStart"/>
            <w:proofErr w:type="gramStart"/>
            <w:r w:rsidRPr="00095583">
              <w:rPr>
                <w:rFonts w:eastAsia="Century Gothic" w:cs="Century Gothic"/>
              </w:rPr>
              <w:t>UNC</w:t>
            </w:r>
            <w:r w:rsidRPr="00095583">
              <w:rPr>
                <w:rFonts w:eastAsia="Century Gothic" w:cs="Century Gothic"/>
                <w:vertAlign w:val="subscript"/>
              </w:rPr>
              <w:t>ap,t</w:t>
            </w:r>
            <w:proofErr w:type="spellEnd"/>
            <w:proofErr w:type="gramEnd"/>
          </w:p>
        </w:tc>
        <w:tc>
          <w:tcPr>
            <w:tcW w:w="6835" w:type="dxa"/>
            <w:shd w:val="clear" w:color="auto" w:fill="CCD4E5"/>
          </w:tcPr>
          <w:p w14:paraId="55830AA4" w14:textId="1DD9EA8A" w:rsidR="00BA39E1" w:rsidRPr="00095583" w:rsidRDefault="00BA39E1" w:rsidP="00BA39E1">
            <w:pPr>
              <w:spacing w:before="240" w:line="288" w:lineRule="auto"/>
              <w:rPr>
                <w:rFonts w:eastAsia="Century Gothic" w:cs="Century Gothic"/>
              </w:rPr>
            </w:pPr>
            <w:r w:rsidRPr="00095583">
              <w:rPr>
                <w:rFonts w:eastAsia="Century Gothic" w:cs="Century Gothic"/>
              </w:rPr>
              <w:t>Total uncertainty in activity period, t; (percent)</w:t>
            </w:r>
          </w:p>
        </w:tc>
      </w:tr>
      <w:tr w:rsidR="00BA39E1" w:rsidRPr="00095583" w14:paraId="26353F58" w14:textId="77777777" w:rsidTr="00C34B29">
        <w:trPr>
          <w:trHeight w:val="1386"/>
        </w:trPr>
        <w:tc>
          <w:tcPr>
            <w:tcW w:w="1795" w:type="dxa"/>
            <w:shd w:val="clear" w:color="auto" w:fill="CCD4E5"/>
          </w:tcPr>
          <w:p w14:paraId="5D5DA6B2" w14:textId="4AEB39A7" w:rsidR="00BA39E1" w:rsidRPr="00095583" w:rsidRDefault="00CD5BFE" w:rsidP="00BA39E1">
            <w:pPr>
              <w:spacing w:before="240" w:line="288" w:lineRule="auto"/>
              <w:rPr>
                <w:rFonts w:eastAsia="Century Gothic" w:cs="Century Gothic"/>
              </w:rPr>
            </w:pPr>
            <w:proofErr w:type="spellStart"/>
            <w:proofErr w:type="gramStart"/>
            <w:r w:rsidRPr="00095583">
              <w:rPr>
                <w:rFonts w:eastAsia="Century Gothic" w:cs="Century Gothic"/>
              </w:rPr>
              <w:t>UNC</w:t>
            </w:r>
            <w:r w:rsidRPr="00095583">
              <w:rPr>
                <w:rFonts w:eastAsia="Century Gothic" w:cs="Century Gothic"/>
                <w:vertAlign w:val="subscript"/>
              </w:rPr>
              <w:t>bsl,t</w:t>
            </w:r>
            <w:proofErr w:type="spellEnd"/>
            <w:proofErr w:type="gramEnd"/>
          </w:p>
        </w:tc>
        <w:tc>
          <w:tcPr>
            <w:tcW w:w="6835" w:type="dxa"/>
            <w:shd w:val="clear" w:color="auto" w:fill="CCD4E5"/>
          </w:tcPr>
          <w:p w14:paraId="6CD0ED87" w14:textId="53991CED" w:rsidR="00BA39E1" w:rsidRPr="00095583" w:rsidRDefault="00BA39E1" w:rsidP="00BA39E1">
            <w:pPr>
              <w:spacing w:before="240" w:line="288" w:lineRule="auto"/>
              <w:rPr>
                <w:rFonts w:eastAsia="Century Gothic" w:cs="Century Gothic"/>
              </w:rPr>
            </w:pPr>
            <w:r w:rsidRPr="00095583">
              <w:rPr>
                <w:rFonts w:eastAsia="Century Gothic" w:cs="Century Gothic"/>
              </w:rPr>
              <w:t>Uncertainty in above ground live tree biomass in the baseline scenario in activity period, t; (percent)</w:t>
            </w:r>
          </w:p>
        </w:tc>
      </w:tr>
      <w:bookmarkEnd w:id="37"/>
      <w:tr w:rsidR="00BA39E1" w:rsidRPr="00095583" w14:paraId="0ACAB043" w14:textId="77777777" w:rsidTr="00C34B29">
        <w:tc>
          <w:tcPr>
            <w:tcW w:w="1795" w:type="dxa"/>
            <w:shd w:val="clear" w:color="auto" w:fill="CCD4E5"/>
          </w:tcPr>
          <w:p w14:paraId="63CBCAA3" w14:textId="6BA010DC" w:rsidR="00BA39E1" w:rsidRPr="00095583" w:rsidRDefault="00CD5BFE" w:rsidP="00BA39E1">
            <w:pPr>
              <w:spacing w:before="240" w:line="288" w:lineRule="auto"/>
              <w:rPr>
                <w:rFonts w:eastAsia="Century Gothic" w:cs="Century Gothic"/>
              </w:rPr>
            </w:pPr>
            <w:proofErr w:type="spellStart"/>
            <w:proofErr w:type="gramStart"/>
            <w:r w:rsidRPr="00095583">
              <w:rPr>
                <w:rFonts w:eastAsia="Century Gothic" w:cs="Century Gothic"/>
              </w:rPr>
              <w:t>UNC</w:t>
            </w:r>
            <w:r w:rsidRPr="00095583">
              <w:rPr>
                <w:rFonts w:eastAsia="Century Gothic" w:cs="Century Gothic"/>
                <w:vertAlign w:val="subscript"/>
              </w:rPr>
              <w:t>p,t</w:t>
            </w:r>
            <w:proofErr w:type="spellEnd"/>
            <w:proofErr w:type="gramEnd"/>
          </w:p>
        </w:tc>
        <w:tc>
          <w:tcPr>
            <w:tcW w:w="6835" w:type="dxa"/>
            <w:shd w:val="clear" w:color="auto" w:fill="CCD4E5"/>
          </w:tcPr>
          <w:p w14:paraId="1C29CDD9" w14:textId="3E56211D" w:rsidR="00BA39E1" w:rsidRPr="00095583" w:rsidRDefault="00BA39E1" w:rsidP="00BA39E1">
            <w:pPr>
              <w:spacing w:before="240" w:line="288" w:lineRule="auto"/>
              <w:rPr>
                <w:rFonts w:eastAsia="Century Gothic" w:cs="Century Gothic"/>
              </w:rPr>
            </w:pPr>
            <w:r w:rsidRPr="00095583">
              <w:rPr>
                <w:rFonts w:eastAsia="Century Gothic" w:cs="Century Gothic"/>
              </w:rPr>
              <w:t>Uncertainty in above ground live tree biomass in the project scenario in activity period, t; (percent)</w:t>
            </w:r>
          </w:p>
        </w:tc>
      </w:tr>
    </w:tbl>
    <w:p w14:paraId="0000015A" w14:textId="77777777" w:rsidR="00471C28" w:rsidRPr="00095583" w:rsidRDefault="00CF15C9">
      <w:pPr>
        <w:spacing w:before="240" w:line="274" w:lineRule="auto"/>
        <w:ind w:left="720"/>
        <w:rPr>
          <w:rFonts w:eastAsia="Century Gothic" w:cs="Century Gothic"/>
          <w:iCs/>
        </w:rPr>
      </w:pPr>
      <w:r w:rsidRPr="00095583">
        <w:rPr>
          <w:rFonts w:eastAsia="Century Gothic" w:cs="Century Gothic"/>
          <w:iCs/>
        </w:rPr>
        <w:lastRenderedPageBreak/>
        <w:t xml:space="preserve">An uncertainty deduction applied to the activity period, </w:t>
      </w:r>
      <w:proofErr w:type="spellStart"/>
      <w:r w:rsidRPr="00095583">
        <w:rPr>
          <w:rFonts w:eastAsia="Century Gothic" w:cs="Century Gothic"/>
          <w:iCs/>
        </w:rPr>
        <w:t>UNC</w:t>
      </w:r>
      <w:r w:rsidRPr="00095583">
        <w:rPr>
          <w:rFonts w:eastAsia="Century Gothic" w:cs="Century Gothic"/>
          <w:iCs/>
          <w:vertAlign w:val="subscript"/>
        </w:rPr>
        <w:t>t</w:t>
      </w:r>
      <w:proofErr w:type="spellEnd"/>
      <w:r w:rsidRPr="00095583">
        <w:rPr>
          <w:rFonts w:eastAsia="Century Gothic" w:cs="Century Gothic"/>
          <w:iCs/>
        </w:rPr>
        <w:t>, is computed as follows:</w:t>
      </w:r>
    </w:p>
    <w:p w14:paraId="0000015B" w14:textId="77777777" w:rsidR="00471C28" w:rsidRPr="00095583" w:rsidRDefault="00CF15C9">
      <w:pPr>
        <w:spacing w:line="297" w:lineRule="auto"/>
        <w:rPr>
          <w:rFonts w:eastAsia="Century Gothic" w:cs="Century Gothic"/>
        </w:rPr>
      </w:pPr>
      <w:r w:rsidRPr="00095583">
        <w:rPr>
          <w:rFonts w:eastAsia="Century Gothic" w:cs="Century Gothic"/>
        </w:rPr>
        <w:t xml:space="preserve">        </w:t>
      </w:r>
      <w:r w:rsidRPr="00095583">
        <w:rPr>
          <w:rFonts w:eastAsia="Century Gothic" w:cs="Century Gothic"/>
        </w:rPr>
        <w:tab/>
        <w:t xml:space="preserve">If </w:t>
      </w:r>
      <w:proofErr w:type="spellStart"/>
      <w:proofErr w:type="gramStart"/>
      <w:r w:rsidRPr="00095583">
        <w:rPr>
          <w:rFonts w:eastAsia="Century Gothic" w:cs="Century Gothic"/>
        </w:rPr>
        <w:t>UNC</w:t>
      </w:r>
      <w:r w:rsidRPr="00095583">
        <w:rPr>
          <w:rFonts w:eastAsia="Century Gothic" w:cs="Century Gothic"/>
          <w:vertAlign w:val="subscript"/>
        </w:rPr>
        <w:t>ao,t</w:t>
      </w:r>
      <w:proofErr w:type="spellEnd"/>
      <w:proofErr w:type="gramEnd"/>
      <w:r w:rsidRPr="00095583">
        <w:rPr>
          <w:rFonts w:eastAsia="Century Gothic" w:cs="Century Gothic"/>
          <w:vertAlign w:val="subscript"/>
        </w:rPr>
        <w:t xml:space="preserve"> </w:t>
      </w:r>
      <w:r w:rsidRPr="00095583">
        <w:rPr>
          <w:rFonts w:eastAsia="Century Gothic" w:cs="Century Gothic"/>
        </w:rPr>
        <w:t xml:space="preserve">is ≤ 10% then </w:t>
      </w:r>
      <w:proofErr w:type="spellStart"/>
      <w:r w:rsidRPr="00095583">
        <w:rPr>
          <w:rFonts w:eastAsia="Century Gothic" w:cs="Century Gothic"/>
        </w:rPr>
        <w:t>UNC</w:t>
      </w:r>
      <w:r w:rsidRPr="00095583">
        <w:rPr>
          <w:rFonts w:eastAsia="Century Gothic" w:cs="Century Gothic"/>
          <w:vertAlign w:val="subscript"/>
        </w:rPr>
        <w:t>t</w:t>
      </w:r>
      <w:proofErr w:type="spellEnd"/>
      <w:r w:rsidRPr="00095583">
        <w:rPr>
          <w:rFonts w:eastAsia="Century Gothic" w:cs="Century Gothic"/>
        </w:rPr>
        <w:t xml:space="preserve"> = 1.5%.</w:t>
      </w:r>
    </w:p>
    <w:p w14:paraId="0000015C" w14:textId="650C6A64" w:rsidR="00471C28" w:rsidRPr="00095583" w:rsidRDefault="00CF15C9">
      <w:pPr>
        <w:spacing w:line="297" w:lineRule="auto"/>
        <w:rPr>
          <w:rFonts w:eastAsia="Century Gothic" w:cs="Century Gothic"/>
        </w:rPr>
      </w:pPr>
      <w:r w:rsidRPr="00095583">
        <w:rPr>
          <w:rFonts w:eastAsia="Century Gothic" w:cs="Century Gothic"/>
        </w:rPr>
        <w:t xml:space="preserve">        </w:t>
      </w:r>
      <w:r w:rsidRPr="00095583">
        <w:rPr>
          <w:rFonts w:eastAsia="Century Gothic" w:cs="Century Gothic"/>
        </w:rPr>
        <w:tab/>
        <w:t xml:space="preserve">If </w:t>
      </w:r>
      <w:proofErr w:type="spellStart"/>
      <w:proofErr w:type="gramStart"/>
      <w:r w:rsidRPr="00095583">
        <w:rPr>
          <w:rFonts w:eastAsia="Century Gothic" w:cs="Century Gothic"/>
        </w:rPr>
        <w:t>UNC</w:t>
      </w:r>
      <w:r w:rsidRPr="00095583">
        <w:rPr>
          <w:rFonts w:eastAsia="Century Gothic" w:cs="Century Gothic"/>
          <w:vertAlign w:val="subscript"/>
        </w:rPr>
        <w:t>ap,t</w:t>
      </w:r>
      <w:proofErr w:type="spellEnd"/>
      <w:proofErr w:type="gramEnd"/>
      <w:r w:rsidRPr="00095583">
        <w:rPr>
          <w:rFonts w:eastAsia="Century Gothic" w:cs="Century Gothic"/>
          <w:vertAlign w:val="subscript"/>
        </w:rPr>
        <w:t xml:space="preserve"> </w:t>
      </w:r>
      <w:r w:rsidRPr="00095583">
        <w:rPr>
          <w:rFonts w:eastAsia="Century Gothic" w:cs="Century Gothic"/>
        </w:rPr>
        <w:t xml:space="preserve">is &gt; 10% then </w:t>
      </w:r>
      <w:proofErr w:type="spellStart"/>
      <w:r w:rsidRPr="00095583">
        <w:rPr>
          <w:rFonts w:eastAsia="Century Gothic" w:cs="Century Gothic"/>
        </w:rPr>
        <w:t>UNC</w:t>
      </w:r>
      <w:r w:rsidRPr="00095583">
        <w:rPr>
          <w:rFonts w:eastAsia="Century Gothic" w:cs="Century Gothic"/>
          <w:vertAlign w:val="subscript"/>
        </w:rPr>
        <w:t>t</w:t>
      </w:r>
      <w:proofErr w:type="spellEnd"/>
      <w:r w:rsidRPr="00095583">
        <w:rPr>
          <w:rFonts w:eastAsia="Century Gothic" w:cs="Century Gothic"/>
        </w:rPr>
        <w:t xml:space="preserve"> is calculated as follows:</w:t>
      </w:r>
    </w:p>
    <w:tbl>
      <w:tblPr>
        <w:tblW w:w="8550" w:type="dxa"/>
        <w:tblLayout w:type="fixed"/>
        <w:tblCellMar>
          <w:top w:w="100" w:type="dxa"/>
          <w:left w:w="100" w:type="dxa"/>
          <w:bottom w:w="100" w:type="dxa"/>
          <w:right w:w="100" w:type="dxa"/>
        </w:tblCellMar>
        <w:tblLook w:val="04A0" w:firstRow="1" w:lastRow="0" w:firstColumn="1" w:lastColumn="0" w:noHBand="0" w:noVBand="1"/>
      </w:tblPr>
      <w:tblGrid>
        <w:gridCol w:w="6750"/>
        <w:gridCol w:w="1800"/>
      </w:tblGrid>
      <w:tr w:rsidR="00CD5BFE" w14:paraId="575C1236" w14:textId="77777777" w:rsidTr="00CD5BFE">
        <w:tc>
          <w:tcPr>
            <w:tcW w:w="6750" w:type="dxa"/>
          </w:tcPr>
          <w:p w14:paraId="31B52497" w14:textId="2B11FC7A" w:rsidR="00CD5BFE" w:rsidRDefault="00000000" w:rsidP="00403AE6">
            <w:pPr>
              <w:rPr>
                <w:rFonts w:eastAsia="Cambria Math" w:cs="Cambria Math"/>
                <w:color w:val="000000"/>
              </w:rPr>
            </w:pPr>
            <m:oMathPara>
              <m:oMath>
                <m:sSub>
                  <m:sSubPr>
                    <m:ctrlPr>
                      <w:rPr>
                        <w:rFonts w:ascii="Cambria Math" w:hAnsi="Cambria Math"/>
                        <w:vertAlign w:val="subscript"/>
                      </w:rPr>
                    </m:ctrlPr>
                  </m:sSubPr>
                  <m:e>
                    <m:r>
                      <w:rPr>
                        <w:rFonts w:ascii="Cambria Math" w:hAnsi="Cambria Math"/>
                        <w:vertAlign w:val="subscript"/>
                      </w:rPr>
                      <m:t>UNC</m:t>
                    </m:r>
                  </m:e>
                  <m:sub>
                    <m:r>
                      <w:rPr>
                        <w:rFonts w:ascii="Cambria Math" w:hAnsi="Cambria Math"/>
                        <w:vertAlign w:val="subscript"/>
                      </w:rPr>
                      <m:t>t</m:t>
                    </m:r>
                  </m:sub>
                </m:sSub>
                <m:r>
                  <m:rPr>
                    <m:sty m:val="p"/>
                  </m:rPr>
                  <w:rPr>
                    <w:rFonts w:ascii="Cambria Math" w:hAnsi="Cambria Math"/>
                  </w:rPr>
                  <m:t xml:space="preserve"> </m:t>
                </m:r>
                <m:r>
                  <m:rPr>
                    <m:sty m:val="p"/>
                  </m:rPr>
                  <w:rPr>
                    <w:rFonts w:ascii="Cambria Math" w:hAnsi="Cambria Math"/>
                    <w:vertAlign w:val="subscript"/>
                  </w:rPr>
                  <m:t xml:space="preserve">= </m:t>
                </m:r>
                <m:sSub>
                  <m:sSubPr>
                    <m:ctrlPr>
                      <w:rPr>
                        <w:rFonts w:ascii="Cambria Math" w:hAnsi="Cambria Math"/>
                        <w:vertAlign w:val="subscript"/>
                      </w:rPr>
                    </m:ctrlPr>
                  </m:sSubPr>
                  <m:e>
                    <m:r>
                      <w:rPr>
                        <w:rFonts w:ascii="Cambria Math" w:hAnsi="Cambria Math"/>
                        <w:vertAlign w:val="subscript"/>
                      </w:rPr>
                      <m:t>UNC</m:t>
                    </m:r>
                  </m:e>
                  <m:sub>
                    <m:r>
                      <w:rPr>
                        <w:rFonts w:ascii="Cambria Math" w:hAnsi="Cambria Math"/>
                      </w:rPr>
                      <m:t>ap</m:t>
                    </m:r>
                    <m:r>
                      <m:rPr>
                        <m:sty m:val="p"/>
                      </m:rPr>
                      <w:rPr>
                        <w:rFonts w:ascii="Cambria Math" w:hAnsi="Cambria Math"/>
                      </w:rPr>
                      <m:t>,</m:t>
                    </m:r>
                    <m:r>
                      <w:rPr>
                        <w:rFonts w:ascii="Cambria Math" w:hAnsi="Cambria Math"/>
                      </w:rPr>
                      <m:t>t</m:t>
                    </m:r>
                  </m:sub>
                </m:sSub>
                <m:r>
                  <m:rPr>
                    <m:sty m:val="p"/>
                  </m:rPr>
                  <w:rPr>
                    <w:rFonts w:ascii="Cambria Math" w:hAnsi="Cambria Math"/>
                    <w:vertAlign w:val="subscript"/>
                  </w:rPr>
                  <m:t xml:space="preserve"> - 10% + 1.5%</m:t>
                </m:r>
              </m:oMath>
            </m:oMathPara>
          </w:p>
        </w:tc>
        <w:tc>
          <w:tcPr>
            <w:tcW w:w="1800" w:type="dxa"/>
          </w:tcPr>
          <w:p w14:paraId="0D497D64" w14:textId="0DC88A6D" w:rsidR="00CD5BFE" w:rsidRDefault="00CD5BFE" w:rsidP="00403AE6">
            <w:pPr>
              <w:rPr>
                <w:color w:val="000000"/>
              </w:rPr>
            </w:pPr>
            <w:r>
              <w:t>(</w:t>
            </w:r>
            <w:r w:rsidR="00403AE6">
              <w:t>11</w:t>
            </w:r>
            <w:r>
              <w:t>)</w:t>
            </w:r>
          </w:p>
        </w:tc>
      </w:tr>
    </w:tbl>
    <w:p w14:paraId="0000015F" w14:textId="79C6A8C5" w:rsidR="00471C28" w:rsidRPr="00095583" w:rsidRDefault="00CF15C9">
      <w:pPr>
        <w:spacing w:before="240" w:line="274" w:lineRule="auto"/>
        <w:ind w:left="720"/>
        <w:rPr>
          <w:rFonts w:eastAsia="Century Gothic" w:cs="Century Gothic"/>
        </w:rPr>
      </w:pPr>
      <w:r w:rsidRPr="00095583">
        <w:rPr>
          <w:rFonts w:eastAsia="Century Gothic" w:cs="Century Gothic"/>
        </w:rPr>
        <w:t>Where:</w:t>
      </w:r>
    </w:p>
    <w:tbl>
      <w:tblPr>
        <w:tblW w:w="86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1795"/>
        <w:gridCol w:w="6835"/>
      </w:tblGrid>
      <w:tr w:rsidR="00CD5BFE" w:rsidRPr="00095583" w14:paraId="6F9E0A33" w14:textId="77777777" w:rsidTr="00C34B29">
        <w:tc>
          <w:tcPr>
            <w:tcW w:w="1795" w:type="dxa"/>
            <w:shd w:val="clear" w:color="auto" w:fill="CCD4E5"/>
            <w:vAlign w:val="center"/>
          </w:tcPr>
          <w:p w14:paraId="69319320" w14:textId="1AD10F1C" w:rsidR="00CD5BFE" w:rsidRPr="00095583" w:rsidRDefault="00CD5BFE" w:rsidP="00CD5BFE">
            <w:pPr>
              <w:spacing w:before="240" w:line="288" w:lineRule="auto"/>
            </w:pPr>
            <w:proofErr w:type="spellStart"/>
            <w:r w:rsidRPr="00095583">
              <w:rPr>
                <w:rFonts w:eastAsia="Century Gothic" w:cs="Century Gothic"/>
              </w:rPr>
              <w:t>UNC</w:t>
            </w:r>
            <w:r w:rsidRPr="00095583">
              <w:rPr>
                <w:rFonts w:eastAsia="Century Gothic" w:cs="Century Gothic"/>
                <w:vertAlign w:val="subscript"/>
              </w:rPr>
              <w:t>t</w:t>
            </w:r>
            <w:proofErr w:type="spellEnd"/>
          </w:p>
        </w:tc>
        <w:tc>
          <w:tcPr>
            <w:tcW w:w="6835" w:type="dxa"/>
            <w:shd w:val="clear" w:color="auto" w:fill="CCD4E5"/>
          </w:tcPr>
          <w:p w14:paraId="2DE61AC7" w14:textId="7D200435" w:rsidR="00CD5BFE" w:rsidRPr="00095583" w:rsidRDefault="00CD5BFE" w:rsidP="00CD5BFE">
            <w:pPr>
              <w:spacing w:before="240" w:line="288" w:lineRule="auto"/>
              <w:rPr>
                <w:rFonts w:eastAsia="Century Gothic" w:cs="Century Gothic"/>
              </w:rPr>
            </w:pPr>
            <w:r w:rsidRPr="00095583">
              <w:rPr>
                <w:rFonts w:eastAsia="Century Gothic" w:cs="Century Gothic"/>
              </w:rPr>
              <w:t>Uncertainty deduction in activity period, t; (percent)</w:t>
            </w:r>
          </w:p>
        </w:tc>
      </w:tr>
      <w:tr w:rsidR="00CD5BFE" w:rsidRPr="00095583" w14:paraId="0C890C55" w14:textId="77777777" w:rsidTr="00C34B29">
        <w:trPr>
          <w:trHeight w:val="1386"/>
        </w:trPr>
        <w:tc>
          <w:tcPr>
            <w:tcW w:w="1795" w:type="dxa"/>
            <w:shd w:val="clear" w:color="auto" w:fill="CCD4E5"/>
          </w:tcPr>
          <w:p w14:paraId="1CFA326D" w14:textId="16BDC198" w:rsidR="00CD5BFE" w:rsidRPr="00095583" w:rsidRDefault="00000000" w:rsidP="00CD5BFE">
            <w:pPr>
              <w:spacing w:before="240" w:line="288" w:lineRule="auto"/>
              <w:rPr>
                <w:rFonts w:eastAsia="Century Gothic" w:cs="Century Gothic"/>
                <w:iCs/>
              </w:rPr>
            </w:pPr>
            <m:oMathPara>
              <m:oMath>
                <m:sSub>
                  <m:sSubPr>
                    <m:ctrlPr>
                      <w:rPr>
                        <w:rFonts w:ascii="Cambria Math" w:eastAsia="Century Gothic" w:hAnsi="Cambria Math" w:cs="Century Gothic"/>
                        <w:iCs/>
                        <w:sz w:val="22"/>
                        <w:szCs w:val="22"/>
                        <w:vertAlign w:val="subscript"/>
                      </w:rPr>
                    </m:ctrlPr>
                  </m:sSubPr>
                  <m:e>
                    <m:r>
                      <m:rPr>
                        <m:sty m:val="p"/>
                      </m:rPr>
                      <w:rPr>
                        <w:rFonts w:ascii="Cambria Math" w:eastAsia="Century Gothic" w:hAnsi="Cambria Math" w:cs="Century Gothic"/>
                        <w:sz w:val="22"/>
                        <w:szCs w:val="22"/>
                        <w:vertAlign w:val="subscript"/>
                      </w:rPr>
                      <m:t>UNC</m:t>
                    </m:r>
                  </m:e>
                  <m:sub>
                    <m:r>
                      <m:rPr>
                        <m:sty m:val="p"/>
                      </m:rPr>
                      <w:rPr>
                        <w:rFonts w:ascii="Cambria Math" w:eastAsia="Century Gothic" w:hAnsi="Cambria Math" w:cs="Century Gothic"/>
                        <w:sz w:val="22"/>
                        <w:szCs w:val="22"/>
                      </w:rPr>
                      <m:t>ap,t</m:t>
                    </m:r>
                  </m:sub>
                </m:sSub>
              </m:oMath>
            </m:oMathPara>
          </w:p>
        </w:tc>
        <w:tc>
          <w:tcPr>
            <w:tcW w:w="6835" w:type="dxa"/>
            <w:shd w:val="clear" w:color="auto" w:fill="CCD4E5"/>
          </w:tcPr>
          <w:p w14:paraId="456D48A7" w14:textId="6B43837D" w:rsidR="00CD5BFE" w:rsidRPr="00095583" w:rsidRDefault="00CD5BFE" w:rsidP="00CD5BFE">
            <w:pPr>
              <w:spacing w:before="240" w:line="288" w:lineRule="auto"/>
              <w:rPr>
                <w:rFonts w:eastAsia="Century Gothic" w:cs="Century Gothic"/>
              </w:rPr>
            </w:pPr>
            <w:r w:rsidRPr="00095583">
              <w:rPr>
                <w:rFonts w:eastAsia="Century Gothic" w:cs="Century Gothic"/>
              </w:rPr>
              <w:t>Total uncertainty in activity period, t; (percent)</w:t>
            </w:r>
          </w:p>
        </w:tc>
      </w:tr>
    </w:tbl>
    <w:p w14:paraId="0000016F" w14:textId="6FFA4FB0" w:rsidR="00471C28" w:rsidRPr="00095583" w:rsidRDefault="00CF15C9" w:rsidP="00095583">
      <w:pPr>
        <w:spacing w:line="276" w:lineRule="auto"/>
        <w:ind w:left="720"/>
        <w:rPr>
          <w:rFonts w:eastAsia="Century Gothic" w:cs="Century Gothic"/>
          <w:sz w:val="22"/>
          <w:szCs w:val="22"/>
        </w:rPr>
      </w:pPr>
      <w:r w:rsidRPr="00095583">
        <w:rPr>
          <w:rFonts w:eastAsia="Century Gothic" w:cs="Century Gothic"/>
          <w:sz w:val="22"/>
          <w:szCs w:val="22"/>
        </w:rPr>
        <w:t xml:space="preserve">To be conservative, the minimum uncertainty factor is set to 1.5% to account for possible uncertainty within other unmeasured assumptions used in calculations and </w:t>
      </w:r>
      <w:proofErr w:type="spellStart"/>
      <w:r w:rsidRPr="00095583">
        <w:rPr>
          <w:rFonts w:eastAsia="Century Gothic" w:cs="Century Gothic"/>
          <w:sz w:val="22"/>
          <w:szCs w:val="22"/>
        </w:rPr>
        <w:t>modeling</w:t>
      </w:r>
      <w:proofErr w:type="spellEnd"/>
      <w:r w:rsidRPr="00095583">
        <w:rPr>
          <w:rFonts w:eastAsia="Century Gothic" w:cs="Century Gothic"/>
          <w:sz w:val="22"/>
          <w:szCs w:val="22"/>
        </w:rPr>
        <w:t xml:space="preserve">. </w:t>
      </w:r>
    </w:p>
    <w:p w14:paraId="00000170" w14:textId="363E8D6B" w:rsidR="00471C28" w:rsidRDefault="00CF15C9" w:rsidP="00095583">
      <w:pPr>
        <w:pStyle w:val="Heading2"/>
      </w:pPr>
      <w:bookmarkStart w:id="38" w:name="_Toc98322291"/>
      <w:r>
        <w:t xml:space="preserve">Net GHG Emission </w:t>
      </w:r>
      <w:r w:rsidRPr="00095583">
        <w:t>Reductions</w:t>
      </w:r>
      <w:r>
        <w:t xml:space="preserve"> </w:t>
      </w:r>
      <w:r w:rsidR="00580F96">
        <w:t>/ Removals</w:t>
      </w:r>
      <w:bookmarkEnd w:id="38"/>
    </w:p>
    <w:p w14:paraId="00000171" w14:textId="7AEFC221" w:rsidR="00471C28" w:rsidRPr="00095583" w:rsidRDefault="00CF15C9">
      <w:pPr>
        <w:spacing w:before="60" w:after="120" w:line="288" w:lineRule="auto"/>
        <w:ind w:left="720"/>
        <w:rPr>
          <w:rFonts w:eastAsia="Century Gothic" w:cs="Century Gothic"/>
        </w:rPr>
      </w:pPr>
      <w:r w:rsidRPr="00095583">
        <w:rPr>
          <w:rFonts w:eastAsia="Century Gothic" w:cs="Century Gothic"/>
        </w:rPr>
        <w:t>Net GHG emission reductions</w:t>
      </w:r>
      <w:r w:rsidR="00580F96" w:rsidRPr="00095583">
        <w:rPr>
          <w:rFonts w:eastAsia="Century Gothic" w:cs="Century Gothic"/>
        </w:rPr>
        <w:t>/removals</w:t>
      </w:r>
      <w:r w:rsidRPr="00095583">
        <w:rPr>
          <w:rFonts w:eastAsia="Century Gothic" w:cs="Century Gothic"/>
        </w:rPr>
        <w:t xml:space="preserve"> are calculated as follows:</w:t>
      </w:r>
    </w:p>
    <w:tbl>
      <w:tblPr>
        <w:tblW w:w="8550" w:type="dxa"/>
        <w:tblInd w:w="73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6907"/>
        <w:gridCol w:w="1643"/>
      </w:tblGrid>
      <w:tr w:rsidR="00471C28" w14:paraId="6F1412F9" w14:textId="77777777">
        <w:trPr>
          <w:trHeight w:val="540"/>
        </w:trPr>
        <w:tc>
          <w:tcPr>
            <w:tcW w:w="6907" w:type="dxa"/>
            <w:shd w:val="clear" w:color="auto" w:fill="auto"/>
          </w:tcPr>
          <w:p w14:paraId="00000172" w14:textId="64950620" w:rsidR="00471C28" w:rsidRDefault="00000000" w:rsidP="00095583">
            <w:pPr>
              <w:pStyle w:val="Note"/>
            </w:pPr>
            <m:oMathPara>
              <m:oMath>
                <m:sSub>
                  <m:sSubPr>
                    <m:ctrlPr>
                      <w:rPr>
                        <w:rFonts w:ascii="Cambria Math" w:eastAsia="Cambria Math" w:hAnsi="Cambria Math" w:cs="Cambria Math"/>
                      </w:rPr>
                    </m:ctrlPr>
                  </m:sSubPr>
                  <m:e>
                    <m:r>
                      <w:rPr>
                        <w:rFonts w:ascii="Cambria Math" w:hAnsi="Cambria Math"/>
                      </w:rPr>
                      <m:t>ER</m:t>
                    </m:r>
                  </m:e>
                  <m:sub>
                    <m:r>
                      <w:rPr>
                        <w:rFonts w:ascii="Cambria Math" w:hAnsi="Cambria Math"/>
                      </w:rPr>
                      <m:t>t</m:t>
                    </m:r>
                  </m:sub>
                </m:sSub>
                <m:r>
                  <w:rPr>
                    <w:rFonts w:ascii="Cambria Math" w:hAnsi="Cambria Math"/>
                  </w:rPr>
                  <m:t xml:space="preserve">= </m:t>
                </m:r>
                <m:sSub>
                  <m:sSubPr>
                    <m:ctrlPr>
                      <w:rPr>
                        <w:rFonts w:ascii="Cambria Math" w:eastAsia="Cambria Math" w:hAnsi="Cambria Math" w:cs="Cambria Math"/>
                      </w:rPr>
                    </m:ctrlPr>
                  </m:sSubPr>
                  <m:e>
                    <m:r>
                      <w:rPr>
                        <w:rFonts w:ascii="Cambria Math" w:hAnsi="Cambria Math"/>
                      </w:rPr>
                      <m:t>(C</m:t>
                    </m:r>
                  </m:e>
                  <m:sub>
                    <m:r>
                      <w:rPr>
                        <w:rFonts w:ascii="Cambria Math" w:hAnsi="Cambria Math"/>
                      </w:rPr>
                      <m:t xml:space="preserve">d </m:t>
                    </m:r>
                  </m:sub>
                </m:sSub>
                <m:r>
                  <w:rPr>
                    <w:rFonts w:ascii="Cambria Math" w:hAnsi="Cambria Math"/>
                  </w:rPr>
                  <m:t>-MLt)*</m:t>
                </m:r>
                <m:d>
                  <m:dPr>
                    <m:ctrlPr>
                      <w:rPr>
                        <w:rFonts w:ascii="Cambria Math" w:hAnsi="Cambria Math"/>
                      </w:rPr>
                    </m:ctrlPr>
                  </m:dPr>
                  <m:e>
                    <m:r>
                      <w:rPr>
                        <w:rFonts w:ascii="Cambria Math" w:hAnsi="Cambria Math"/>
                      </w:rPr>
                      <m:t xml:space="preserve">1 - </m:t>
                    </m:r>
                    <m:sSub>
                      <m:sSubPr>
                        <m:ctrlPr>
                          <w:rPr>
                            <w:rFonts w:ascii="Cambria Math" w:hAnsi="Cambria Math"/>
                          </w:rPr>
                        </m:ctrlPr>
                      </m:sSubPr>
                      <m:e>
                        <m:r>
                          <w:rPr>
                            <w:rFonts w:ascii="Cambria Math" w:hAnsi="Cambria Math"/>
                          </w:rPr>
                          <m:t>UNC</m:t>
                        </m:r>
                      </m:e>
                      <m:sub>
                        <m:r>
                          <w:rPr>
                            <w:rFonts w:ascii="Cambria Math" w:hAnsi="Cambria Math"/>
                          </w:rPr>
                          <m:t>t</m:t>
                        </m:r>
                      </m:sub>
                    </m:sSub>
                    <m:ctrlPr>
                      <w:rPr>
                        <w:rFonts w:ascii="Cambria Math" w:hAnsi="Cambria Math"/>
                        <w:vertAlign w:val="subscript"/>
                      </w:rPr>
                    </m:ctrlPr>
                  </m:e>
                </m:d>
                <m:r>
                  <w:rPr>
                    <w:rFonts w:ascii="Cambria Math" w:hAnsi="Cambria Math"/>
                  </w:rPr>
                  <m:t>*TYC</m:t>
                </m:r>
              </m:oMath>
            </m:oMathPara>
          </w:p>
        </w:tc>
        <w:tc>
          <w:tcPr>
            <w:tcW w:w="1643" w:type="dxa"/>
            <w:shd w:val="clear" w:color="auto" w:fill="auto"/>
          </w:tcPr>
          <w:p w14:paraId="00000173" w14:textId="0CBEE624" w:rsidR="00471C28" w:rsidRDefault="00CF15C9" w:rsidP="00403AE6">
            <w:pPr>
              <w:rPr>
                <w:color w:val="595959"/>
              </w:rPr>
            </w:pPr>
            <w:bookmarkStart w:id="39" w:name="_heading=h.2xcytpi" w:colFirst="0" w:colLast="0"/>
            <w:bookmarkEnd w:id="39"/>
            <w:r>
              <w:t>(1</w:t>
            </w:r>
            <w:r w:rsidR="00FE6296">
              <w:t>2</w:t>
            </w:r>
            <w:r>
              <w:t>)</w:t>
            </w:r>
          </w:p>
        </w:tc>
      </w:tr>
    </w:tbl>
    <w:p w14:paraId="00000174" w14:textId="77777777" w:rsidR="00471C28" w:rsidRPr="00095583" w:rsidRDefault="00CF15C9">
      <w:pPr>
        <w:spacing w:before="60" w:after="120" w:line="288" w:lineRule="auto"/>
        <w:ind w:left="720"/>
        <w:rPr>
          <w:rFonts w:eastAsia="Century Gothic" w:cs="Century Gothic"/>
        </w:rPr>
      </w:pPr>
      <w:r w:rsidRPr="00095583">
        <w:rPr>
          <w:rFonts w:eastAsia="Century Gothic" w:cs="Century Gothic"/>
        </w:rPr>
        <w:t>Where:</w:t>
      </w:r>
    </w:p>
    <w:tbl>
      <w:tblPr>
        <w:tblW w:w="863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1795"/>
        <w:gridCol w:w="6835"/>
      </w:tblGrid>
      <w:tr w:rsidR="00471C28" w:rsidRPr="00095583" w14:paraId="7028DFAD" w14:textId="77777777">
        <w:tc>
          <w:tcPr>
            <w:tcW w:w="1795" w:type="dxa"/>
            <w:shd w:val="clear" w:color="auto" w:fill="CCD4E5"/>
            <w:vAlign w:val="center"/>
          </w:tcPr>
          <w:p w14:paraId="00000175" w14:textId="77777777" w:rsidR="00471C28" w:rsidRPr="00095583" w:rsidRDefault="00CF15C9">
            <w:pPr>
              <w:spacing w:before="60" w:after="120"/>
              <w:rPr>
                <w:rFonts w:eastAsia="Century Gothic" w:cs="Century Gothic"/>
              </w:rPr>
            </w:pPr>
            <w:bookmarkStart w:id="40" w:name="_heading=h.43ky6rz" w:colFirst="0" w:colLast="0"/>
            <w:bookmarkEnd w:id="40"/>
            <w:proofErr w:type="spellStart"/>
            <w:r w:rsidRPr="00095583">
              <w:rPr>
                <w:rFonts w:eastAsia="Century Gothic" w:cs="Century Gothic"/>
              </w:rPr>
              <w:t>ER</w:t>
            </w:r>
            <w:r w:rsidRPr="00095583">
              <w:rPr>
                <w:rFonts w:eastAsia="Century Gothic" w:cs="Century Gothic"/>
                <w:vertAlign w:val="subscript"/>
              </w:rPr>
              <w:t>t</w:t>
            </w:r>
            <w:proofErr w:type="spellEnd"/>
          </w:p>
        </w:tc>
        <w:tc>
          <w:tcPr>
            <w:tcW w:w="6835" w:type="dxa"/>
            <w:shd w:val="clear" w:color="auto" w:fill="CCD4E5"/>
            <w:vAlign w:val="center"/>
          </w:tcPr>
          <w:p w14:paraId="00000176" w14:textId="77777777" w:rsidR="00471C28" w:rsidRPr="00095583" w:rsidRDefault="00CF15C9">
            <w:pPr>
              <w:spacing w:before="60" w:after="120" w:line="288" w:lineRule="auto"/>
              <w:rPr>
                <w:rFonts w:eastAsia="Century Gothic" w:cs="Century Gothic"/>
              </w:rPr>
            </w:pPr>
            <w:r w:rsidRPr="00095583">
              <w:rPr>
                <w:rFonts w:eastAsia="Century Gothic" w:cs="Century Gothic"/>
              </w:rPr>
              <w:t>Emission reductions / removals during the activity period, t; (tCO</w:t>
            </w:r>
            <w:r w:rsidRPr="00095583">
              <w:rPr>
                <w:rFonts w:eastAsia="Century Gothic" w:cs="Century Gothic"/>
                <w:vertAlign w:val="subscript"/>
              </w:rPr>
              <w:t>2</w:t>
            </w:r>
            <w:r w:rsidRPr="00095583">
              <w:rPr>
                <w:rFonts w:eastAsia="Century Gothic" w:cs="Century Gothic"/>
              </w:rPr>
              <w:t>)</w:t>
            </w:r>
          </w:p>
        </w:tc>
      </w:tr>
      <w:tr w:rsidR="00471C28" w:rsidRPr="00095583" w14:paraId="6B19EE8D" w14:textId="77777777">
        <w:tc>
          <w:tcPr>
            <w:tcW w:w="1795" w:type="dxa"/>
            <w:shd w:val="clear" w:color="auto" w:fill="CCD4E5"/>
            <w:vAlign w:val="center"/>
          </w:tcPr>
          <w:p w14:paraId="00000177" w14:textId="77777777" w:rsidR="00471C28" w:rsidRPr="00095583" w:rsidRDefault="00CF15C9">
            <w:pPr>
              <w:spacing w:before="60" w:after="120"/>
              <w:rPr>
                <w:rFonts w:eastAsia="Century Gothic" w:cs="Century Gothic"/>
              </w:rPr>
            </w:pPr>
            <w:r w:rsidRPr="00095583">
              <w:rPr>
                <w:rFonts w:eastAsia="Century Gothic" w:cs="Century Gothic"/>
              </w:rPr>
              <w:t>C</w:t>
            </w:r>
            <w:r w:rsidRPr="00095583">
              <w:rPr>
                <w:rFonts w:eastAsia="Century Gothic" w:cs="Century Gothic"/>
                <w:vertAlign w:val="subscript"/>
              </w:rPr>
              <w:t>d</w:t>
            </w:r>
          </w:p>
        </w:tc>
        <w:tc>
          <w:tcPr>
            <w:tcW w:w="6835" w:type="dxa"/>
            <w:shd w:val="clear" w:color="auto" w:fill="CCD4E5"/>
            <w:vAlign w:val="center"/>
          </w:tcPr>
          <w:p w14:paraId="00000178" w14:textId="77777777" w:rsidR="00471C28" w:rsidRPr="00095583" w:rsidRDefault="00CF15C9">
            <w:pPr>
              <w:spacing w:before="60" w:after="120" w:line="288" w:lineRule="auto"/>
              <w:rPr>
                <w:rFonts w:eastAsia="Century Gothic" w:cs="Century Gothic"/>
              </w:rPr>
            </w:pPr>
            <w:r w:rsidRPr="00095583">
              <w:rPr>
                <w:rFonts w:eastAsia="Century Gothic" w:cs="Century Gothic"/>
              </w:rPr>
              <w:t>Amount of deferred carbon between t0 and t1, i.e., additional above ground live tree biomass resulting from the project; (tCO</w:t>
            </w:r>
            <w:r w:rsidRPr="00095583">
              <w:rPr>
                <w:rFonts w:eastAsia="Century Gothic" w:cs="Century Gothic"/>
                <w:vertAlign w:val="subscript"/>
              </w:rPr>
              <w:t>2</w:t>
            </w:r>
            <w:r w:rsidRPr="00095583">
              <w:rPr>
                <w:rFonts w:eastAsia="Century Gothic" w:cs="Century Gothic"/>
              </w:rPr>
              <w:t>)</w:t>
            </w:r>
          </w:p>
        </w:tc>
      </w:tr>
      <w:tr w:rsidR="00983C9C" w:rsidRPr="00095583" w14:paraId="512BBEF8" w14:textId="77777777">
        <w:tc>
          <w:tcPr>
            <w:tcW w:w="1795" w:type="dxa"/>
            <w:shd w:val="clear" w:color="auto" w:fill="CCD4E5"/>
            <w:vAlign w:val="center"/>
          </w:tcPr>
          <w:p w14:paraId="44F034FF" w14:textId="67CEDB42" w:rsidR="00983C9C" w:rsidRPr="00095583" w:rsidRDefault="00983C9C" w:rsidP="00983C9C">
            <w:pPr>
              <w:spacing w:before="60" w:after="120"/>
              <w:rPr>
                <w:rFonts w:eastAsia="Century Gothic" w:cs="Century Gothic"/>
              </w:rPr>
            </w:pPr>
            <w:proofErr w:type="spellStart"/>
            <w:r w:rsidRPr="00095583">
              <w:rPr>
                <w:rFonts w:eastAsia="Century Gothic" w:cs="Century Gothic"/>
              </w:rPr>
              <w:t>ML</w:t>
            </w:r>
            <w:r w:rsidRPr="00095583">
              <w:rPr>
                <w:rFonts w:eastAsia="Century Gothic" w:cs="Century Gothic"/>
                <w:vertAlign w:val="subscript"/>
              </w:rPr>
              <w:t>t</w:t>
            </w:r>
            <w:proofErr w:type="spellEnd"/>
          </w:p>
        </w:tc>
        <w:tc>
          <w:tcPr>
            <w:tcW w:w="6835" w:type="dxa"/>
            <w:shd w:val="clear" w:color="auto" w:fill="CCD4E5"/>
            <w:vAlign w:val="center"/>
          </w:tcPr>
          <w:p w14:paraId="4E2DE15E" w14:textId="05BE62EC" w:rsidR="00983C9C" w:rsidRPr="00095583" w:rsidRDefault="00983C9C" w:rsidP="00983C9C">
            <w:pPr>
              <w:spacing w:before="60" w:after="120" w:line="288" w:lineRule="auto"/>
              <w:rPr>
                <w:rFonts w:eastAsia="Century Gothic" w:cs="Century Gothic"/>
              </w:rPr>
            </w:pPr>
            <w:r w:rsidRPr="00095583">
              <w:rPr>
                <w:rFonts w:eastAsia="Century Gothic" w:cs="Century Gothic"/>
                <w:color w:val="000000"/>
              </w:rPr>
              <w:t>Market leakage in activity period, t; (tCO</w:t>
            </w:r>
            <w:r w:rsidRPr="00095583">
              <w:rPr>
                <w:rFonts w:eastAsia="Century Gothic" w:cs="Century Gothic"/>
                <w:color w:val="000000"/>
                <w:vertAlign w:val="subscript"/>
              </w:rPr>
              <w:t>2</w:t>
            </w:r>
            <w:r w:rsidRPr="00095583">
              <w:rPr>
                <w:rFonts w:eastAsia="Century Gothic" w:cs="Century Gothic"/>
                <w:color w:val="000000"/>
              </w:rPr>
              <w:t>)</w:t>
            </w:r>
          </w:p>
        </w:tc>
      </w:tr>
      <w:tr w:rsidR="00983C9C" w:rsidRPr="00095583" w14:paraId="5CE1770E" w14:textId="77777777">
        <w:tc>
          <w:tcPr>
            <w:tcW w:w="1795" w:type="dxa"/>
            <w:shd w:val="clear" w:color="auto" w:fill="CCD4E5"/>
            <w:vAlign w:val="center"/>
          </w:tcPr>
          <w:p w14:paraId="00000179" w14:textId="66BBCC6C" w:rsidR="00983C9C" w:rsidRPr="00095583" w:rsidRDefault="00983C9C" w:rsidP="00983C9C">
            <w:pPr>
              <w:spacing w:before="60" w:after="120"/>
              <w:rPr>
                <w:rFonts w:eastAsia="Century Gothic" w:cs="Century Gothic"/>
              </w:rPr>
            </w:pPr>
            <w:proofErr w:type="spellStart"/>
            <w:r w:rsidRPr="00095583">
              <w:rPr>
                <w:rFonts w:eastAsia="Century Gothic" w:cs="Century Gothic"/>
              </w:rPr>
              <w:t>UNC</w:t>
            </w:r>
            <w:r w:rsidRPr="00095583">
              <w:rPr>
                <w:rFonts w:eastAsia="Century Gothic" w:cs="Century Gothic"/>
                <w:vertAlign w:val="subscript"/>
              </w:rPr>
              <w:t>t</w:t>
            </w:r>
            <w:proofErr w:type="spellEnd"/>
          </w:p>
        </w:tc>
        <w:tc>
          <w:tcPr>
            <w:tcW w:w="6835" w:type="dxa"/>
            <w:shd w:val="clear" w:color="auto" w:fill="CCD4E5"/>
            <w:vAlign w:val="center"/>
          </w:tcPr>
          <w:p w14:paraId="0000017A" w14:textId="77777777" w:rsidR="00983C9C" w:rsidRPr="00095583" w:rsidRDefault="00983C9C" w:rsidP="00983C9C">
            <w:pPr>
              <w:spacing w:before="60" w:after="120" w:line="288" w:lineRule="auto"/>
              <w:rPr>
                <w:rFonts w:eastAsia="Century Gothic" w:cs="Century Gothic"/>
              </w:rPr>
            </w:pPr>
            <w:r w:rsidRPr="00095583">
              <w:rPr>
                <w:rFonts w:eastAsia="Century Gothic" w:cs="Century Gothic"/>
              </w:rPr>
              <w:t xml:space="preserve">Total uncertainty deduction factor for activity period; </w:t>
            </w:r>
            <w:proofErr w:type="gramStart"/>
            <w:r w:rsidRPr="00095583">
              <w:rPr>
                <w:rFonts w:eastAsia="Century Gothic" w:cs="Century Gothic"/>
              </w:rPr>
              <w:t>t(</w:t>
            </w:r>
            <w:proofErr w:type="gramEnd"/>
            <w:r w:rsidRPr="00095583">
              <w:rPr>
                <w:rFonts w:eastAsia="Century Gothic" w:cs="Century Gothic"/>
              </w:rPr>
              <w:t>%)</w:t>
            </w:r>
          </w:p>
        </w:tc>
      </w:tr>
      <w:tr w:rsidR="00983C9C" w:rsidRPr="00095583" w14:paraId="2D386B07" w14:textId="77777777">
        <w:tc>
          <w:tcPr>
            <w:tcW w:w="1795" w:type="dxa"/>
            <w:shd w:val="clear" w:color="auto" w:fill="CCD4E5"/>
            <w:vAlign w:val="center"/>
          </w:tcPr>
          <w:p w14:paraId="0000017D" w14:textId="77777777" w:rsidR="00983C9C" w:rsidRPr="00095583" w:rsidRDefault="00983C9C" w:rsidP="00983C9C">
            <w:pPr>
              <w:spacing w:before="60" w:after="120" w:line="288" w:lineRule="auto"/>
              <w:rPr>
                <w:rFonts w:eastAsia="Century Gothic" w:cs="Century Gothic"/>
              </w:rPr>
            </w:pPr>
            <w:r w:rsidRPr="00095583">
              <w:rPr>
                <w:rFonts w:eastAsia="Century Gothic" w:cs="Century Gothic"/>
              </w:rPr>
              <w:t>TYC</w:t>
            </w:r>
          </w:p>
        </w:tc>
        <w:tc>
          <w:tcPr>
            <w:tcW w:w="6835" w:type="dxa"/>
            <w:shd w:val="clear" w:color="auto" w:fill="CCD4E5"/>
            <w:vAlign w:val="center"/>
          </w:tcPr>
          <w:p w14:paraId="0000017E" w14:textId="0BFE99A8" w:rsidR="00983C9C" w:rsidRPr="00095583" w:rsidRDefault="00983C9C" w:rsidP="00983C9C">
            <w:pPr>
              <w:spacing w:before="60" w:after="120" w:line="288" w:lineRule="auto"/>
              <w:rPr>
                <w:rFonts w:eastAsia="Century Gothic" w:cs="Century Gothic"/>
              </w:rPr>
            </w:pPr>
            <w:r w:rsidRPr="00095583">
              <w:rPr>
                <w:rFonts w:eastAsia="Century Gothic" w:cs="Century Gothic"/>
              </w:rPr>
              <w:t>Ton year accounting conversion; (%)</w:t>
            </w:r>
          </w:p>
        </w:tc>
      </w:tr>
    </w:tbl>
    <w:p w14:paraId="00000181" w14:textId="77777777" w:rsidR="00471C28" w:rsidRDefault="00CF15C9" w:rsidP="00095583">
      <w:pPr>
        <w:pStyle w:val="Heading1"/>
      </w:pPr>
      <w:bookmarkStart w:id="41" w:name="_Toc98322292"/>
      <w:r w:rsidRPr="00095583">
        <w:t>Monitoring</w:t>
      </w:r>
      <w:bookmarkEnd w:id="41"/>
    </w:p>
    <w:p w14:paraId="00000182" w14:textId="77777777" w:rsidR="00471C28" w:rsidRDefault="00CF15C9" w:rsidP="00095583">
      <w:pPr>
        <w:pStyle w:val="Heading2"/>
      </w:pPr>
      <w:bookmarkStart w:id="42" w:name="_Toc98322293"/>
      <w:r>
        <w:t xml:space="preserve">Data </w:t>
      </w:r>
      <w:r w:rsidRPr="00095583">
        <w:t>and</w:t>
      </w:r>
      <w:r>
        <w:t xml:space="preserve"> Parameters Available at Validation</w:t>
      </w:r>
      <w:bookmarkEnd w:id="42"/>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520"/>
        <w:gridCol w:w="6120"/>
      </w:tblGrid>
      <w:tr w:rsidR="00471C28" w14:paraId="788F20B3" w14:textId="77777777" w:rsidTr="00471C28">
        <w:trPr>
          <w:trHeight w:val="360"/>
        </w:trPr>
        <w:tc>
          <w:tcPr>
            <w:tcW w:w="2520" w:type="dxa"/>
            <w:shd w:val="clear" w:color="auto" w:fill="CCD4E5"/>
          </w:tcPr>
          <w:p w14:paraId="00000183"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Data / Parameter</w:t>
            </w:r>
          </w:p>
        </w:tc>
        <w:tc>
          <w:tcPr>
            <w:tcW w:w="6120" w:type="dxa"/>
            <w:shd w:val="clear" w:color="auto" w:fill="F2F2F2"/>
          </w:tcPr>
          <w:p w14:paraId="00000184" w14:textId="77777777" w:rsidR="00471C28" w:rsidRPr="00095583" w:rsidRDefault="00CF15C9">
            <w:pPr>
              <w:spacing w:before="60" w:after="120" w:line="288" w:lineRule="auto"/>
              <w:rPr>
                <w:rFonts w:eastAsia="Century Gothic" w:cs="Century Gothic"/>
                <w:szCs w:val="21"/>
              </w:rPr>
            </w:pPr>
            <w:proofErr w:type="spellStart"/>
            <w:proofErr w:type="gramStart"/>
            <w:r w:rsidRPr="00095583">
              <w:rPr>
                <w:rFonts w:eastAsia="Century Gothic" w:cs="Century Gothic"/>
                <w:szCs w:val="21"/>
              </w:rPr>
              <w:t>PP</w:t>
            </w:r>
            <w:r w:rsidRPr="00095583">
              <w:rPr>
                <w:rFonts w:eastAsia="Century Gothic" w:cs="Century Gothic"/>
                <w:szCs w:val="21"/>
                <w:vertAlign w:val="subscript"/>
              </w:rPr>
              <w:t>a,t</w:t>
            </w:r>
            <w:proofErr w:type="gramEnd"/>
            <w:r w:rsidRPr="00095583">
              <w:rPr>
                <w:rFonts w:eastAsia="Century Gothic" w:cs="Century Gothic"/>
                <w:szCs w:val="21"/>
                <w:vertAlign w:val="subscript"/>
              </w:rPr>
              <w:t>,i</w:t>
            </w:r>
            <w:proofErr w:type="spellEnd"/>
          </w:p>
        </w:tc>
      </w:tr>
      <w:tr w:rsidR="00471C28" w14:paraId="25E66213" w14:textId="77777777" w:rsidTr="00471C28">
        <w:trPr>
          <w:trHeight w:val="360"/>
        </w:trPr>
        <w:tc>
          <w:tcPr>
            <w:tcW w:w="2520" w:type="dxa"/>
            <w:shd w:val="clear" w:color="auto" w:fill="CCD4E5"/>
          </w:tcPr>
          <w:p w14:paraId="00000185"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lastRenderedPageBreak/>
              <w:t>Data unit</w:t>
            </w:r>
          </w:p>
        </w:tc>
        <w:tc>
          <w:tcPr>
            <w:tcW w:w="6120" w:type="dxa"/>
            <w:shd w:val="clear" w:color="auto" w:fill="F2F2F2"/>
          </w:tcPr>
          <w:p w14:paraId="00000186" w14:textId="13824E7F"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hectares</w:t>
            </w:r>
          </w:p>
        </w:tc>
      </w:tr>
      <w:tr w:rsidR="00471C28" w14:paraId="124D2DE0" w14:textId="77777777" w:rsidTr="00471C28">
        <w:trPr>
          <w:trHeight w:val="360"/>
        </w:trPr>
        <w:tc>
          <w:tcPr>
            <w:tcW w:w="2520" w:type="dxa"/>
            <w:shd w:val="clear" w:color="auto" w:fill="CCD4E5"/>
          </w:tcPr>
          <w:p w14:paraId="00000187"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Description</w:t>
            </w:r>
          </w:p>
        </w:tc>
        <w:tc>
          <w:tcPr>
            <w:tcW w:w="6120" w:type="dxa"/>
            <w:shd w:val="clear" w:color="auto" w:fill="F2F2F2"/>
          </w:tcPr>
          <w:p w14:paraId="00000188" w14:textId="77777777" w:rsidR="00471C28" w:rsidRPr="00095583" w:rsidRDefault="00CF15C9">
            <w:pPr>
              <w:spacing w:before="60" w:after="120" w:line="288" w:lineRule="auto"/>
              <w:rPr>
                <w:rFonts w:eastAsia="Century Gothic" w:cs="Century Gothic"/>
                <w:i/>
                <w:szCs w:val="21"/>
              </w:rPr>
            </w:pPr>
            <w:r w:rsidRPr="00095583">
              <w:rPr>
                <w:rFonts w:eastAsia="Century Gothic" w:cs="Century Gothic"/>
                <w:color w:val="000000"/>
                <w:szCs w:val="21"/>
              </w:rPr>
              <w:t xml:space="preserve">Area of participating property, </w:t>
            </w:r>
            <w:proofErr w:type="spellStart"/>
            <w:r w:rsidRPr="00095583">
              <w:rPr>
                <w:rFonts w:eastAsia="Century Gothic" w:cs="Century Gothic"/>
                <w:color w:val="000000"/>
                <w:szCs w:val="21"/>
              </w:rPr>
              <w:t>i</w:t>
            </w:r>
            <w:proofErr w:type="spellEnd"/>
            <w:r w:rsidRPr="00095583">
              <w:rPr>
                <w:rFonts w:eastAsia="Century Gothic" w:cs="Century Gothic"/>
                <w:color w:val="000000"/>
                <w:szCs w:val="21"/>
              </w:rPr>
              <w:t xml:space="preserve">, during activity period, t; </w:t>
            </w:r>
          </w:p>
        </w:tc>
      </w:tr>
      <w:tr w:rsidR="00471C28" w14:paraId="35E59BFA" w14:textId="77777777" w:rsidTr="00471C28">
        <w:trPr>
          <w:trHeight w:val="360"/>
        </w:trPr>
        <w:tc>
          <w:tcPr>
            <w:tcW w:w="2520" w:type="dxa"/>
            <w:shd w:val="clear" w:color="auto" w:fill="CCD4E5"/>
          </w:tcPr>
          <w:p w14:paraId="00000189"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Equations</w:t>
            </w:r>
          </w:p>
        </w:tc>
        <w:tc>
          <w:tcPr>
            <w:tcW w:w="6120" w:type="dxa"/>
            <w:shd w:val="clear" w:color="auto" w:fill="F2F2F2"/>
          </w:tcPr>
          <w:p w14:paraId="0000018A" w14:textId="744017F1"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 xml:space="preserve">(Equation </w:t>
            </w:r>
            <w:proofErr w:type="gramStart"/>
            <w:r w:rsidR="00FE6296" w:rsidRPr="00095583">
              <w:rPr>
                <w:rFonts w:eastAsia="Century Gothic" w:cs="Century Gothic"/>
                <w:szCs w:val="21"/>
              </w:rPr>
              <w:t>2</w:t>
            </w:r>
            <w:r w:rsidRPr="00095583">
              <w:rPr>
                <w:rFonts w:eastAsia="Century Gothic" w:cs="Century Gothic"/>
                <w:szCs w:val="21"/>
              </w:rPr>
              <w:t>)(</w:t>
            </w:r>
            <w:proofErr w:type="gramEnd"/>
            <w:r w:rsidRPr="00095583">
              <w:rPr>
                <w:rFonts w:eastAsia="Century Gothic" w:cs="Century Gothic"/>
                <w:szCs w:val="21"/>
              </w:rPr>
              <w:t xml:space="preserve">Equation </w:t>
            </w:r>
            <w:r w:rsidR="00FE6296" w:rsidRPr="00095583">
              <w:rPr>
                <w:rFonts w:eastAsia="Century Gothic" w:cs="Century Gothic"/>
                <w:szCs w:val="21"/>
              </w:rPr>
              <w:t>4</w:t>
            </w:r>
            <w:r w:rsidRPr="00095583">
              <w:rPr>
                <w:rFonts w:eastAsia="Century Gothic" w:cs="Century Gothic"/>
                <w:szCs w:val="21"/>
              </w:rPr>
              <w:t>)</w:t>
            </w:r>
          </w:p>
        </w:tc>
      </w:tr>
      <w:tr w:rsidR="00471C28" w14:paraId="449DA91A" w14:textId="77777777" w:rsidTr="00471C28">
        <w:trPr>
          <w:trHeight w:val="360"/>
        </w:trPr>
        <w:tc>
          <w:tcPr>
            <w:tcW w:w="2520" w:type="dxa"/>
            <w:shd w:val="clear" w:color="auto" w:fill="CCD4E5"/>
          </w:tcPr>
          <w:p w14:paraId="0000018B"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Source of data</w:t>
            </w:r>
          </w:p>
        </w:tc>
        <w:tc>
          <w:tcPr>
            <w:tcW w:w="6120" w:type="dxa"/>
            <w:shd w:val="clear" w:color="auto" w:fill="F2F2F2"/>
          </w:tcPr>
          <w:p w14:paraId="0000018C" w14:textId="77777777" w:rsidR="00471C28" w:rsidRPr="00095583" w:rsidRDefault="00CF15C9">
            <w:pPr>
              <w:spacing w:before="60" w:after="120" w:line="288" w:lineRule="auto"/>
              <w:rPr>
                <w:rFonts w:eastAsia="Century Gothic" w:cs="Century Gothic"/>
                <w:i/>
                <w:szCs w:val="21"/>
              </w:rPr>
            </w:pPr>
            <w:r w:rsidRPr="00095583">
              <w:rPr>
                <w:rFonts w:eastAsia="Century Gothic" w:cs="Century Gothic"/>
                <w:color w:val="000000"/>
                <w:szCs w:val="21"/>
              </w:rPr>
              <w:t>GIS data</w:t>
            </w:r>
          </w:p>
        </w:tc>
      </w:tr>
      <w:tr w:rsidR="00471C28" w14:paraId="6F6D17C5" w14:textId="77777777" w:rsidTr="00471C28">
        <w:trPr>
          <w:trHeight w:val="360"/>
        </w:trPr>
        <w:tc>
          <w:tcPr>
            <w:tcW w:w="2520" w:type="dxa"/>
            <w:shd w:val="clear" w:color="auto" w:fill="CCD4E5"/>
          </w:tcPr>
          <w:p w14:paraId="0000018D"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Value applied</w:t>
            </w:r>
          </w:p>
        </w:tc>
        <w:tc>
          <w:tcPr>
            <w:tcW w:w="6120" w:type="dxa"/>
            <w:shd w:val="clear" w:color="auto" w:fill="F2F2F2"/>
          </w:tcPr>
          <w:p w14:paraId="0000018E" w14:textId="77777777" w:rsidR="00471C28" w:rsidRPr="00095583" w:rsidRDefault="00471C28">
            <w:pPr>
              <w:spacing w:before="60" w:after="120" w:line="288" w:lineRule="auto"/>
              <w:rPr>
                <w:rFonts w:eastAsia="Century Gothic" w:cs="Century Gothic"/>
                <w:i/>
                <w:szCs w:val="21"/>
              </w:rPr>
            </w:pPr>
          </w:p>
        </w:tc>
      </w:tr>
      <w:tr w:rsidR="00471C28" w14:paraId="4735CBCA" w14:textId="77777777" w:rsidTr="00471C28">
        <w:trPr>
          <w:trHeight w:val="360"/>
        </w:trPr>
        <w:tc>
          <w:tcPr>
            <w:tcW w:w="2520" w:type="dxa"/>
            <w:shd w:val="clear" w:color="auto" w:fill="CCD4E5"/>
          </w:tcPr>
          <w:p w14:paraId="0000018F"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Justification of choice of data or description of measurement methods and procedures applied</w:t>
            </w:r>
          </w:p>
        </w:tc>
        <w:tc>
          <w:tcPr>
            <w:tcW w:w="6120" w:type="dxa"/>
            <w:shd w:val="clear" w:color="auto" w:fill="F2F2F2"/>
          </w:tcPr>
          <w:p w14:paraId="00000190" w14:textId="77777777" w:rsidR="00471C28" w:rsidRPr="00095583" w:rsidRDefault="00CF15C9">
            <w:pPr>
              <w:spacing w:before="60" w:after="120" w:line="288" w:lineRule="auto"/>
              <w:rPr>
                <w:rFonts w:eastAsia="Century Gothic" w:cs="Century Gothic"/>
                <w:i/>
                <w:szCs w:val="21"/>
              </w:rPr>
            </w:pPr>
            <w:r w:rsidRPr="00095583">
              <w:rPr>
                <w:rFonts w:eastAsia="Century Gothic" w:cs="Century Gothic"/>
                <w:color w:val="000000"/>
                <w:szCs w:val="21"/>
              </w:rPr>
              <w:t xml:space="preserve">GIS coverages and remote sensing data used to determine the extent of the program area must be georeferenced. </w:t>
            </w:r>
          </w:p>
        </w:tc>
      </w:tr>
      <w:tr w:rsidR="00471C28" w14:paraId="75D7DB85" w14:textId="77777777" w:rsidTr="00471C28">
        <w:trPr>
          <w:trHeight w:val="360"/>
        </w:trPr>
        <w:tc>
          <w:tcPr>
            <w:tcW w:w="2520" w:type="dxa"/>
            <w:shd w:val="clear" w:color="auto" w:fill="CCD4E5"/>
          </w:tcPr>
          <w:p w14:paraId="00000191"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 xml:space="preserve"> Purpose of Data</w:t>
            </w:r>
          </w:p>
        </w:tc>
        <w:tc>
          <w:tcPr>
            <w:tcW w:w="6120" w:type="dxa"/>
            <w:shd w:val="clear" w:color="auto" w:fill="F2F2F2"/>
          </w:tcPr>
          <w:p w14:paraId="00000192" w14:textId="77777777" w:rsidR="00471C28" w:rsidRPr="00095583" w:rsidRDefault="00CF15C9">
            <w:pPr>
              <w:spacing w:before="60" w:after="120" w:line="288" w:lineRule="auto"/>
              <w:rPr>
                <w:rFonts w:eastAsia="Century Gothic" w:cs="Century Gothic"/>
                <w:color w:val="000000"/>
                <w:szCs w:val="21"/>
              </w:rPr>
            </w:pPr>
            <w:r w:rsidRPr="00095583">
              <w:rPr>
                <w:rFonts w:eastAsia="Century Gothic" w:cs="Century Gothic"/>
                <w:color w:val="000000"/>
                <w:szCs w:val="21"/>
              </w:rPr>
              <w:t>Calculation of carbon stocks in baseline and project scenarios</w:t>
            </w:r>
          </w:p>
        </w:tc>
      </w:tr>
      <w:tr w:rsidR="00471C28" w14:paraId="750D8708" w14:textId="77777777" w:rsidTr="00471C28">
        <w:trPr>
          <w:trHeight w:val="360"/>
        </w:trPr>
        <w:tc>
          <w:tcPr>
            <w:tcW w:w="2520" w:type="dxa"/>
            <w:shd w:val="clear" w:color="auto" w:fill="CCD4E5"/>
          </w:tcPr>
          <w:p w14:paraId="00000193"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Comments</w:t>
            </w:r>
          </w:p>
        </w:tc>
        <w:tc>
          <w:tcPr>
            <w:tcW w:w="6120" w:type="dxa"/>
            <w:shd w:val="clear" w:color="auto" w:fill="F2F2F2"/>
          </w:tcPr>
          <w:p w14:paraId="00000194" w14:textId="77777777" w:rsidR="00471C28" w:rsidRPr="00095583" w:rsidRDefault="00471C28">
            <w:pPr>
              <w:spacing w:before="60" w:after="120" w:line="288" w:lineRule="auto"/>
              <w:rPr>
                <w:rFonts w:eastAsia="Century Gothic" w:cs="Century Gothic"/>
                <w:szCs w:val="21"/>
              </w:rPr>
            </w:pPr>
          </w:p>
        </w:tc>
      </w:tr>
    </w:tbl>
    <w:p w14:paraId="00000195" w14:textId="77777777" w:rsidR="00471C28" w:rsidRPr="00095583" w:rsidRDefault="00471C28">
      <w:pPr>
        <w:spacing w:before="60" w:after="120"/>
        <w:rPr>
          <w:rFonts w:eastAsia="Century Gothic" w:cs="Century Gothic"/>
          <w:szCs w:val="21"/>
        </w:rPr>
      </w:pPr>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520"/>
        <w:gridCol w:w="6120"/>
      </w:tblGrid>
      <w:tr w:rsidR="00471C28" w14:paraId="230238B7" w14:textId="77777777" w:rsidTr="00471C28">
        <w:trPr>
          <w:trHeight w:val="350"/>
        </w:trPr>
        <w:tc>
          <w:tcPr>
            <w:tcW w:w="2520" w:type="dxa"/>
            <w:shd w:val="clear" w:color="auto" w:fill="CCD4E5"/>
          </w:tcPr>
          <w:p w14:paraId="00000196" w14:textId="77777777" w:rsidR="00471C28" w:rsidRPr="00095583" w:rsidRDefault="00CF15C9">
            <w:pPr>
              <w:spacing w:before="60" w:after="120" w:line="288" w:lineRule="auto"/>
              <w:rPr>
                <w:rFonts w:eastAsia="Century Gothic" w:cs="Century Gothic"/>
                <w:szCs w:val="21"/>
              </w:rPr>
            </w:pPr>
            <w:bookmarkStart w:id="43" w:name="_heading=h.qsh70q" w:colFirst="0" w:colLast="0"/>
            <w:bookmarkEnd w:id="43"/>
            <w:r w:rsidRPr="00095583">
              <w:rPr>
                <w:rFonts w:eastAsia="Century Gothic" w:cs="Century Gothic"/>
                <w:i/>
                <w:color w:val="4F5150"/>
                <w:szCs w:val="21"/>
              </w:rPr>
              <w:br/>
            </w:r>
            <w:r w:rsidRPr="00095583">
              <w:rPr>
                <w:rFonts w:eastAsia="Century Gothic" w:cs="Century Gothic"/>
                <w:szCs w:val="21"/>
              </w:rPr>
              <w:t>Data / Parameter</w:t>
            </w:r>
          </w:p>
        </w:tc>
        <w:tc>
          <w:tcPr>
            <w:tcW w:w="6120" w:type="dxa"/>
            <w:shd w:val="clear" w:color="auto" w:fill="F2F2F2"/>
          </w:tcPr>
          <w:p w14:paraId="00000197" w14:textId="77777777" w:rsidR="00471C28" w:rsidRPr="00095583" w:rsidRDefault="00CF15C9">
            <w:pPr>
              <w:spacing w:before="60" w:after="120" w:line="288" w:lineRule="auto"/>
              <w:rPr>
                <w:rFonts w:eastAsia="Century Gothic" w:cs="Century Gothic"/>
                <w:b/>
                <w:szCs w:val="21"/>
              </w:rPr>
            </w:pPr>
            <w:r w:rsidRPr="00095583">
              <w:rPr>
                <w:rFonts w:eastAsia="Century Gothic" w:cs="Century Gothic"/>
                <w:szCs w:val="21"/>
              </w:rPr>
              <w:t>TYC</w:t>
            </w:r>
          </w:p>
        </w:tc>
      </w:tr>
      <w:tr w:rsidR="00471C28" w14:paraId="2746933B" w14:textId="77777777" w:rsidTr="00471C28">
        <w:trPr>
          <w:trHeight w:val="360"/>
        </w:trPr>
        <w:tc>
          <w:tcPr>
            <w:tcW w:w="2520" w:type="dxa"/>
            <w:shd w:val="clear" w:color="auto" w:fill="CCD4E5"/>
          </w:tcPr>
          <w:p w14:paraId="00000198"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Data unit</w:t>
            </w:r>
          </w:p>
        </w:tc>
        <w:tc>
          <w:tcPr>
            <w:tcW w:w="6120" w:type="dxa"/>
            <w:shd w:val="clear" w:color="auto" w:fill="F2F2F2"/>
          </w:tcPr>
          <w:p w14:paraId="00000199" w14:textId="77777777" w:rsidR="00471C28" w:rsidRPr="00095583" w:rsidRDefault="00CF15C9">
            <w:pPr>
              <w:tabs>
                <w:tab w:val="left" w:pos="2370"/>
              </w:tabs>
              <w:spacing w:before="60" w:after="120" w:line="288" w:lineRule="auto"/>
              <w:rPr>
                <w:rFonts w:eastAsia="Century Gothic" w:cs="Century Gothic"/>
                <w:szCs w:val="21"/>
              </w:rPr>
            </w:pPr>
            <w:r w:rsidRPr="00095583">
              <w:rPr>
                <w:rFonts w:eastAsia="Century Gothic" w:cs="Century Gothic"/>
                <w:szCs w:val="21"/>
              </w:rPr>
              <w:t>Percent</w:t>
            </w:r>
          </w:p>
        </w:tc>
      </w:tr>
      <w:tr w:rsidR="00471C28" w14:paraId="598B149A" w14:textId="77777777" w:rsidTr="00471C28">
        <w:trPr>
          <w:trHeight w:val="360"/>
        </w:trPr>
        <w:tc>
          <w:tcPr>
            <w:tcW w:w="2520" w:type="dxa"/>
            <w:shd w:val="clear" w:color="auto" w:fill="CCD4E5"/>
          </w:tcPr>
          <w:p w14:paraId="0000019A"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Description</w:t>
            </w:r>
          </w:p>
        </w:tc>
        <w:tc>
          <w:tcPr>
            <w:tcW w:w="6120" w:type="dxa"/>
            <w:shd w:val="clear" w:color="auto" w:fill="F2F2F2"/>
          </w:tcPr>
          <w:p w14:paraId="0000019B" w14:textId="59E37A8D" w:rsidR="00471C28" w:rsidRPr="00095583" w:rsidRDefault="00CF15C9">
            <w:pPr>
              <w:spacing w:before="60" w:after="120" w:line="288" w:lineRule="auto"/>
              <w:rPr>
                <w:rFonts w:eastAsia="Century Gothic" w:cs="Century Gothic"/>
                <w:i/>
                <w:szCs w:val="21"/>
              </w:rPr>
            </w:pPr>
            <w:r w:rsidRPr="00095583">
              <w:rPr>
                <w:rFonts w:eastAsia="Century Gothic" w:cs="Century Gothic"/>
                <w:color w:val="000000"/>
                <w:szCs w:val="21"/>
              </w:rPr>
              <w:t>Ton</w:t>
            </w:r>
            <w:r w:rsidR="00B66E89" w:rsidRPr="00095583">
              <w:rPr>
                <w:rFonts w:eastAsia="Century Gothic" w:cs="Century Gothic"/>
                <w:color w:val="000000"/>
                <w:szCs w:val="21"/>
              </w:rPr>
              <w:t>ne-</w:t>
            </w:r>
            <w:r w:rsidRPr="00095583">
              <w:rPr>
                <w:rFonts w:eastAsia="Century Gothic" w:cs="Century Gothic"/>
                <w:color w:val="000000"/>
                <w:szCs w:val="21"/>
              </w:rPr>
              <w:t>year accounting conversion</w:t>
            </w:r>
          </w:p>
        </w:tc>
      </w:tr>
      <w:tr w:rsidR="00471C28" w14:paraId="47A22D70" w14:textId="77777777" w:rsidTr="00471C28">
        <w:trPr>
          <w:trHeight w:val="360"/>
        </w:trPr>
        <w:tc>
          <w:tcPr>
            <w:tcW w:w="2520" w:type="dxa"/>
            <w:shd w:val="clear" w:color="auto" w:fill="CCD4E5"/>
          </w:tcPr>
          <w:p w14:paraId="0000019C"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Equations</w:t>
            </w:r>
          </w:p>
        </w:tc>
        <w:tc>
          <w:tcPr>
            <w:tcW w:w="6120" w:type="dxa"/>
            <w:shd w:val="clear" w:color="auto" w:fill="F2F2F2"/>
          </w:tcPr>
          <w:p w14:paraId="0000019D" w14:textId="06E152C3" w:rsidR="00471C28" w:rsidRPr="00095583" w:rsidRDefault="00CF15C9">
            <w:pPr>
              <w:spacing w:before="60" w:after="120" w:line="288" w:lineRule="auto"/>
              <w:rPr>
                <w:rFonts w:eastAsia="Century Gothic" w:cs="Century Gothic"/>
                <w:color w:val="000000"/>
                <w:szCs w:val="21"/>
              </w:rPr>
            </w:pPr>
            <w:r w:rsidRPr="00095583">
              <w:rPr>
                <w:rFonts w:eastAsia="Century Gothic" w:cs="Century Gothic"/>
                <w:szCs w:val="21"/>
              </w:rPr>
              <w:t>(Equation 1</w:t>
            </w:r>
            <w:r w:rsidR="00FE6296" w:rsidRPr="00095583">
              <w:rPr>
                <w:rFonts w:eastAsia="Century Gothic" w:cs="Century Gothic"/>
                <w:szCs w:val="21"/>
              </w:rPr>
              <w:t>2</w:t>
            </w:r>
            <w:r w:rsidRPr="00095583">
              <w:rPr>
                <w:rFonts w:eastAsia="Century Gothic" w:cs="Century Gothic"/>
                <w:szCs w:val="21"/>
              </w:rPr>
              <w:t>)</w:t>
            </w:r>
          </w:p>
        </w:tc>
      </w:tr>
      <w:tr w:rsidR="00471C28" w14:paraId="33B60531" w14:textId="77777777" w:rsidTr="00471C28">
        <w:trPr>
          <w:trHeight w:val="360"/>
        </w:trPr>
        <w:tc>
          <w:tcPr>
            <w:tcW w:w="2520" w:type="dxa"/>
            <w:shd w:val="clear" w:color="auto" w:fill="CCD4E5"/>
          </w:tcPr>
          <w:p w14:paraId="0000019E"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Source of data</w:t>
            </w:r>
          </w:p>
        </w:tc>
        <w:tc>
          <w:tcPr>
            <w:tcW w:w="6120" w:type="dxa"/>
            <w:shd w:val="clear" w:color="auto" w:fill="F2F2F2"/>
          </w:tcPr>
          <w:p w14:paraId="0000019F" w14:textId="1E764E21" w:rsidR="00471C28" w:rsidRPr="00095583" w:rsidRDefault="00737559" w:rsidP="00BD32D5">
            <w:pPr>
              <w:rPr>
                <w:rFonts w:eastAsia="Century Gothic" w:cs="Century Gothic"/>
                <w:i/>
                <w:szCs w:val="21"/>
              </w:rPr>
            </w:pPr>
            <w:r w:rsidRPr="00095583">
              <w:rPr>
                <w:rFonts w:eastAsia="Century Gothic" w:cs="Century Gothic"/>
                <w:szCs w:val="21"/>
              </w:rPr>
              <w:t xml:space="preserve">Proposed changes to VCS Program, open for public comment 7 February  </w:t>
            </w:r>
          </w:p>
        </w:tc>
      </w:tr>
      <w:tr w:rsidR="00471C28" w14:paraId="68F20B08" w14:textId="77777777" w:rsidTr="00471C28">
        <w:trPr>
          <w:trHeight w:val="360"/>
        </w:trPr>
        <w:tc>
          <w:tcPr>
            <w:tcW w:w="2520" w:type="dxa"/>
            <w:shd w:val="clear" w:color="auto" w:fill="CCD4E5"/>
          </w:tcPr>
          <w:p w14:paraId="000001A0"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Value applied</w:t>
            </w:r>
          </w:p>
        </w:tc>
        <w:tc>
          <w:tcPr>
            <w:tcW w:w="6120" w:type="dxa"/>
            <w:shd w:val="clear" w:color="auto" w:fill="F2F2F2"/>
          </w:tcPr>
          <w:p w14:paraId="000001A1" w14:textId="3BA00C53" w:rsidR="00471C28" w:rsidRPr="00095583" w:rsidRDefault="00737559">
            <w:pPr>
              <w:spacing w:before="60" w:after="120" w:line="288" w:lineRule="auto"/>
              <w:rPr>
                <w:rFonts w:eastAsia="Century Gothic" w:cs="Century Gothic"/>
                <w:szCs w:val="21"/>
              </w:rPr>
            </w:pPr>
            <w:r w:rsidRPr="00095583">
              <w:rPr>
                <w:rFonts w:eastAsia="Century Gothic" w:cs="Century Gothic"/>
                <w:szCs w:val="21"/>
              </w:rPr>
              <w:t>See Verra Standard.</w:t>
            </w:r>
          </w:p>
        </w:tc>
      </w:tr>
      <w:tr w:rsidR="00471C28" w14:paraId="289E10C4" w14:textId="77777777" w:rsidTr="00471C28">
        <w:trPr>
          <w:trHeight w:val="360"/>
        </w:trPr>
        <w:tc>
          <w:tcPr>
            <w:tcW w:w="2520" w:type="dxa"/>
            <w:shd w:val="clear" w:color="auto" w:fill="CCD4E5"/>
          </w:tcPr>
          <w:p w14:paraId="000001A2"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Justification of choice of data or description of measurement methods and procedures applied</w:t>
            </w:r>
          </w:p>
        </w:tc>
        <w:tc>
          <w:tcPr>
            <w:tcW w:w="6120" w:type="dxa"/>
            <w:shd w:val="clear" w:color="auto" w:fill="F2F2F2"/>
          </w:tcPr>
          <w:p w14:paraId="000001A3" w14:textId="1FC3E9B5" w:rsidR="00471C28" w:rsidRPr="00095583" w:rsidRDefault="00CF15C9">
            <w:pPr>
              <w:spacing w:before="60" w:after="120" w:line="288" w:lineRule="auto"/>
              <w:rPr>
                <w:rFonts w:eastAsia="Century Gothic" w:cs="Century Gothic"/>
                <w:i/>
                <w:color w:val="404040"/>
                <w:szCs w:val="21"/>
              </w:rPr>
            </w:pPr>
            <w:r w:rsidRPr="00095583">
              <w:rPr>
                <w:rFonts w:eastAsia="Century Gothic" w:cs="Century Gothic"/>
                <w:color w:val="4F5150"/>
                <w:szCs w:val="21"/>
              </w:rPr>
              <w:t>This value corresponds to the number of ton</w:t>
            </w:r>
            <w:r w:rsidR="00FE6296" w:rsidRPr="00095583">
              <w:rPr>
                <w:rFonts w:eastAsia="Century Gothic" w:cs="Century Gothic"/>
                <w:color w:val="4F5150"/>
                <w:szCs w:val="21"/>
              </w:rPr>
              <w:t>ne</w:t>
            </w:r>
            <w:r w:rsidRPr="00095583">
              <w:rPr>
                <w:rFonts w:eastAsia="Century Gothic" w:cs="Century Gothic"/>
                <w:color w:val="4F5150"/>
                <w:szCs w:val="21"/>
              </w:rPr>
              <w:t xml:space="preserve">-years required to be climatically equivalent to one permanent </w:t>
            </w:r>
            <w:proofErr w:type="gramStart"/>
            <w:r w:rsidRPr="00095583">
              <w:rPr>
                <w:rFonts w:eastAsia="Century Gothic" w:cs="Century Gothic"/>
                <w:color w:val="4F5150"/>
                <w:szCs w:val="21"/>
              </w:rPr>
              <w:t>ton</w:t>
            </w:r>
            <w:r w:rsidR="00FE6296" w:rsidRPr="00095583">
              <w:rPr>
                <w:rFonts w:eastAsia="Century Gothic" w:cs="Century Gothic"/>
                <w:color w:val="4F5150"/>
                <w:szCs w:val="21"/>
              </w:rPr>
              <w:t>ne</w:t>
            </w:r>
            <w:r w:rsidRPr="00095583">
              <w:rPr>
                <w:rFonts w:eastAsia="Century Gothic" w:cs="Century Gothic"/>
                <w:color w:val="4F5150"/>
                <w:szCs w:val="21"/>
              </w:rPr>
              <w:t>, and</w:t>
            </w:r>
            <w:proofErr w:type="gramEnd"/>
            <w:r w:rsidRPr="00095583">
              <w:rPr>
                <w:rFonts w:eastAsia="Century Gothic" w:cs="Century Gothic"/>
                <w:color w:val="4F5150"/>
                <w:szCs w:val="21"/>
              </w:rPr>
              <w:t xml:space="preserve"> will vary depending on the number of years deferral is planned. </w:t>
            </w:r>
          </w:p>
        </w:tc>
      </w:tr>
      <w:tr w:rsidR="00471C28" w14:paraId="52F60765" w14:textId="77777777" w:rsidTr="00471C28">
        <w:trPr>
          <w:trHeight w:val="360"/>
        </w:trPr>
        <w:tc>
          <w:tcPr>
            <w:tcW w:w="2520" w:type="dxa"/>
            <w:shd w:val="clear" w:color="auto" w:fill="CCD4E5"/>
          </w:tcPr>
          <w:p w14:paraId="000001A4"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 xml:space="preserve"> Purpose of Data</w:t>
            </w:r>
          </w:p>
        </w:tc>
        <w:tc>
          <w:tcPr>
            <w:tcW w:w="6120" w:type="dxa"/>
            <w:shd w:val="clear" w:color="auto" w:fill="F2F2F2"/>
          </w:tcPr>
          <w:p w14:paraId="000001A5"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000000"/>
                <w:szCs w:val="21"/>
              </w:rPr>
              <w:t>Calculation of net GHG emission reductions</w:t>
            </w:r>
            <w:r w:rsidRPr="00095583">
              <w:rPr>
                <w:rFonts w:eastAsia="Century Gothic" w:cs="Century Gothic"/>
                <w:i/>
                <w:color w:val="000000"/>
                <w:szCs w:val="21"/>
              </w:rPr>
              <w:t xml:space="preserve"> </w:t>
            </w:r>
          </w:p>
        </w:tc>
      </w:tr>
      <w:tr w:rsidR="00471C28" w14:paraId="43867F83" w14:textId="77777777" w:rsidTr="00471C28">
        <w:trPr>
          <w:trHeight w:val="360"/>
        </w:trPr>
        <w:tc>
          <w:tcPr>
            <w:tcW w:w="2520" w:type="dxa"/>
            <w:shd w:val="clear" w:color="auto" w:fill="CCD4E5"/>
          </w:tcPr>
          <w:p w14:paraId="000001A6"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Comments</w:t>
            </w:r>
          </w:p>
        </w:tc>
        <w:tc>
          <w:tcPr>
            <w:tcW w:w="6120" w:type="dxa"/>
            <w:shd w:val="clear" w:color="auto" w:fill="F2F2F2"/>
          </w:tcPr>
          <w:p w14:paraId="000001A7" w14:textId="77777777" w:rsidR="00471C28" w:rsidRPr="00095583" w:rsidRDefault="00471C28">
            <w:pPr>
              <w:spacing w:before="60" w:after="120" w:line="288" w:lineRule="auto"/>
              <w:rPr>
                <w:rFonts w:eastAsia="Century Gothic" w:cs="Century Gothic"/>
                <w:color w:val="404040"/>
                <w:szCs w:val="21"/>
              </w:rPr>
            </w:pPr>
          </w:p>
        </w:tc>
      </w:tr>
    </w:tbl>
    <w:p w14:paraId="000001A8" w14:textId="77777777" w:rsidR="00471C28" w:rsidRDefault="00471C28">
      <w:pPr>
        <w:spacing w:before="60" w:after="120"/>
        <w:rPr>
          <w:rFonts w:ascii="Century Gothic" w:eastAsia="Century Gothic" w:hAnsi="Century Gothic" w:cs="Century Gothic"/>
        </w:rPr>
      </w:pPr>
    </w:p>
    <w:p w14:paraId="000001A9" w14:textId="77777777" w:rsidR="00471C28" w:rsidRDefault="00CF15C9" w:rsidP="00095583">
      <w:pPr>
        <w:pStyle w:val="Heading2"/>
      </w:pPr>
      <w:bookmarkStart w:id="44" w:name="_Toc98322294"/>
      <w:r>
        <w:lastRenderedPageBreak/>
        <w:t>Data and Parameters Monitored</w:t>
      </w:r>
      <w:bookmarkEnd w:id="44"/>
      <w:r>
        <w:t xml:space="preserve"> </w:t>
      </w:r>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520"/>
        <w:gridCol w:w="6120"/>
      </w:tblGrid>
      <w:tr w:rsidR="00471C28" w14:paraId="102156ED" w14:textId="77777777" w:rsidTr="00471C28">
        <w:trPr>
          <w:trHeight w:val="350"/>
        </w:trPr>
        <w:tc>
          <w:tcPr>
            <w:tcW w:w="2520" w:type="dxa"/>
            <w:shd w:val="clear" w:color="auto" w:fill="CCD4E5"/>
          </w:tcPr>
          <w:p w14:paraId="000001AA"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i/>
                <w:color w:val="4F5150"/>
                <w:szCs w:val="21"/>
              </w:rPr>
              <w:br/>
            </w:r>
            <w:r w:rsidRPr="00095583">
              <w:rPr>
                <w:rFonts w:eastAsia="Century Gothic" w:cs="Century Gothic"/>
                <w:szCs w:val="21"/>
              </w:rPr>
              <w:t>Data / Parameter</w:t>
            </w:r>
          </w:p>
        </w:tc>
        <w:tc>
          <w:tcPr>
            <w:tcW w:w="6120" w:type="dxa"/>
            <w:shd w:val="clear" w:color="auto" w:fill="F2F2F2"/>
          </w:tcPr>
          <w:p w14:paraId="000001AB" w14:textId="77777777" w:rsidR="00471C28" w:rsidRPr="00095583" w:rsidRDefault="00000000">
            <w:pPr>
              <w:jc w:val="center"/>
              <w:rPr>
                <w:rFonts w:eastAsia="Cambria Math" w:cs="Cambria Math"/>
                <w:szCs w:val="21"/>
              </w:rPr>
            </w:pPr>
            <m:oMathPara>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sub>
                </m:sSub>
              </m:oMath>
            </m:oMathPara>
          </w:p>
        </w:tc>
      </w:tr>
      <w:tr w:rsidR="00471C28" w14:paraId="6A1073FF" w14:textId="77777777" w:rsidTr="00471C28">
        <w:trPr>
          <w:trHeight w:val="360"/>
        </w:trPr>
        <w:tc>
          <w:tcPr>
            <w:tcW w:w="2520" w:type="dxa"/>
            <w:shd w:val="clear" w:color="auto" w:fill="CCD4E5"/>
          </w:tcPr>
          <w:p w14:paraId="000001AC"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Data unit</w:t>
            </w:r>
          </w:p>
        </w:tc>
        <w:tc>
          <w:tcPr>
            <w:tcW w:w="6120" w:type="dxa"/>
            <w:shd w:val="clear" w:color="auto" w:fill="F2F2F2"/>
          </w:tcPr>
          <w:p w14:paraId="000001AD" w14:textId="77777777" w:rsidR="00471C28" w:rsidRPr="00095583" w:rsidRDefault="00CF15C9">
            <w:pPr>
              <w:tabs>
                <w:tab w:val="left" w:pos="2370"/>
              </w:tabs>
              <w:spacing w:before="60" w:after="120" w:line="288" w:lineRule="auto"/>
              <w:rPr>
                <w:rFonts w:eastAsia="Century Gothic" w:cs="Century Gothic"/>
                <w:color w:val="404040"/>
                <w:szCs w:val="21"/>
              </w:rPr>
            </w:pPr>
            <w:r w:rsidRPr="00095583">
              <w:rPr>
                <w:rFonts w:eastAsia="Century Gothic" w:cs="Century Gothic"/>
                <w:color w:val="000000"/>
                <w:szCs w:val="21"/>
              </w:rPr>
              <w:t>%</w:t>
            </w:r>
          </w:p>
        </w:tc>
      </w:tr>
      <w:tr w:rsidR="00471C28" w14:paraId="143EFCCB" w14:textId="77777777" w:rsidTr="00471C28">
        <w:trPr>
          <w:trHeight w:val="360"/>
        </w:trPr>
        <w:tc>
          <w:tcPr>
            <w:tcW w:w="2520" w:type="dxa"/>
            <w:shd w:val="clear" w:color="auto" w:fill="CCD4E5"/>
          </w:tcPr>
          <w:p w14:paraId="000001AE"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Description</w:t>
            </w:r>
          </w:p>
        </w:tc>
        <w:tc>
          <w:tcPr>
            <w:tcW w:w="6120" w:type="dxa"/>
            <w:shd w:val="clear" w:color="auto" w:fill="F2F2F2"/>
          </w:tcPr>
          <w:p w14:paraId="000001AF" w14:textId="77777777" w:rsidR="00471C28" w:rsidRPr="00095583" w:rsidRDefault="00CF15C9">
            <w:pPr>
              <w:spacing w:before="60" w:after="120" w:line="288" w:lineRule="auto"/>
              <w:rPr>
                <w:rFonts w:eastAsia="Century Gothic" w:cs="Century Gothic"/>
                <w:i/>
                <w:color w:val="404040"/>
                <w:szCs w:val="21"/>
              </w:rPr>
            </w:pPr>
            <w:r w:rsidRPr="00095583">
              <w:rPr>
                <w:rFonts w:eastAsia="Century Gothic" w:cs="Century Gothic"/>
                <w:szCs w:val="21"/>
              </w:rPr>
              <w:t xml:space="preserve">Fraction of total carbon contained in above ground live tree biomass removed in the baseline scenario for property </w:t>
            </w:r>
            <w:proofErr w:type="spellStart"/>
            <w:r w:rsidRPr="00095583">
              <w:rPr>
                <w:rFonts w:eastAsia="Century Gothic" w:cs="Century Gothic"/>
                <w:szCs w:val="21"/>
              </w:rPr>
              <w:t>i</w:t>
            </w:r>
            <w:proofErr w:type="spellEnd"/>
            <w:r w:rsidRPr="00095583">
              <w:rPr>
                <w:rFonts w:eastAsia="Century Gothic" w:cs="Century Gothic"/>
                <w:szCs w:val="21"/>
              </w:rPr>
              <w:t>, as determined through the procedure described in Appendix A: Baseline Common practice harvest model</w:t>
            </w:r>
          </w:p>
        </w:tc>
      </w:tr>
      <w:tr w:rsidR="00471C28" w14:paraId="4F74B496" w14:textId="77777777" w:rsidTr="00471C28">
        <w:trPr>
          <w:trHeight w:val="360"/>
        </w:trPr>
        <w:tc>
          <w:tcPr>
            <w:tcW w:w="2520" w:type="dxa"/>
            <w:shd w:val="clear" w:color="auto" w:fill="CCD4E5"/>
          </w:tcPr>
          <w:p w14:paraId="000001B0"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Equations</w:t>
            </w:r>
          </w:p>
        </w:tc>
        <w:tc>
          <w:tcPr>
            <w:tcW w:w="6120" w:type="dxa"/>
            <w:shd w:val="clear" w:color="auto" w:fill="F2F2F2"/>
          </w:tcPr>
          <w:p w14:paraId="000001B1" w14:textId="77777777" w:rsidR="00471C28" w:rsidRPr="00095583" w:rsidRDefault="00471C28">
            <w:pPr>
              <w:keepNext/>
              <w:spacing w:before="60" w:after="120"/>
              <w:rPr>
                <w:rFonts w:eastAsia="Century Gothic" w:cs="Century Gothic"/>
                <w:color w:val="595959"/>
                <w:szCs w:val="21"/>
              </w:rPr>
            </w:pPr>
          </w:p>
          <w:p w14:paraId="000001B2" w14:textId="39E99A8C"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595959"/>
                <w:szCs w:val="21"/>
              </w:rPr>
              <w:t>(</w:t>
            </w:r>
            <w:r w:rsidRPr="00095583">
              <w:rPr>
                <w:rFonts w:eastAsia="Century Gothic" w:cs="Century Gothic"/>
                <w:szCs w:val="21"/>
              </w:rPr>
              <w:t xml:space="preserve">Equation </w:t>
            </w:r>
            <w:r w:rsidR="00B711E5" w:rsidRPr="00095583">
              <w:rPr>
                <w:rFonts w:eastAsia="Century Gothic" w:cs="Century Gothic"/>
                <w:szCs w:val="21"/>
              </w:rPr>
              <w:t>1</w:t>
            </w:r>
            <w:r w:rsidRPr="00095583">
              <w:rPr>
                <w:rFonts w:eastAsia="Century Gothic" w:cs="Century Gothic"/>
                <w:color w:val="595959"/>
                <w:szCs w:val="21"/>
              </w:rPr>
              <w:t>)</w:t>
            </w:r>
          </w:p>
        </w:tc>
      </w:tr>
      <w:tr w:rsidR="00471C28" w14:paraId="4B40CB36" w14:textId="77777777" w:rsidTr="00471C28">
        <w:trPr>
          <w:trHeight w:val="360"/>
        </w:trPr>
        <w:tc>
          <w:tcPr>
            <w:tcW w:w="2520" w:type="dxa"/>
            <w:shd w:val="clear" w:color="auto" w:fill="CCD4E5"/>
          </w:tcPr>
          <w:p w14:paraId="000001B3"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Source of data</w:t>
            </w:r>
          </w:p>
        </w:tc>
        <w:tc>
          <w:tcPr>
            <w:tcW w:w="6120" w:type="dxa"/>
            <w:shd w:val="clear" w:color="auto" w:fill="F2F2F2"/>
          </w:tcPr>
          <w:p w14:paraId="000001B4" w14:textId="77777777" w:rsidR="00471C28" w:rsidRPr="00095583" w:rsidRDefault="00471C28">
            <w:pPr>
              <w:spacing w:before="60" w:after="120" w:line="288" w:lineRule="auto"/>
              <w:rPr>
                <w:rFonts w:eastAsia="Century Gothic" w:cs="Century Gothic"/>
                <w:i/>
                <w:color w:val="404040"/>
                <w:szCs w:val="21"/>
              </w:rPr>
            </w:pPr>
          </w:p>
        </w:tc>
      </w:tr>
      <w:tr w:rsidR="00471C28" w14:paraId="0FC0C5F7" w14:textId="77777777" w:rsidTr="00471C28">
        <w:trPr>
          <w:trHeight w:val="360"/>
        </w:trPr>
        <w:tc>
          <w:tcPr>
            <w:tcW w:w="2520" w:type="dxa"/>
            <w:shd w:val="clear" w:color="auto" w:fill="CCD4E5"/>
          </w:tcPr>
          <w:p w14:paraId="000001B5"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Description of measurement methods and procedures to be applied:</w:t>
            </w:r>
          </w:p>
        </w:tc>
        <w:tc>
          <w:tcPr>
            <w:tcW w:w="6120" w:type="dxa"/>
            <w:shd w:val="clear" w:color="auto" w:fill="F2F2F2"/>
          </w:tcPr>
          <w:p w14:paraId="000001B6"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szCs w:val="21"/>
              </w:rPr>
              <w:t>See Appendix A: Baseline Common practice harvest model for a detailed description of this parameter</w:t>
            </w:r>
          </w:p>
        </w:tc>
      </w:tr>
      <w:tr w:rsidR="00471C28" w14:paraId="7177450E" w14:textId="77777777" w:rsidTr="00471C28">
        <w:trPr>
          <w:trHeight w:val="360"/>
        </w:trPr>
        <w:tc>
          <w:tcPr>
            <w:tcW w:w="2520" w:type="dxa"/>
            <w:shd w:val="clear" w:color="auto" w:fill="CCD4E5"/>
          </w:tcPr>
          <w:p w14:paraId="000001B7"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 xml:space="preserve"> Purpose of Data</w:t>
            </w:r>
          </w:p>
        </w:tc>
        <w:tc>
          <w:tcPr>
            <w:tcW w:w="6120" w:type="dxa"/>
            <w:shd w:val="clear" w:color="auto" w:fill="F2F2F2"/>
          </w:tcPr>
          <w:p w14:paraId="000001B8"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000000"/>
                <w:szCs w:val="21"/>
              </w:rPr>
              <w:t>Calculation of baseline scenario</w:t>
            </w:r>
          </w:p>
        </w:tc>
      </w:tr>
      <w:tr w:rsidR="00471C28" w14:paraId="07A1305C" w14:textId="77777777" w:rsidTr="00471C28">
        <w:trPr>
          <w:trHeight w:val="360"/>
        </w:trPr>
        <w:tc>
          <w:tcPr>
            <w:tcW w:w="2520" w:type="dxa"/>
            <w:shd w:val="clear" w:color="auto" w:fill="CCD4E5"/>
          </w:tcPr>
          <w:p w14:paraId="000001B9"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Comments</w:t>
            </w:r>
          </w:p>
        </w:tc>
        <w:tc>
          <w:tcPr>
            <w:tcW w:w="6120" w:type="dxa"/>
            <w:shd w:val="clear" w:color="auto" w:fill="F2F2F2"/>
          </w:tcPr>
          <w:p w14:paraId="000001BA" w14:textId="77777777" w:rsidR="00471C28" w:rsidRPr="00095583" w:rsidRDefault="00471C28">
            <w:pPr>
              <w:spacing w:before="60" w:after="120" w:line="288" w:lineRule="auto"/>
              <w:rPr>
                <w:rFonts w:eastAsia="Century Gothic" w:cs="Century Gothic"/>
                <w:color w:val="404040"/>
                <w:szCs w:val="21"/>
              </w:rPr>
            </w:pPr>
          </w:p>
        </w:tc>
      </w:tr>
    </w:tbl>
    <w:p w14:paraId="000001BB" w14:textId="77777777" w:rsidR="00471C28" w:rsidRPr="00095583" w:rsidRDefault="00471C28">
      <w:pPr>
        <w:spacing w:before="60" w:after="120"/>
        <w:rPr>
          <w:rFonts w:eastAsia="Century Gothic" w:cs="Century Gothic"/>
          <w:szCs w:val="21"/>
        </w:rPr>
      </w:pPr>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520"/>
        <w:gridCol w:w="6120"/>
      </w:tblGrid>
      <w:tr w:rsidR="00471C28" w14:paraId="4DC90014" w14:textId="77777777" w:rsidTr="00471C28">
        <w:trPr>
          <w:trHeight w:val="360"/>
        </w:trPr>
        <w:tc>
          <w:tcPr>
            <w:tcW w:w="2520" w:type="dxa"/>
            <w:shd w:val="clear" w:color="auto" w:fill="CCD4E5"/>
          </w:tcPr>
          <w:p w14:paraId="000001BC" w14:textId="77777777" w:rsidR="00471C28" w:rsidRPr="00095583" w:rsidRDefault="00CF15C9">
            <w:pPr>
              <w:spacing w:before="60" w:after="120" w:line="288" w:lineRule="auto"/>
              <w:rPr>
                <w:rFonts w:eastAsia="Century Gothic" w:cs="Century Gothic"/>
                <w:szCs w:val="21"/>
              </w:rPr>
            </w:pPr>
            <w:bookmarkStart w:id="45" w:name="_heading=h.1pxezwc" w:colFirst="0" w:colLast="0"/>
            <w:bookmarkEnd w:id="45"/>
            <w:r w:rsidRPr="00095583">
              <w:rPr>
                <w:rFonts w:eastAsia="Century Gothic" w:cs="Century Gothic"/>
                <w:szCs w:val="21"/>
              </w:rPr>
              <w:t>Data / Parameter:</w:t>
            </w:r>
          </w:p>
        </w:tc>
        <w:tc>
          <w:tcPr>
            <w:tcW w:w="6120" w:type="dxa"/>
            <w:shd w:val="clear" w:color="auto" w:fill="F2F2F2"/>
          </w:tcPr>
          <w:p w14:paraId="000001BD" w14:textId="77777777" w:rsidR="00471C28" w:rsidRPr="00095583" w:rsidRDefault="00CF15C9">
            <w:pPr>
              <w:spacing w:before="60" w:after="120"/>
              <w:rPr>
                <w:rFonts w:eastAsia="Century Gothic" w:cs="Century Gothic"/>
                <w:szCs w:val="21"/>
              </w:rPr>
            </w:pPr>
            <w:bookmarkStart w:id="46" w:name="_heading=h.49x2ik5" w:colFirst="0" w:colLast="0"/>
            <w:bookmarkEnd w:id="46"/>
            <w:proofErr w:type="gramStart"/>
            <w:r w:rsidRPr="00095583">
              <w:rPr>
                <w:rFonts w:eastAsia="Century Gothic" w:cs="Century Gothic"/>
                <w:szCs w:val="21"/>
              </w:rPr>
              <w:t>PP</w:t>
            </w:r>
            <w:r w:rsidRPr="00095583">
              <w:rPr>
                <w:rFonts w:eastAsia="Century Gothic" w:cs="Century Gothic"/>
                <w:szCs w:val="21"/>
                <w:vertAlign w:val="subscript"/>
              </w:rPr>
              <w:t>C,t</w:t>
            </w:r>
            <w:proofErr w:type="gramEnd"/>
            <w:r w:rsidRPr="00095583">
              <w:rPr>
                <w:rFonts w:eastAsia="Century Gothic" w:cs="Century Gothic"/>
                <w:szCs w:val="21"/>
                <w:vertAlign w:val="subscript"/>
              </w:rPr>
              <w:t>0,i</w:t>
            </w:r>
            <w:r w:rsidRPr="00095583">
              <w:rPr>
                <w:rFonts w:eastAsia="Century Gothic" w:cs="Century Gothic"/>
                <w:szCs w:val="21"/>
              </w:rPr>
              <w:t xml:space="preserve"> and PP</w:t>
            </w:r>
            <w:r w:rsidRPr="00095583">
              <w:rPr>
                <w:rFonts w:eastAsia="Century Gothic" w:cs="Century Gothic"/>
                <w:szCs w:val="21"/>
                <w:vertAlign w:val="subscript"/>
              </w:rPr>
              <w:t>C,t1,i</w:t>
            </w:r>
          </w:p>
        </w:tc>
      </w:tr>
      <w:tr w:rsidR="00471C28" w14:paraId="3314E41F" w14:textId="77777777" w:rsidTr="00471C28">
        <w:trPr>
          <w:trHeight w:val="360"/>
        </w:trPr>
        <w:tc>
          <w:tcPr>
            <w:tcW w:w="2520" w:type="dxa"/>
            <w:shd w:val="clear" w:color="auto" w:fill="CCD4E5"/>
          </w:tcPr>
          <w:p w14:paraId="000001BE"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Data unit:</w:t>
            </w:r>
          </w:p>
        </w:tc>
        <w:tc>
          <w:tcPr>
            <w:tcW w:w="6120" w:type="dxa"/>
            <w:shd w:val="clear" w:color="auto" w:fill="F2F2F2"/>
          </w:tcPr>
          <w:p w14:paraId="000001BF" w14:textId="02720691" w:rsidR="00471C28" w:rsidRPr="00095583" w:rsidRDefault="00CF15C9">
            <w:pPr>
              <w:spacing w:before="60" w:after="120"/>
              <w:rPr>
                <w:rFonts w:eastAsia="Century Gothic" w:cs="Century Gothic"/>
                <w:szCs w:val="21"/>
              </w:rPr>
            </w:pPr>
            <w:r w:rsidRPr="00095583">
              <w:rPr>
                <w:rFonts w:eastAsia="Century Gothic" w:cs="Century Gothic"/>
                <w:color w:val="000000"/>
                <w:szCs w:val="21"/>
              </w:rPr>
              <w:t>tCO</w:t>
            </w:r>
            <w:r w:rsidRPr="00095583">
              <w:rPr>
                <w:rFonts w:eastAsia="Century Gothic" w:cs="Century Gothic"/>
                <w:color w:val="000000"/>
                <w:szCs w:val="21"/>
                <w:vertAlign w:val="subscript"/>
              </w:rPr>
              <w:t>2</w:t>
            </w:r>
            <w:r w:rsidRPr="00095583">
              <w:rPr>
                <w:rFonts w:eastAsia="Century Gothic" w:cs="Century Gothic"/>
                <w:color w:val="000000"/>
                <w:szCs w:val="21"/>
              </w:rPr>
              <w:t>/ha</w:t>
            </w:r>
          </w:p>
        </w:tc>
      </w:tr>
      <w:tr w:rsidR="00471C28" w14:paraId="43803F78" w14:textId="77777777" w:rsidTr="00471C28">
        <w:trPr>
          <w:trHeight w:val="360"/>
        </w:trPr>
        <w:tc>
          <w:tcPr>
            <w:tcW w:w="2520" w:type="dxa"/>
            <w:shd w:val="clear" w:color="auto" w:fill="CCD4E5"/>
          </w:tcPr>
          <w:p w14:paraId="000001C0"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Description:</w:t>
            </w:r>
          </w:p>
        </w:tc>
        <w:tc>
          <w:tcPr>
            <w:tcW w:w="6120" w:type="dxa"/>
            <w:shd w:val="clear" w:color="auto" w:fill="F2F2F2"/>
          </w:tcPr>
          <w:p w14:paraId="000001C1" w14:textId="77777777" w:rsidR="00471C28" w:rsidRPr="00095583" w:rsidRDefault="00CF15C9">
            <w:pPr>
              <w:spacing w:before="60" w:after="120"/>
              <w:rPr>
                <w:rFonts w:eastAsia="Century Gothic" w:cs="Century Gothic"/>
                <w:color w:val="000000"/>
                <w:szCs w:val="21"/>
              </w:rPr>
            </w:pPr>
            <w:r w:rsidRPr="00095583">
              <w:rPr>
                <w:rFonts w:eastAsia="Century Gothic" w:cs="Century Gothic"/>
                <w:color w:val="000000"/>
                <w:szCs w:val="21"/>
              </w:rPr>
              <w:t xml:space="preserve">Above ground live tree biomass at participating property, </w:t>
            </w:r>
            <w:proofErr w:type="spellStart"/>
            <w:r w:rsidRPr="00095583">
              <w:rPr>
                <w:rFonts w:eastAsia="Century Gothic" w:cs="Century Gothic"/>
                <w:color w:val="000000"/>
                <w:szCs w:val="21"/>
              </w:rPr>
              <w:t>i</w:t>
            </w:r>
            <w:proofErr w:type="spellEnd"/>
            <w:r w:rsidRPr="00095583">
              <w:rPr>
                <w:rFonts w:eastAsia="Century Gothic" w:cs="Century Gothic"/>
                <w:color w:val="000000"/>
                <w:szCs w:val="21"/>
              </w:rPr>
              <w:t>, at the beginning (t0) of activity period, t</w:t>
            </w:r>
            <w:r w:rsidRPr="00095583">
              <w:rPr>
                <w:rFonts w:eastAsia="Century Gothic" w:cs="Century Gothic"/>
                <w:i/>
                <w:color w:val="000000"/>
                <w:szCs w:val="21"/>
              </w:rPr>
              <w:t xml:space="preserve"> </w:t>
            </w:r>
          </w:p>
          <w:p w14:paraId="000001C2" w14:textId="77777777" w:rsidR="00471C28" w:rsidRPr="00095583" w:rsidRDefault="00471C28">
            <w:pPr>
              <w:spacing w:before="60" w:after="120"/>
              <w:rPr>
                <w:rFonts w:eastAsia="Century Gothic" w:cs="Century Gothic"/>
                <w:color w:val="000000"/>
                <w:szCs w:val="21"/>
              </w:rPr>
            </w:pPr>
          </w:p>
          <w:p w14:paraId="000001C3" w14:textId="77777777" w:rsidR="00471C28" w:rsidRPr="00095583" w:rsidRDefault="00CF15C9">
            <w:pPr>
              <w:spacing w:before="60" w:after="120"/>
              <w:rPr>
                <w:rFonts w:eastAsia="Century Gothic" w:cs="Century Gothic"/>
                <w:color w:val="000000"/>
                <w:szCs w:val="21"/>
              </w:rPr>
            </w:pPr>
            <w:r w:rsidRPr="00095583">
              <w:rPr>
                <w:rFonts w:eastAsia="Century Gothic" w:cs="Century Gothic"/>
                <w:color w:val="000000"/>
                <w:szCs w:val="21"/>
              </w:rPr>
              <w:t xml:space="preserve">And </w:t>
            </w:r>
          </w:p>
          <w:p w14:paraId="000001C4" w14:textId="77777777" w:rsidR="00471C28" w:rsidRPr="00095583" w:rsidRDefault="00471C28">
            <w:pPr>
              <w:spacing w:before="60" w:after="120"/>
              <w:rPr>
                <w:rFonts w:eastAsia="Century Gothic" w:cs="Century Gothic"/>
                <w:color w:val="000000"/>
                <w:szCs w:val="21"/>
              </w:rPr>
            </w:pPr>
          </w:p>
          <w:p w14:paraId="000001C5" w14:textId="77777777" w:rsidR="00471C28" w:rsidRPr="00095583" w:rsidRDefault="00CF15C9">
            <w:pPr>
              <w:spacing w:before="60" w:after="120"/>
              <w:rPr>
                <w:rFonts w:eastAsia="Century Gothic" w:cs="Century Gothic"/>
                <w:i/>
                <w:szCs w:val="21"/>
              </w:rPr>
            </w:pPr>
            <w:r w:rsidRPr="00095583">
              <w:rPr>
                <w:rFonts w:eastAsia="Century Gothic" w:cs="Century Gothic"/>
                <w:color w:val="000000"/>
                <w:szCs w:val="21"/>
              </w:rPr>
              <w:t xml:space="preserve">Above ground live tree biomass at participating property, </w:t>
            </w:r>
            <w:proofErr w:type="spellStart"/>
            <w:r w:rsidRPr="00095583">
              <w:rPr>
                <w:rFonts w:eastAsia="Century Gothic" w:cs="Century Gothic"/>
                <w:color w:val="000000"/>
                <w:szCs w:val="21"/>
              </w:rPr>
              <w:t>i</w:t>
            </w:r>
            <w:proofErr w:type="spellEnd"/>
            <w:r w:rsidRPr="00095583">
              <w:rPr>
                <w:rFonts w:eastAsia="Century Gothic" w:cs="Century Gothic"/>
                <w:color w:val="000000"/>
                <w:szCs w:val="21"/>
              </w:rPr>
              <w:t xml:space="preserve">, at the end (t1) of activity period, t </w:t>
            </w:r>
          </w:p>
        </w:tc>
      </w:tr>
      <w:tr w:rsidR="00471C28" w14:paraId="2A0FC001" w14:textId="77777777" w:rsidTr="00471C28">
        <w:trPr>
          <w:trHeight w:val="360"/>
        </w:trPr>
        <w:tc>
          <w:tcPr>
            <w:tcW w:w="2520" w:type="dxa"/>
            <w:shd w:val="clear" w:color="auto" w:fill="CCD4E5"/>
          </w:tcPr>
          <w:p w14:paraId="000001C6"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Equations</w:t>
            </w:r>
          </w:p>
        </w:tc>
        <w:tc>
          <w:tcPr>
            <w:tcW w:w="6120" w:type="dxa"/>
            <w:shd w:val="clear" w:color="auto" w:fill="F2F2F2"/>
          </w:tcPr>
          <w:p w14:paraId="000001C7" w14:textId="50E5F41F" w:rsidR="00471C28" w:rsidRPr="00095583" w:rsidRDefault="00CF15C9">
            <w:pPr>
              <w:spacing w:before="60" w:after="120"/>
              <w:rPr>
                <w:rFonts w:eastAsia="Century Gothic" w:cs="Century Gothic"/>
                <w:szCs w:val="21"/>
              </w:rPr>
            </w:pPr>
            <w:r w:rsidRPr="00095583">
              <w:rPr>
                <w:rFonts w:eastAsia="Century Gothic" w:cs="Century Gothic"/>
                <w:szCs w:val="21"/>
              </w:rPr>
              <w:t xml:space="preserve">(Equation </w:t>
            </w:r>
            <w:proofErr w:type="gramStart"/>
            <w:r w:rsidR="00B711E5" w:rsidRPr="00095583">
              <w:rPr>
                <w:rFonts w:eastAsia="Century Gothic" w:cs="Century Gothic"/>
                <w:szCs w:val="21"/>
              </w:rPr>
              <w:t>2</w:t>
            </w:r>
            <w:r w:rsidRPr="00095583">
              <w:rPr>
                <w:rFonts w:eastAsia="Century Gothic" w:cs="Century Gothic"/>
                <w:szCs w:val="21"/>
              </w:rPr>
              <w:t>)(</w:t>
            </w:r>
            <w:proofErr w:type="gramEnd"/>
            <w:r w:rsidRPr="00095583">
              <w:rPr>
                <w:rFonts w:eastAsia="Century Gothic" w:cs="Century Gothic"/>
                <w:szCs w:val="21"/>
              </w:rPr>
              <w:t xml:space="preserve">Equation </w:t>
            </w:r>
            <w:r w:rsidR="00B711E5" w:rsidRPr="00095583">
              <w:rPr>
                <w:rFonts w:eastAsia="Century Gothic" w:cs="Century Gothic"/>
                <w:szCs w:val="21"/>
              </w:rPr>
              <w:t>4</w:t>
            </w:r>
            <w:r w:rsidRPr="00095583">
              <w:rPr>
                <w:rFonts w:eastAsia="Century Gothic" w:cs="Century Gothic"/>
                <w:szCs w:val="21"/>
              </w:rPr>
              <w:t>)</w:t>
            </w:r>
          </w:p>
        </w:tc>
      </w:tr>
      <w:tr w:rsidR="00471C28" w14:paraId="39459EEF" w14:textId="77777777" w:rsidTr="00471C28">
        <w:trPr>
          <w:trHeight w:val="360"/>
        </w:trPr>
        <w:tc>
          <w:tcPr>
            <w:tcW w:w="2520" w:type="dxa"/>
            <w:shd w:val="clear" w:color="auto" w:fill="CCD4E5"/>
          </w:tcPr>
          <w:p w14:paraId="000001C8"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Source of data:</w:t>
            </w:r>
          </w:p>
        </w:tc>
        <w:tc>
          <w:tcPr>
            <w:tcW w:w="6120" w:type="dxa"/>
            <w:shd w:val="clear" w:color="auto" w:fill="F2F2F2"/>
          </w:tcPr>
          <w:p w14:paraId="000001C9" w14:textId="20D3299F" w:rsidR="00471C28" w:rsidRPr="00095583" w:rsidRDefault="00CF15C9">
            <w:pPr>
              <w:spacing w:before="60" w:after="120"/>
              <w:rPr>
                <w:rFonts w:eastAsia="Century Gothic" w:cs="Century Gothic"/>
                <w:szCs w:val="21"/>
              </w:rPr>
            </w:pPr>
            <w:r w:rsidRPr="00095583">
              <w:rPr>
                <w:rFonts w:eastAsia="Century Gothic" w:cs="Century Gothic"/>
                <w:szCs w:val="21"/>
              </w:rPr>
              <w:t xml:space="preserve">Field-based measurements and a spatially explicit estimate of </w:t>
            </w:r>
            <w:r w:rsidR="00EF195D" w:rsidRPr="00095583">
              <w:rPr>
                <w:rFonts w:eastAsia="Century Gothic" w:cs="Century Gothic"/>
                <w:szCs w:val="21"/>
              </w:rPr>
              <w:t xml:space="preserve">aboveground </w:t>
            </w:r>
            <w:r w:rsidRPr="00095583">
              <w:rPr>
                <w:rFonts w:eastAsia="Century Gothic" w:cs="Century Gothic"/>
                <w:szCs w:val="21"/>
              </w:rPr>
              <w:t xml:space="preserve">carbon stocks </w:t>
            </w:r>
            <w:r w:rsidR="00EF195D" w:rsidRPr="00095583">
              <w:rPr>
                <w:rFonts w:eastAsia="Century Gothic" w:cs="Century Gothic"/>
                <w:szCs w:val="21"/>
              </w:rPr>
              <w:t>in live trees</w:t>
            </w:r>
          </w:p>
        </w:tc>
      </w:tr>
      <w:tr w:rsidR="00471C28" w14:paraId="42D3C8E5" w14:textId="77777777" w:rsidTr="00471C28">
        <w:trPr>
          <w:trHeight w:val="360"/>
        </w:trPr>
        <w:tc>
          <w:tcPr>
            <w:tcW w:w="2520" w:type="dxa"/>
            <w:shd w:val="clear" w:color="auto" w:fill="CCD4E5"/>
          </w:tcPr>
          <w:p w14:paraId="000001CA"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lastRenderedPageBreak/>
              <w:t>Description of measurement methods and procedures to be applied:</w:t>
            </w:r>
          </w:p>
        </w:tc>
        <w:tc>
          <w:tcPr>
            <w:tcW w:w="6120" w:type="dxa"/>
            <w:shd w:val="clear" w:color="auto" w:fill="F2F2F2"/>
          </w:tcPr>
          <w:p w14:paraId="60C8CAA5" w14:textId="4DDF2E01" w:rsidR="00387215" w:rsidRPr="00095583" w:rsidRDefault="00CF15C9">
            <w:pPr>
              <w:spacing w:before="60" w:after="120"/>
              <w:rPr>
                <w:rFonts w:eastAsia="Century Gothic" w:cs="Century Gothic"/>
                <w:szCs w:val="21"/>
              </w:rPr>
            </w:pPr>
            <w:r w:rsidRPr="00095583">
              <w:rPr>
                <w:rFonts w:eastAsia="Century Gothic" w:cs="Century Gothic"/>
                <w:szCs w:val="21"/>
              </w:rPr>
              <w:t xml:space="preserve">Above ground live tree biomass may be quantified using a combination of remote sensing imagery and models combined with plot-based field samples. In either case, biomass must be modelled from these measurements, </w:t>
            </w:r>
            <w:proofErr w:type="gramStart"/>
            <w:r w:rsidRPr="00095583">
              <w:rPr>
                <w:rFonts w:eastAsia="Century Gothic" w:cs="Century Gothic"/>
                <w:szCs w:val="21"/>
              </w:rPr>
              <w:t>in order to</w:t>
            </w:r>
            <w:proofErr w:type="gramEnd"/>
            <w:r w:rsidRPr="00095583">
              <w:rPr>
                <w:rFonts w:eastAsia="Century Gothic" w:cs="Century Gothic"/>
                <w:szCs w:val="21"/>
              </w:rPr>
              <w:t xml:space="preserve"> propagate uncertainty from these values within estimation of project and baseline emissions as in section 8.</w:t>
            </w:r>
          </w:p>
          <w:p w14:paraId="000001CC" w14:textId="7DFF3635" w:rsidR="00471C28" w:rsidRPr="00095583" w:rsidRDefault="00387215">
            <w:pPr>
              <w:spacing w:before="60" w:after="120"/>
              <w:rPr>
                <w:rFonts w:eastAsia="Century Gothic" w:cs="Century Gothic"/>
                <w:szCs w:val="21"/>
              </w:rPr>
            </w:pPr>
            <w:r w:rsidRPr="00095583">
              <w:rPr>
                <w:rFonts w:eastAsia="Century Gothic" w:cs="Century Gothic"/>
                <w:szCs w:val="21"/>
              </w:rPr>
              <w:t>Sample sizes and stratification method</w:t>
            </w:r>
            <w:r w:rsidR="0086736D" w:rsidRPr="00095583">
              <w:rPr>
                <w:rFonts w:eastAsia="Century Gothic" w:cs="Century Gothic"/>
                <w:szCs w:val="21"/>
              </w:rPr>
              <w:t>s</w:t>
            </w:r>
            <w:r w:rsidRPr="00095583">
              <w:rPr>
                <w:rFonts w:eastAsia="Century Gothic" w:cs="Century Gothic"/>
                <w:szCs w:val="21"/>
              </w:rPr>
              <w:t xml:space="preserve"> may be determined by project developers through a combination of simulation and established statistical sampling norm</w:t>
            </w:r>
            <w:r w:rsidR="0086736D" w:rsidRPr="00095583">
              <w:rPr>
                <w:rFonts w:eastAsia="Century Gothic" w:cs="Century Gothic"/>
                <w:szCs w:val="21"/>
              </w:rPr>
              <w:t>s expected to reach the uncertainty</w:t>
            </w:r>
            <w:r w:rsidR="0031341E" w:rsidRPr="00095583">
              <w:rPr>
                <w:rFonts w:eastAsia="Century Gothic" w:cs="Century Gothic"/>
                <w:szCs w:val="21"/>
              </w:rPr>
              <w:t xml:space="preserve"> thresholds laid out in</w:t>
            </w:r>
            <w:r w:rsidRPr="00095583">
              <w:rPr>
                <w:rFonts w:eastAsia="Century Gothic" w:cs="Century Gothic"/>
                <w:szCs w:val="21"/>
              </w:rPr>
              <w:t xml:space="preserve"> </w:t>
            </w:r>
            <w:r w:rsidR="0086736D" w:rsidRPr="00095583">
              <w:rPr>
                <w:rFonts w:eastAsia="Century Gothic" w:cs="Century Gothic"/>
                <w:szCs w:val="21"/>
              </w:rPr>
              <w:t>section 8</w:t>
            </w:r>
            <w:r w:rsidR="0031341E" w:rsidRPr="00095583">
              <w:rPr>
                <w:rFonts w:eastAsia="Century Gothic" w:cs="Century Gothic"/>
                <w:szCs w:val="21"/>
              </w:rPr>
              <w:t xml:space="preserve">. </w:t>
            </w:r>
          </w:p>
          <w:p w14:paraId="000001CE" w14:textId="531393E9" w:rsidR="00471C28" w:rsidRPr="00095583" w:rsidRDefault="00CF15C9">
            <w:pPr>
              <w:spacing w:before="60" w:after="120"/>
              <w:rPr>
                <w:rFonts w:eastAsia="Century Gothic" w:cs="Century Gothic"/>
                <w:szCs w:val="21"/>
              </w:rPr>
            </w:pPr>
            <w:r w:rsidRPr="00095583">
              <w:rPr>
                <w:rFonts w:eastAsia="Century Gothic" w:cs="Century Gothic"/>
                <w:szCs w:val="21"/>
              </w:rPr>
              <w:t xml:space="preserve">The specific sampling procedures for above ground live tree biomass are not prescribed in the methodology. However, plot-based field samples must be unbiased, representative of the program area, and adhere to quality control procedures specified by the project proponent. Stratification may be employed but is not required. </w:t>
            </w:r>
          </w:p>
          <w:p w14:paraId="57F0351D" w14:textId="42DAB368" w:rsidR="003524A0" w:rsidRPr="00095583" w:rsidRDefault="00CF15C9">
            <w:pPr>
              <w:spacing w:before="60" w:after="120"/>
              <w:rPr>
                <w:rFonts w:eastAsia="Century Gothic" w:cs="Century Gothic"/>
                <w:szCs w:val="21"/>
              </w:rPr>
            </w:pPr>
            <w:r w:rsidRPr="00095583">
              <w:rPr>
                <w:rFonts w:eastAsia="Century Gothic" w:cs="Century Gothic"/>
                <w:szCs w:val="21"/>
              </w:rPr>
              <w:t>Biomass and carbon stocks are determined through design-unbiased field sampling coupled with remote sensing data to develop forest inventories at t0 (beginning of activity period) and t1 (end of activity period) to ensure precise and unbiased estimates of carbon stocks within the project instance.</w:t>
            </w:r>
          </w:p>
          <w:p w14:paraId="5879874B" w14:textId="6484F34B" w:rsidR="003524A0" w:rsidRPr="00095583" w:rsidRDefault="003524A0">
            <w:pPr>
              <w:spacing w:before="60" w:after="120"/>
              <w:rPr>
                <w:rFonts w:eastAsia="Century Gothic" w:cs="Century Gothic"/>
                <w:szCs w:val="21"/>
              </w:rPr>
            </w:pPr>
            <w:r w:rsidRPr="00095583">
              <w:rPr>
                <w:rFonts w:eastAsia="Century Gothic" w:cs="Century Gothic"/>
                <w:szCs w:val="21"/>
              </w:rPr>
              <w:t xml:space="preserve">Remote sensing data in this context may be used in two ways. First, two develop </w:t>
            </w:r>
            <w:proofErr w:type="gramStart"/>
            <w:r w:rsidRPr="00095583">
              <w:rPr>
                <w:rFonts w:eastAsia="Century Gothic" w:cs="Century Gothic"/>
                <w:szCs w:val="21"/>
              </w:rPr>
              <w:t>highly-resolved</w:t>
            </w:r>
            <w:proofErr w:type="gramEnd"/>
            <w:r w:rsidRPr="00095583">
              <w:rPr>
                <w:rFonts w:eastAsia="Century Gothic" w:cs="Century Gothic"/>
                <w:szCs w:val="21"/>
              </w:rPr>
              <w:t xml:space="preserve">, spatially explicit, wall-to-wall estimates covering all project instances (such as raster data) of biomass and carbon stocks at one or more points in time e.g., t0 and t1. In this case, the remote sensing data is an interim </w:t>
            </w:r>
            <w:proofErr w:type="gramStart"/>
            <w:r w:rsidRPr="00095583">
              <w:rPr>
                <w:rFonts w:eastAsia="Century Gothic" w:cs="Century Gothic"/>
                <w:szCs w:val="21"/>
              </w:rPr>
              <w:t>product</w:t>
            </w:r>
            <w:proofErr w:type="gramEnd"/>
            <w:r w:rsidRPr="00095583">
              <w:rPr>
                <w:rFonts w:eastAsia="Century Gothic" w:cs="Century Gothic"/>
                <w:szCs w:val="21"/>
              </w:rPr>
              <w:t xml:space="preserve"> and the key dataset is the highly-resolved estimate of biomass and carbon stocks, to be combined with field measurements to develop final estimates of biomass and carbon stocks at t0 and t1. </w:t>
            </w:r>
          </w:p>
          <w:p w14:paraId="3E56988A" w14:textId="312D7AF4" w:rsidR="003524A0" w:rsidRPr="00095583" w:rsidRDefault="003524A0">
            <w:pPr>
              <w:spacing w:before="60" w:after="120"/>
              <w:rPr>
                <w:rFonts w:eastAsia="Century Gothic" w:cs="Century Gothic"/>
                <w:szCs w:val="21"/>
              </w:rPr>
            </w:pPr>
            <w:r w:rsidRPr="00095583">
              <w:rPr>
                <w:rFonts w:eastAsia="Century Gothic" w:cs="Century Gothic"/>
                <w:szCs w:val="21"/>
              </w:rPr>
              <w:t xml:space="preserve">As stated above, field measurements and highly resolved, wall-to-wall estimates of carbon and biomass should be combined in a model framework to facilitate direct estimates of uncertainty and make uncertainty propagation possible. The model framework used should be statistically robust and clearly documented for </w:t>
            </w:r>
            <w:r w:rsidR="00D61B7E" w:rsidRPr="00095583">
              <w:rPr>
                <w:rFonts w:eastAsia="Century Gothic" w:cs="Century Gothic"/>
                <w:szCs w:val="21"/>
              </w:rPr>
              <w:t xml:space="preserve">verification and validation of the project. Model approaches for estimating t0 and t1 carbon can change throughout the project crediting </w:t>
            </w:r>
            <w:proofErr w:type="gramStart"/>
            <w:r w:rsidR="00D61B7E" w:rsidRPr="00095583">
              <w:rPr>
                <w:rFonts w:eastAsia="Century Gothic" w:cs="Century Gothic"/>
                <w:szCs w:val="21"/>
              </w:rPr>
              <w:t>period, but</w:t>
            </w:r>
            <w:proofErr w:type="gramEnd"/>
            <w:r w:rsidR="00D61B7E" w:rsidRPr="00095583">
              <w:rPr>
                <w:rFonts w:eastAsia="Century Gothic" w:cs="Century Gothic"/>
                <w:szCs w:val="21"/>
              </w:rPr>
              <w:t xml:space="preserve"> are required to </w:t>
            </w:r>
            <w:r w:rsidR="00D61B7E" w:rsidRPr="00095583">
              <w:rPr>
                <w:rFonts w:eastAsia="Century Gothic" w:cs="Century Gothic"/>
                <w:szCs w:val="21"/>
              </w:rPr>
              <w:lastRenderedPageBreak/>
              <w:t>provide robust estimates of uncertainty in the variables of interest.</w:t>
            </w:r>
          </w:p>
          <w:p w14:paraId="6BFC95FC" w14:textId="31F47F4C" w:rsidR="003524A0" w:rsidRPr="00095583" w:rsidRDefault="003524A0">
            <w:pPr>
              <w:spacing w:before="60" w:after="120"/>
              <w:rPr>
                <w:rFonts w:eastAsia="Century Gothic" w:cs="Century Gothic"/>
                <w:szCs w:val="21"/>
              </w:rPr>
            </w:pPr>
            <w:r w:rsidRPr="00095583">
              <w:rPr>
                <w:rFonts w:eastAsia="Century Gothic" w:cs="Century Gothic"/>
                <w:szCs w:val="21"/>
              </w:rPr>
              <w:t xml:space="preserve">The second application of remote sensing data under this methodology is in monitoring and detecting change to the forest condition during the activity period. Project developers have flexibility to determine what forms of remotely sensed data may be used for this </w:t>
            </w:r>
            <w:proofErr w:type="gramStart"/>
            <w:r w:rsidRPr="00095583">
              <w:rPr>
                <w:rFonts w:eastAsia="Century Gothic" w:cs="Century Gothic"/>
                <w:szCs w:val="21"/>
              </w:rPr>
              <w:t>purpose, but</w:t>
            </w:r>
            <w:proofErr w:type="gramEnd"/>
            <w:r w:rsidRPr="00095583">
              <w:rPr>
                <w:rFonts w:eastAsia="Century Gothic" w:cs="Century Gothic"/>
                <w:szCs w:val="21"/>
              </w:rPr>
              <w:t xml:space="preserve"> should clearly document through metadata and/or examples what sorts of data products are used and how they are combined with field measurements to generate estimates of forest carbon and biomass at t1.</w:t>
            </w:r>
          </w:p>
          <w:p w14:paraId="000001D0"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In the continental United States, above ground live tree biomass will be derived using the component ratio method (CRM) outlined in Woodall et al</w:t>
            </w:r>
            <w:r w:rsidRPr="00095583">
              <w:rPr>
                <w:rFonts w:eastAsia="Century Gothic" w:cs="Century Gothic"/>
                <w:color w:val="000000"/>
                <w:szCs w:val="21"/>
                <w:vertAlign w:val="superscript"/>
              </w:rPr>
              <w:footnoteReference w:id="3"/>
            </w:r>
            <w:r w:rsidRPr="00095583">
              <w:rPr>
                <w:rFonts w:eastAsia="Century Gothic" w:cs="Century Gothic"/>
                <w:color w:val="000000"/>
                <w:szCs w:val="21"/>
              </w:rPr>
              <w:t xml:space="preserve">. Under this approach, the basic steps to obtaining above ground live tree biomass and carbon for a single tree are: </w:t>
            </w:r>
          </w:p>
          <w:p w14:paraId="000001D1" w14:textId="77777777" w:rsidR="00471C28" w:rsidRPr="00095583" w:rsidRDefault="00CF15C9">
            <w:pPr>
              <w:numPr>
                <w:ilvl w:val="0"/>
                <w:numId w:val="14"/>
              </w:numPr>
              <w:spacing w:before="60" w:after="120"/>
              <w:rPr>
                <w:rFonts w:eastAsia="Century Gothic" w:cs="Century Gothic"/>
                <w:szCs w:val="21"/>
              </w:rPr>
            </w:pPr>
            <w:r w:rsidRPr="00095583">
              <w:rPr>
                <w:rFonts w:eastAsia="Century Gothic" w:cs="Century Gothic"/>
                <w:szCs w:val="21"/>
              </w:rPr>
              <w:t>Predict bole volume (m</w:t>
            </w:r>
            <w:r w:rsidRPr="00095583">
              <w:rPr>
                <w:rFonts w:eastAsia="Century Gothic" w:cs="Century Gothic"/>
                <w:szCs w:val="21"/>
                <w:vertAlign w:val="superscript"/>
              </w:rPr>
              <w:t>3</w:t>
            </w:r>
            <w:r w:rsidRPr="00095583">
              <w:rPr>
                <w:rFonts w:eastAsia="Century Gothic" w:cs="Century Gothic"/>
                <w:szCs w:val="21"/>
              </w:rPr>
              <w:t xml:space="preserve">) using tree-level (species, </w:t>
            </w:r>
            <w:proofErr w:type="spellStart"/>
            <w:r w:rsidRPr="00095583">
              <w:rPr>
                <w:rFonts w:eastAsia="Century Gothic" w:cs="Century Gothic"/>
                <w:szCs w:val="21"/>
              </w:rPr>
              <w:t>dbh</w:t>
            </w:r>
            <w:proofErr w:type="spellEnd"/>
            <w:r w:rsidRPr="00095583">
              <w:rPr>
                <w:rFonts w:eastAsia="Century Gothic" w:cs="Century Gothic"/>
                <w:szCs w:val="21"/>
              </w:rPr>
              <w:t>, total height, etc.) and potentially stand-level (basal area, etc.) variables.</w:t>
            </w:r>
          </w:p>
          <w:p w14:paraId="000001D2" w14:textId="77777777" w:rsidR="00471C28" w:rsidRPr="00095583" w:rsidRDefault="00CF15C9">
            <w:pPr>
              <w:numPr>
                <w:ilvl w:val="0"/>
                <w:numId w:val="14"/>
              </w:numPr>
              <w:spacing w:before="60" w:after="120"/>
              <w:rPr>
                <w:rFonts w:eastAsia="Century Gothic" w:cs="Century Gothic"/>
                <w:szCs w:val="21"/>
              </w:rPr>
            </w:pPr>
            <w:r w:rsidRPr="00095583">
              <w:rPr>
                <w:rFonts w:eastAsia="Century Gothic" w:cs="Century Gothic"/>
                <w:szCs w:val="21"/>
              </w:rPr>
              <w:t xml:space="preserve">Predict green wood density (GWD) using tree-level (species, functional group) and potentially environmental (climate, etc.) variables. </w:t>
            </w:r>
          </w:p>
          <w:p w14:paraId="000001D3" w14:textId="77777777" w:rsidR="00471C28" w:rsidRPr="00095583" w:rsidRDefault="00CF15C9">
            <w:pPr>
              <w:numPr>
                <w:ilvl w:val="0"/>
                <w:numId w:val="14"/>
              </w:numPr>
              <w:spacing w:before="60" w:after="120"/>
              <w:rPr>
                <w:rFonts w:eastAsia="Century Gothic" w:cs="Century Gothic"/>
                <w:szCs w:val="21"/>
              </w:rPr>
            </w:pPr>
            <w:r w:rsidRPr="00095583">
              <w:rPr>
                <w:rFonts w:eastAsia="Century Gothic" w:cs="Century Gothic"/>
                <w:szCs w:val="21"/>
              </w:rPr>
              <w:t>Estimate bole biomass (kg) as bole volume * GWD.</w:t>
            </w:r>
          </w:p>
          <w:p w14:paraId="000001D4" w14:textId="77777777" w:rsidR="00471C28" w:rsidRPr="00095583" w:rsidRDefault="00CF15C9">
            <w:pPr>
              <w:numPr>
                <w:ilvl w:val="0"/>
                <w:numId w:val="14"/>
              </w:numPr>
              <w:spacing w:before="60" w:after="120"/>
              <w:rPr>
                <w:rFonts w:eastAsia="Century Gothic" w:cs="Century Gothic"/>
                <w:szCs w:val="21"/>
              </w:rPr>
            </w:pPr>
            <w:r w:rsidRPr="00095583">
              <w:rPr>
                <w:rFonts w:eastAsia="Century Gothic" w:cs="Century Gothic"/>
                <w:szCs w:val="21"/>
              </w:rPr>
              <w:t xml:space="preserve">Estimate biomass of remaining components (stump, bark, crown) through component sub-models. </w:t>
            </w:r>
          </w:p>
          <w:p w14:paraId="000001D5" w14:textId="77777777" w:rsidR="00471C28" w:rsidRPr="00095583" w:rsidRDefault="00CF15C9">
            <w:pPr>
              <w:numPr>
                <w:ilvl w:val="0"/>
                <w:numId w:val="14"/>
              </w:numPr>
              <w:spacing w:before="60" w:after="120"/>
              <w:rPr>
                <w:rFonts w:eastAsia="Century Gothic" w:cs="Century Gothic"/>
                <w:szCs w:val="21"/>
              </w:rPr>
            </w:pPr>
            <w:r w:rsidRPr="00095583">
              <w:rPr>
                <w:rFonts w:eastAsia="Century Gothic" w:cs="Century Gothic"/>
                <w:szCs w:val="21"/>
              </w:rPr>
              <w:t>Calculate total live tree aboveground biomass as the sum of all components.</w:t>
            </w:r>
          </w:p>
          <w:p w14:paraId="000001D6" w14:textId="77777777" w:rsidR="00471C28" w:rsidRPr="00095583" w:rsidRDefault="00CF15C9">
            <w:pPr>
              <w:numPr>
                <w:ilvl w:val="0"/>
                <w:numId w:val="14"/>
              </w:numPr>
              <w:spacing w:before="60" w:after="120"/>
              <w:rPr>
                <w:rFonts w:eastAsia="Century Gothic" w:cs="Century Gothic"/>
                <w:szCs w:val="21"/>
              </w:rPr>
            </w:pPr>
            <w:r w:rsidRPr="00095583">
              <w:rPr>
                <w:rFonts w:eastAsia="Century Gothic" w:cs="Century Gothic"/>
                <w:szCs w:val="21"/>
              </w:rPr>
              <w:t xml:space="preserve">Carbon is quantified from biomass through application of a standard carbon fraction of .5 and the ratio of the molecular weight of carbon dioxide/carbon of 44/12 (or one ton of carbon =~3.67 tons of carbon dioxide). </w:t>
            </w:r>
          </w:p>
          <w:p w14:paraId="000001D7" w14:textId="77777777" w:rsidR="00471C28" w:rsidRPr="00095583" w:rsidRDefault="00CF15C9">
            <w:pPr>
              <w:numPr>
                <w:ilvl w:val="0"/>
                <w:numId w:val="15"/>
              </w:numPr>
              <w:spacing w:before="60" w:after="120"/>
              <w:rPr>
                <w:rFonts w:eastAsia="Century Gothic" w:cs="Century Gothic"/>
                <w:szCs w:val="21"/>
              </w:rPr>
            </w:pPr>
            <w:r w:rsidRPr="00095583">
              <w:rPr>
                <w:rFonts w:eastAsia="Century Gothic" w:cs="Century Gothic"/>
                <w:szCs w:val="21"/>
              </w:rPr>
              <w:t>Bole volume</w:t>
            </w:r>
          </w:p>
          <w:p w14:paraId="000001D8" w14:textId="628F908C"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The CRM uses a set of standard volume equations maintained by the</w:t>
            </w:r>
            <w:r w:rsidR="00EF195D" w:rsidRPr="00095583">
              <w:rPr>
                <w:rFonts w:eastAsia="Century Gothic" w:cs="Century Gothic"/>
                <w:color w:val="000000"/>
                <w:szCs w:val="21"/>
              </w:rPr>
              <w:t xml:space="preserve"> USFS Forest Inventory and Analysis</w:t>
            </w:r>
            <w:r w:rsidRPr="00095583">
              <w:rPr>
                <w:rFonts w:eastAsia="Century Gothic" w:cs="Century Gothic"/>
                <w:color w:val="000000"/>
                <w:szCs w:val="21"/>
              </w:rPr>
              <w:t xml:space="preserve"> </w:t>
            </w:r>
            <w:r w:rsidR="00EF195D" w:rsidRPr="00095583">
              <w:rPr>
                <w:rFonts w:eastAsia="Century Gothic" w:cs="Century Gothic"/>
                <w:color w:val="000000"/>
                <w:szCs w:val="21"/>
              </w:rPr>
              <w:t>(</w:t>
            </w:r>
            <w:r w:rsidRPr="00095583">
              <w:rPr>
                <w:rFonts w:eastAsia="Century Gothic" w:cs="Century Gothic"/>
                <w:color w:val="000000"/>
                <w:szCs w:val="21"/>
              </w:rPr>
              <w:t>FIA</w:t>
            </w:r>
            <w:r w:rsidR="00EF195D" w:rsidRPr="00095583">
              <w:rPr>
                <w:rFonts w:eastAsia="Century Gothic" w:cs="Century Gothic"/>
                <w:color w:val="000000"/>
                <w:szCs w:val="21"/>
              </w:rPr>
              <w:t>)</w:t>
            </w:r>
            <w:r w:rsidRPr="00095583">
              <w:rPr>
                <w:rFonts w:eastAsia="Century Gothic" w:cs="Century Gothic"/>
                <w:color w:val="000000"/>
                <w:szCs w:val="21"/>
              </w:rPr>
              <w:t xml:space="preserve"> program to estimate gross cubic-foot volume, and a second set of equations to </w:t>
            </w:r>
            <w:r w:rsidRPr="00095583">
              <w:rPr>
                <w:rFonts w:eastAsia="Century Gothic" w:cs="Century Gothic"/>
                <w:color w:val="000000"/>
                <w:szCs w:val="21"/>
              </w:rPr>
              <w:lastRenderedPageBreak/>
              <w:t xml:space="preserve">convert these to sound volume (volume accounting for potential loss due to damage or disease). These equations can be found in Appendix A of Woodall et al. 2011. </w:t>
            </w:r>
          </w:p>
          <w:p w14:paraId="000001D9" w14:textId="77777777" w:rsidR="00471C28" w:rsidRPr="00095583" w:rsidRDefault="00CF15C9">
            <w:pPr>
              <w:numPr>
                <w:ilvl w:val="0"/>
                <w:numId w:val="15"/>
              </w:numPr>
              <w:spacing w:before="60" w:after="120"/>
              <w:rPr>
                <w:rFonts w:eastAsia="Century Gothic" w:cs="Century Gothic"/>
                <w:szCs w:val="21"/>
              </w:rPr>
            </w:pPr>
            <w:r w:rsidRPr="00095583">
              <w:rPr>
                <w:rFonts w:eastAsia="Century Gothic" w:cs="Century Gothic"/>
                <w:szCs w:val="21"/>
              </w:rPr>
              <w:t>Bole biomass</w:t>
            </w:r>
          </w:p>
          <w:p w14:paraId="000001DA"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In the CRM, conversion from cubic-foot sound bole volume to bole biomass (lbs) is done with species-specific values of wood specific gravity (WSG) compiled by Miles and Smith (2009)</w:t>
            </w:r>
            <w:r w:rsidRPr="00095583">
              <w:rPr>
                <w:rFonts w:eastAsia="Century Gothic" w:cs="Century Gothic"/>
                <w:color w:val="000000"/>
                <w:szCs w:val="21"/>
                <w:vertAlign w:val="superscript"/>
              </w:rPr>
              <w:footnoteReference w:id="4"/>
            </w:r>
            <w:r w:rsidRPr="00095583">
              <w:rPr>
                <w:rFonts w:eastAsia="Century Gothic" w:cs="Century Gothic"/>
                <w:color w:val="000000"/>
                <w:szCs w:val="21"/>
              </w:rPr>
              <w:t xml:space="preserve">. </w:t>
            </w:r>
          </w:p>
          <w:p w14:paraId="000001DB"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Bole biomass is calculated as:</w:t>
            </w:r>
          </w:p>
          <w:p w14:paraId="000001DC"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bole wood biomass = bole volume x WSG x W</w:t>
            </w:r>
          </w:p>
          <w:p w14:paraId="000001DD"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WSG</w:t>
            </w:r>
            <w:r w:rsidRPr="00095583">
              <w:rPr>
                <w:rFonts w:eastAsia="Century Gothic" w:cs="Century Gothic"/>
                <w:b/>
                <w:color w:val="000000"/>
                <w:szCs w:val="21"/>
              </w:rPr>
              <w:t xml:space="preserve">: </w:t>
            </w:r>
            <w:r w:rsidRPr="00095583">
              <w:rPr>
                <w:rFonts w:eastAsia="Century Gothic" w:cs="Century Gothic"/>
                <w:color w:val="000000"/>
                <w:szCs w:val="21"/>
              </w:rPr>
              <w:t>oven dry mass of green wood volume</w:t>
            </w:r>
          </w:p>
          <w:p w14:paraId="000001DE"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W</w:t>
            </w:r>
            <w:r w:rsidRPr="00095583">
              <w:rPr>
                <w:rFonts w:eastAsia="Century Gothic" w:cs="Century Gothic"/>
                <w:b/>
                <w:color w:val="000000"/>
                <w:szCs w:val="21"/>
              </w:rPr>
              <w:t xml:space="preserve">: </w:t>
            </w:r>
            <w:r w:rsidRPr="00095583">
              <w:rPr>
                <w:rFonts w:eastAsia="Century Gothic" w:cs="Century Gothic"/>
                <w:color w:val="000000"/>
                <w:szCs w:val="21"/>
              </w:rPr>
              <w:t>62.4 lbs; a constant representing the weight of one cubic foot of water</w:t>
            </w:r>
          </w:p>
          <w:p w14:paraId="000001DF"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bole bark biomass = bole volume x BV% x BSG x W</w:t>
            </w:r>
          </w:p>
          <w:p w14:paraId="000001E0" w14:textId="77777777" w:rsidR="00471C28" w:rsidRPr="00095583" w:rsidRDefault="00CF15C9">
            <w:pPr>
              <w:pBdr>
                <w:top w:val="nil"/>
                <w:left w:val="nil"/>
                <w:bottom w:val="nil"/>
                <w:right w:val="nil"/>
                <w:between w:val="nil"/>
              </w:pBdr>
              <w:spacing w:before="60" w:after="120"/>
              <w:rPr>
                <w:rFonts w:eastAsia="Century Gothic" w:cs="Century Gothic"/>
                <w:b/>
                <w:color w:val="000000"/>
                <w:szCs w:val="21"/>
              </w:rPr>
            </w:pPr>
            <w:r w:rsidRPr="00095583">
              <w:rPr>
                <w:rFonts w:eastAsia="Century Gothic" w:cs="Century Gothic"/>
                <w:color w:val="000000"/>
                <w:szCs w:val="21"/>
              </w:rPr>
              <w:t>BV%: bark as a percent of volume (a species-specific constant from FIA)</w:t>
            </w:r>
          </w:p>
          <w:p w14:paraId="000001E1"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BSG</w:t>
            </w:r>
            <w:r w:rsidRPr="00095583">
              <w:rPr>
                <w:rFonts w:eastAsia="Century Gothic" w:cs="Century Gothic"/>
                <w:b/>
                <w:color w:val="000000"/>
                <w:szCs w:val="21"/>
              </w:rPr>
              <w:t xml:space="preserve">: </w:t>
            </w:r>
            <w:r w:rsidRPr="00095583">
              <w:rPr>
                <w:rFonts w:eastAsia="Century Gothic" w:cs="Century Gothic"/>
                <w:color w:val="000000"/>
                <w:szCs w:val="21"/>
              </w:rPr>
              <w:t>oven dry mass of green bark</w:t>
            </w:r>
          </w:p>
          <w:p w14:paraId="000001E2"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total bole biomass = bole wood biomass + bole bark biomass</w:t>
            </w:r>
          </w:p>
          <w:p w14:paraId="000001E3" w14:textId="77777777" w:rsidR="00471C28" w:rsidRPr="00095583" w:rsidRDefault="00CF15C9">
            <w:pPr>
              <w:numPr>
                <w:ilvl w:val="0"/>
                <w:numId w:val="15"/>
              </w:numPr>
              <w:spacing w:before="60" w:after="120"/>
              <w:rPr>
                <w:rFonts w:eastAsia="Century Gothic" w:cs="Century Gothic"/>
                <w:szCs w:val="21"/>
              </w:rPr>
            </w:pPr>
            <w:r w:rsidRPr="00095583">
              <w:rPr>
                <w:rFonts w:eastAsia="Century Gothic" w:cs="Century Gothic"/>
                <w:szCs w:val="21"/>
              </w:rPr>
              <w:t>Component biomass</w:t>
            </w:r>
          </w:p>
          <w:p w14:paraId="000001E4"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Within the CRM, the remainder of a tree's aboveground biomass is estimated as two additional components: stump and top.</w:t>
            </w:r>
          </w:p>
          <w:p w14:paraId="000001E5"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 xml:space="preserve">Stump biomass is estimated using equations from </w:t>
            </w:r>
            <w:proofErr w:type="spellStart"/>
            <w:r w:rsidRPr="00095583">
              <w:rPr>
                <w:rFonts w:eastAsia="Century Gothic" w:cs="Century Gothic"/>
                <w:color w:val="000000"/>
                <w:szCs w:val="21"/>
              </w:rPr>
              <w:t>Raile</w:t>
            </w:r>
            <w:proofErr w:type="spellEnd"/>
            <w:r w:rsidRPr="00095583">
              <w:rPr>
                <w:rFonts w:eastAsia="Century Gothic" w:cs="Century Gothic"/>
                <w:color w:val="000000"/>
                <w:szCs w:val="21"/>
              </w:rPr>
              <w:t xml:space="preserve"> (1982)</w:t>
            </w:r>
            <w:r w:rsidRPr="00095583">
              <w:rPr>
                <w:rFonts w:eastAsia="Century Gothic" w:cs="Century Gothic"/>
                <w:color w:val="000000"/>
                <w:szCs w:val="21"/>
                <w:vertAlign w:val="superscript"/>
              </w:rPr>
              <w:footnoteReference w:id="5"/>
            </w:r>
            <w:r w:rsidRPr="00095583">
              <w:rPr>
                <w:rFonts w:eastAsia="Century Gothic" w:cs="Century Gothic"/>
                <w:color w:val="000000"/>
                <w:szCs w:val="21"/>
              </w:rPr>
              <w:t xml:space="preserve">. The procedure is </w:t>
            </w:r>
            <w:proofErr w:type="gramStart"/>
            <w:r w:rsidRPr="00095583">
              <w:rPr>
                <w:rFonts w:eastAsia="Century Gothic" w:cs="Century Gothic"/>
                <w:color w:val="000000"/>
                <w:szCs w:val="21"/>
              </w:rPr>
              <w:t>similar to</w:t>
            </w:r>
            <w:proofErr w:type="gramEnd"/>
            <w:r w:rsidRPr="00095583">
              <w:rPr>
                <w:rFonts w:eastAsia="Century Gothic" w:cs="Century Gothic"/>
                <w:color w:val="000000"/>
                <w:szCs w:val="21"/>
              </w:rPr>
              <w:t xml:space="preserve"> the estimation of bole biomass: </w:t>
            </w:r>
          </w:p>
          <w:p w14:paraId="000001E6" w14:textId="77777777" w:rsidR="00471C28" w:rsidRPr="00095583" w:rsidRDefault="00CF15C9">
            <w:pPr>
              <w:numPr>
                <w:ilvl w:val="0"/>
                <w:numId w:val="2"/>
              </w:numPr>
              <w:spacing w:before="60" w:after="120"/>
              <w:rPr>
                <w:rFonts w:eastAsia="Century Gothic" w:cs="Century Gothic"/>
                <w:szCs w:val="21"/>
              </w:rPr>
            </w:pPr>
            <w:r w:rsidRPr="00095583">
              <w:rPr>
                <w:rFonts w:eastAsia="Century Gothic" w:cs="Century Gothic"/>
                <w:szCs w:val="21"/>
              </w:rPr>
              <w:t xml:space="preserve">Estimate stump volume with </w:t>
            </w:r>
            <w:proofErr w:type="spellStart"/>
            <w:r w:rsidRPr="00095583">
              <w:rPr>
                <w:rFonts w:eastAsia="Century Gothic" w:cs="Century Gothic"/>
                <w:szCs w:val="21"/>
              </w:rPr>
              <w:t>Raile's</w:t>
            </w:r>
            <w:proofErr w:type="spellEnd"/>
            <w:r w:rsidRPr="00095583">
              <w:rPr>
                <w:rFonts w:eastAsia="Century Gothic" w:cs="Century Gothic"/>
                <w:szCs w:val="21"/>
              </w:rPr>
              <w:t xml:space="preserve"> equation (eqn. 5 in Woodall et al. 2011).</w:t>
            </w:r>
          </w:p>
          <w:p w14:paraId="000001E7" w14:textId="77777777" w:rsidR="00471C28" w:rsidRPr="00095583" w:rsidRDefault="00CF15C9">
            <w:pPr>
              <w:numPr>
                <w:ilvl w:val="0"/>
                <w:numId w:val="2"/>
              </w:numPr>
              <w:spacing w:before="60" w:after="120"/>
              <w:rPr>
                <w:rFonts w:eastAsia="Century Gothic" w:cs="Century Gothic"/>
                <w:szCs w:val="21"/>
              </w:rPr>
            </w:pPr>
            <w:r w:rsidRPr="00095583">
              <w:rPr>
                <w:rFonts w:eastAsia="Century Gothic" w:cs="Century Gothic"/>
                <w:szCs w:val="21"/>
              </w:rPr>
              <w:t xml:space="preserve">Calculate stump wood biomass using the same procedure applied to the </w:t>
            </w:r>
            <w:proofErr w:type="spellStart"/>
            <w:r w:rsidRPr="00095583">
              <w:rPr>
                <w:rFonts w:eastAsia="Century Gothic" w:cs="Century Gothic"/>
                <w:szCs w:val="21"/>
              </w:rPr>
              <w:t>bole</w:t>
            </w:r>
            <w:proofErr w:type="spellEnd"/>
            <w:r w:rsidRPr="00095583">
              <w:rPr>
                <w:rFonts w:eastAsia="Century Gothic" w:cs="Century Gothic"/>
                <w:szCs w:val="21"/>
              </w:rPr>
              <w:t>.</w:t>
            </w:r>
          </w:p>
          <w:p w14:paraId="000001E8" w14:textId="77777777" w:rsidR="00471C28" w:rsidRPr="00095583" w:rsidRDefault="00CF15C9">
            <w:pPr>
              <w:numPr>
                <w:ilvl w:val="0"/>
                <w:numId w:val="2"/>
              </w:numPr>
              <w:spacing w:before="60" w:after="120"/>
              <w:rPr>
                <w:rFonts w:eastAsia="Century Gothic" w:cs="Century Gothic"/>
                <w:szCs w:val="21"/>
              </w:rPr>
            </w:pPr>
            <w:r w:rsidRPr="00095583">
              <w:rPr>
                <w:rFonts w:eastAsia="Century Gothic" w:cs="Century Gothic"/>
                <w:szCs w:val="21"/>
              </w:rPr>
              <w:t>Calculate stump bark biomass as a proportion of wood biomass.</w:t>
            </w:r>
          </w:p>
          <w:p w14:paraId="000001E9" w14:textId="77777777" w:rsidR="00471C28" w:rsidRPr="00095583" w:rsidRDefault="00CF15C9">
            <w:pPr>
              <w:numPr>
                <w:ilvl w:val="0"/>
                <w:numId w:val="2"/>
              </w:numPr>
              <w:spacing w:before="60" w:after="120"/>
              <w:rPr>
                <w:rFonts w:eastAsia="Century Gothic" w:cs="Century Gothic"/>
                <w:szCs w:val="21"/>
              </w:rPr>
            </w:pPr>
            <w:r w:rsidRPr="00095583">
              <w:rPr>
                <w:rFonts w:eastAsia="Century Gothic" w:cs="Century Gothic"/>
                <w:szCs w:val="21"/>
              </w:rPr>
              <w:t xml:space="preserve">Calculate total stump biomass as the sum of stump wood and bark biomass. </w:t>
            </w:r>
          </w:p>
          <w:p w14:paraId="000001EA"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lastRenderedPageBreak/>
              <w:t>Top biomass is estimated with an indirect procedure:</w:t>
            </w:r>
          </w:p>
          <w:p w14:paraId="000001EB" w14:textId="77777777" w:rsidR="00471C28" w:rsidRPr="00095583" w:rsidRDefault="00CF15C9">
            <w:pPr>
              <w:numPr>
                <w:ilvl w:val="0"/>
                <w:numId w:val="3"/>
              </w:numPr>
              <w:spacing w:before="60" w:after="120"/>
              <w:rPr>
                <w:rFonts w:eastAsia="Century Gothic" w:cs="Century Gothic"/>
                <w:szCs w:val="21"/>
              </w:rPr>
            </w:pPr>
            <w:r w:rsidRPr="00095583">
              <w:rPr>
                <w:rFonts w:eastAsia="Century Gothic" w:cs="Century Gothic"/>
                <w:szCs w:val="21"/>
              </w:rPr>
              <w:t>Estimate total aboveground biomass (TAB) with equations from Jenkins et al. (2004)</w:t>
            </w:r>
            <w:r w:rsidRPr="00095583">
              <w:rPr>
                <w:rFonts w:eastAsia="Century Gothic" w:cs="Century Gothic"/>
                <w:szCs w:val="21"/>
                <w:vertAlign w:val="superscript"/>
              </w:rPr>
              <w:footnoteReference w:id="6"/>
            </w:r>
            <w:r w:rsidRPr="00095583">
              <w:rPr>
                <w:rFonts w:eastAsia="Century Gothic" w:cs="Century Gothic"/>
                <w:szCs w:val="21"/>
              </w:rPr>
              <w:t>.</w:t>
            </w:r>
          </w:p>
          <w:p w14:paraId="000001EC" w14:textId="77777777" w:rsidR="00471C28" w:rsidRPr="00095583" w:rsidRDefault="00CF15C9">
            <w:pPr>
              <w:numPr>
                <w:ilvl w:val="0"/>
                <w:numId w:val="3"/>
              </w:numPr>
              <w:spacing w:before="60" w:after="120"/>
              <w:rPr>
                <w:rFonts w:eastAsia="Century Gothic" w:cs="Century Gothic"/>
                <w:szCs w:val="21"/>
              </w:rPr>
            </w:pPr>
            <w:r w:rsidRPr="00095583">
              <w:rPr>
                <w:rFonts w:eastAsia="Century Gothic" w:cs="Century Gothic"/>
                <w:szCs w:val="21"/>
              </w:rPr>
              <w:t>Estimate stem (MST) and foliage biomass (FOL) via Jenkins et al. (2004).</w:t>
            </w:r>
          </w:p>
          <w:p w14:paraId="000001ED" w14:textId="77777777" w:rsidR="00471C28" w:rsidRPr="00095583" w:rsidRDefault="00CF15C9">
            <w:pPr>
              <w:numPr>
                <w:ilvl w:val="0"/>
                <w:numId w:val="3"/>
              </w:numPr>
              <w:spacing w:before="60" w:after="120"/>
              <w:rPr>
                <w:rFonts w:eastAsia="Century Gothic" w:cs="Century Gothic"/>
                <w:szCs w:val="21"/>
              </w:rPr>
            </w:pPr>
            <w:r w:rsidRPr="00095583">
              <w:rPr>
                <w:rFonts w:eastAsia="Century Gothic" w:cs="Century Gothic"/>
                <w:szCs w:val="21"/>
              </w:rPr>
              <w:t xml:space="preserve">Estimate stump biomass using </w:t>
            </w:r>
            <w:proofErr w:type="spellStart"/>
            <w:r w:rsidRPr="00095583">
              <w:rPr>
                <w:rFonts w:eastAsia="Century Gothic" w:cs="Century Gothic"/>
                <w:szCs w:val="21"/>
              </w:rPr>
              <w:t>Raile</w:t>
            </w:r>
            <w:proofErr w:type="spellEnd"/>
            <w:r w:rsidRPr="00095583">
              <w:rPr>
                <w:rFonts w:eastAsia="Century Gothic" w:cs="Century Gothic"/>
                <w:szCs w:val="21"/>
              </w:rPr>
              <w:t xml:space="preserve"> (STP).</w:t>
            </w:r>
          </w:p>
          <w:p w14:paraId="000001EE" w14:textId="77777777" w:rsidR="00471C28" w:rsidRPr="00095583" w:rsidRDefault="00CF15C9">
            <w:pPr>
              <w:numPr>
                <w:ilvl w:val="0"/>
                <w:numId w:val="3"/>
              </w:numPr>
              <w:spacing w:before="60" w:after="120"/>
              <w:rPr>
                <w:rFonts w:eastAsia="Century Gothic" w:cs="Century Gothic"/>
                <w:szCs w:val="21"/>
              </w:rPr>
            </w:pPr>
            <w:r w:rsidRPr="00095583">
              <w:rPr>
                <w:rFonts w:eastAsia="Century Gothic" w:cs="Century Gothic"/>
                <w:szCs w:val="21"/>
              </w:rPr>
              <w:t>Estimate top biomass as TOP = TAB - MST - FOL - STP</w:t>
            </w:r>
          </w:p>
          <w:p w14:paraId="000001EF"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Before computing CRM total aboveground biomass, stump and top biomass are corrected using the following adjustment factor:</w:t>
            </w:r>
          </w:p>
          <w:p w14:paraId="000001F0"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proofErr w:type="spellStart"/>
            <w:r w:rsidRPr="00095583">
              <w:rPr>
                <w:rFonts w:eastAsia="Century Gothic" w:cs="Century Gothic"/>
                <w:color w:val="000000"/>
                <w:szCs w:val="21"/>
              </w:rPr>
              <w:t>adj</w:t>
            </w:r>
            <w:proofErr w:type="spellEnd"/>
            <w:r w:rsidRPr="00095583">
              <w:rPr>
                <w:rFonts w:eastAsia="Century Gothic" w:cs="Century Gothic"/>
                <w:color w:val="000000"/>
                <w:szCs w:val="21"/>
              </w:rPr>
              <w:t xml:space="preserve"> = bole biomass estimated from CRM / bole biomass estimated with Jenkins et al. approach</w:t>
            </w:r>
          </w:p>
          <w:p w14:paraId="000001F1"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 xml:space="preserve">The Jenkins et al. (2004) paper consists of allometric equations for direct estimation of total biomass and components based on </w:t>
            </w:r>
            <w:proofErr w:type="spellStart"/>
            <w:r w:rsidRPr="00095583">
              <w:rPr>
                <w:rFonts w:eastAsia="Century Gothic" w:cs="Century Gothic"/>
                <w:color w:val="000000"/>
                <w:szCs w:val="21"/>
              </w:rPr>
              <w:t>dbh</w:t>
            </w:r>
            <w:proofErr w:type="spellEnd"/>
            <w:r w:rsidRPr="00095583">
              <w:rPr>
                <w:rFonts w:eastAsia="Century Gothic" w:cs="Century Gothic"/>
                <w:color w:val="000000"/>
                <w:szCs w:val="21"/>
              </w:rPr>
              <w:t xml:space="preserve"> and species group. FIA uses some of these equations within the CRM as described above.  </w:t>
            </w:r>
          </w:p>
          <w:p w14:paraId="000001F2" w14:textId="77777777" w:rsidR="00471C28" w:rsidRPr="00095583" w:rsidRDefault="00CF15C9">
            <w:pPr>
              <w:numPr>
                <w:ilvl w:val="0"/>
                <w:numId w:val="12"/>
              </w:numPr>
              <w:spacing w:before="60" w:after="120"/>
              <w:rPr>
                <w:rFonts w:eastAsia="Century Gothic" w:cs="Century Gothic"/>
                <w:szCs w:val="21"/>
              </w:rPr>
            </w:pPr>
            <w:r w:rsidRPr="00095583">
              <w:rPr>
                <w:rFonts w:eastAsia="Century Gothic" w:cs="Century Gothic"/>
                <w:szCs w:val="21"/>
              </w:rPr>
              <w:t>Total aboveground biomass</w:t>
            </w:r>
          </w:p>
          <w:p w14:paraId="000001F3"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Once the biomass of all components has been estimated, total aboveground biomass is calculated as:</w:t>
            </w:r>
          </w:p>
          <w:p w14:paraId="000001F4" w14:textId="77777777"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total aboveground biomass = bole biomass + stump biomass + top biomass</w:t>
            </w:r>
          </w:p>
          <w:p w14:paraId="000001F5" w14:textId="77777777" w:rsidR="00471C28" w:rsidRPr="00095583" w:rsidRDefault="00CF15C9">
            <w:pPr>
              <w:numPr>
                <w:ilvl w:val="0"/>
                <w:numId w:val="12"/>
              </w:numPr>
              <w:spacing w:before="60" w:after="120"/>
              <w:rPr>
                <w:rFonts w:eastAsia="Century Gothic" w:cs="Century Gothic"/>
                <w:szCs w:val="21"/>
              </w:rPr>
            </w:pPr>
            <w:r w:rsidRPr="00095583">
              <w:rPr>
                <w:rFonts w:eastAsia="Century Gothic" w:cs="Century Gothic"/>
                <w:szCs w:val="21"/>
              </w:rPr>
              <w:t>Biomass of saplings</w:t>
            </w:r>
          </w:p>
          <w:p w14:paraId="000001F6" w14:textId="3B73291E" w:rsidR="00471C28" w:rsidRPr="00095583" w:rsidRDefault="00CF15C9">
            <w:pPr>
              <w:pBdr>
                <w:top w:val="nil"/>
                <w:left w:val="nil"/>
                <w:bottom w:val="nil"/>
                <w:right w:val="nil"/>
                <w:between w:val="nil"/>
              </w:pBdr>
              <w:spacing w:before="60" w:after="120"/>
              <w:rPr>
                <w:rFonts w:eastAsia="Century Gothic" w:cs="Century Gothic"/>
                <w:color w:val="000000"/>
                <w:szCs w:val="21"/>
              </w:rPr>
            </w:pPr>
            <w:r w:rsidRPr="00095583">
              <w:rPr>
                <w:rFonts w:eastAsia="Century Gothic" w:cs="Century Gothic"/>
                <w:color w:val="000000"/>
                <w:szCs w:val="21"/>
              </w:rPr>
              <w:t xml:space="preserve">For trees &lt; 5" </w:t>
            </w:r>
            <w:proofErr w:type="spellStart"/>
            <w:r w:rsidRPr="00095583">
              <w:rPr>
                <w:rFonts w:eastAsia="Century Gothic" w:cs="Century Gothic"/>
                <w:color w:val="000000"/>
                <w:szCs w:val="21"/>
              </w:rPr>
              <w:t>dbh</w:t>
            </w:r>
            <w:proofErr w:type="spellEnd"/>
            <w:r w:rsidR="00C722CF" w:rsidRPr="00095583">
              <w:rPr>
                <w:rFonts w:eastAsia="Century Gothic" w:cs="Century Gothic"/>
                <w:color w:val="000000"/>
                <w:szCs w:val="21"/>
              </w:rPr>
              <w:t xml:space="preserve"> (diameter at breast height)</w:t>
            </w:r>
            <w:r w:rsidRPr="00095583">
              <w:rPr>
                <w:rFonts w:eastAsia="Century Gothic" w:cs="Century Gothic"/>
                <w:color w:val="000000"/>
                <w:szCs w:val="21"/>
              </w:rPr>
              <w:t>, total aboveground biomass is predicted directly using allometric models described by Jenkins et al. (2004), then applying a sapling adjustment factor (Heath et al. 2009)</w:t>
            </w:r>
            <w:r w:rsidRPr="00095583">
              <w:rPr>
                <w:rFonts w:eastAsia="Century Gothic" w:cs="Century Gothic"/>
                <w:color w:val="000000"/>
                <w:szCs w:val="21"/>
                <w:vertAlign w:val="superscript"/>
              </w:rPr>
              <w:footnoteReference w:id="7"/>
            </w:r>
            <w:r w:rsidRPr="00095583">
              <w:rPr>
                <w:rFonts w:eastAsia="Century Gothic" w:cs="Century Gothic"/>
                <w:color w:val="000000"/>
                <w:szCs w:val="21"/>
              </w:rPr>
              <w:t xml:space="preserve"> to align these predictions with the CRM. </w:t>
            </w:r>
          </w:p>
        </w:tc>
      </w:tr>
      <w:tr w:rsidR="00471C28" w14:paraId="51CED38E" w14:textId="77777777" w:rsidTr="00471C28">
        <w:trPr>
          <w:trHeight w:val="360"/>
        </w:trPr>
        <w:tc>
          <w:tcPr>
            <w:tcW w:w="2520" w:type="dxa"/>
            <w:shd w:val="clear" w:color="auto" w:fill="CCD4E5"/>
          </w:tcPr>
          <w:p w14:paraId="000001F7"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lastRenderedPageBreak/>
              <w:t>Frequency of monitoring/recording:</w:t>
            </w:r>
          </w:p>
        </w:tc>
        <w:tc>
          <w:tcPr>
            <w:tcW w:w="6120" w:type="dxa"/>
            <w:shd w:val="clear" w:color="auto" w:fill="F2F2F2"/>
          </w:tcPr>
          <w:p w14:paraId="000001F8" w14:textId="77777777" w:rsidR="00471C28" w:rsidRPr="00095583" w:rsidRDefault="00CF15C9">
            <w:pPr>
              <w:spacing w:before="60" w:after="120"/>
              <w:rPr>
                <w:rFonts w:eastAsia="Century Gothic" w:cs="Century Gothic"/>
                <w:szCs w:val="21"/>
              </w:rPr>
            </w:pPr>
            <w:r w:rsidRPr="00095583">
              <w:rPr>
                <w:rFonts w:eastAsia="Century Gothic" w:cs="Century Gothic"/>
                <w:szCs w:val="21"/>
              </w:rPr>
              <w:t xml:space="preserve">For each activity period: </w:t>
            </w:r>
          </w:p>
          <w:p w14:paraId="000001FA" w14:textId="09889FD5" w:rsidR="00471C28" w:rsidRPr="00095583" w:rsidRDefault="00CF15C9">
            <w:pPr>
              <w:spacing w:before="60" w:after="120"/>
              <w:rPr>
                <w:rFonts w:eastAsia="Century Gothic" w:cs="Century Gothic"/>
                <w:szCs w:val="21"/>
              </w:rPr>
            </w:pPr>
            <w:r w:rsidRPr="00095583">
              <w:rPr>
                <w:rFonts w:eastAsia="Century Gothic" w:cs="Century Gothic"/>
                <w:szCs w:val="21"/>
              </w:rPr>
              <w:t xml:space="preserve">Field-based sampling measurements for parameter, </w:t>
            </w:r>
            <w:proofErr w:type="gramStart"/>
            <w:r w:rsidRPr="00095583">
              <w:rPr>
                <w:rFonts w:eastAsia="Century Gothic" w:cs="Century Gothic"/>
                <w:szCs w:val="21"/>
              </w:rPr>
              <w:t>PP</w:t>
            </w:r>
            <w:r w:rsidRPr="00095583">
              <w:rPr>
                <w:rFonts w:eastAsia="Century Gothic" w:cs="Century Gothic"/>
                <w:szCs w:val="21"/>
                <w:vertAlign w:val="subscript"/>
              </w:rPr>
              <w:t>C,t</w:t>
            </w:r>
            <w:proofErr w:type="gramEnd"/>
            <w:r w:rsidRPr="00095583">
              <w:rPr>
                <w:rFonts w:eastAsia="Century Gothic" w:cs="Century Gothic"/>
                <w:szCs w:val="21"/>
                <w:vertAlign w:val="subscript"/>
              </w:rPr>
              <w:t xml:space="preserve">0,i </w:t>
            </w:r>
            <w:r w:rsidRPr="00095583">
              <w:rPr>
                <w:rFonts w:eastAsia="Century Gothic" w:cs="Century Gothic"/>
                <w:szCs w:val="21"/>
              </w:rPr>
              <w:t xml:space="preserve">must be taken no more than 2 months prior to or no more than 2 months after the start of the activity period. </w:t>
            </w:r>
          </w:p>
          <w:p w14:paraId="000001FC" w14:textId="1B883292" w:rsidR="00471C28" w:rsidRPr="00095583" w:rsidRDefault="00CF15C9">
            <w:pPr>
              <w:spacing w:before="60" w:after="120"/>
              <w:rPr>
                <w:rFonts w:eastAsia="Century Gothic" w:cs="Century Gothic"/>
                <w:szCs w:val="21"/>
              </w:rPr>
            </w:pPr>
            <w:r w:rsidRPr="00095583">
              <w:rPr>
                <w:rFonts w:eastAsia="Century Gothic" w:cs="Century Gothic"/>
                <w:szCs w:val="21"/>
              </w:rPr>
              <w:lastRenderedPageBreak/>
              <w:t xml:space="preserve">Field-based sampling measurements for parameter, </w:t>
            </w:r>
            <w:proofErr w:type="gramStart"/>
            <w:r w:rsidRPr="00095583">
              <w:rPr>
                <w:rFonts w:eastAsia="Century Gothic" w:cs="Century Gothic"/>
                <w:szCs w:val="21"/>
              </w:rPr>
              <w:t>PP</w:t>
            </w:r>
            <w:r w:rsidRPr="00095583">
              <w:rPr>
                <w:rFonts w:eastAsia="Century Gothic" w:cs="Century Gothic"/>
                <w:szCs w:val="21"/>
                <w:vertAlign w:val="subscript"/>
              </w:rPr>
              <w:t>C,t</w:t>
            </w:r>
            <w:proofErr w:type="gramEnd"/>
            <w:r w:rsidRPr="00095583">
              <w:rPr>
                <w:rFonts w:eastAsia="Century Gothic" w:cs="Century Gothic"/>
                <w:szCs w:val="21"/>
                <w:vertAlign w:val="subscript"/>
              </w:rPr>
              <w:t xml:space="preserve">1,i </w:t>
            </w:r>
            <w:r w:rsidRPr="00095583">
              <w:rPr>
                <w:rFonts w:eastAsia="Century Gothic" w:cs="Century Gothic"/>
                <w:szCs w:val="21"/>
              </w:rPr>
              <w:t xml:space="preserve">must be taken no more than 2 months prior to or no more than 2 months after the end of the activity period. </w:t>
            </w:r>
          </w:p>
          <w:p w14:paraId="000001FF" w14:textId="3B5A7B71" w:rsidR="00471C28" w:rsidRPr="00095583" w:rsidRDefault="00CF15C9">
            <w:pPr>
              <w:spacing w:before="60" w:after="120"/>
              <w:rPr>
                <w:rFonts w:eastAsia="Century Gothic" w:cs="Century Gothic"/>
                <w:szCs w:val="21"/>
              </w:rPr>
            </w:pPr>
            <w:r w:rsidRPr="00095583">
              <w:rPr>
                <w:rFonts w:eastAsia="Century Gothic" w:cs="Century Gothic"/>
                <w:szCs w:val="21"/>
              </w:rPr>
              <w:t xml:space="preserve">In cases where field conditions or force majeure events delay access to measurement locations within the stated </w:t>
            </w:r>
            <w:proofErr w:type="gramStart"/>
            <w:r w:rsidRPr="00095583">
              <w:rPr>
                <w:rFonts w:eastAsia="Century Gothic" w:cs="Century Gothic"/>
                <w:szCs w:val="21"/>
              </w:rPr>
              <w:t>time period</w:t>
            </w:r>
            <w:proofErr w:type="gramEnd"/>
            <w:r w:rsidRPr="00095583">
              <w:rPr>
                <w:rFonts w:eastAsia="Century Gothic" w:cs="Century Gothic"/>
                <w:szCs w:val="21"/>
              </w:rPr>
              <w:t>(s), delayed measurements are permitted if and only if transparent and reasonable methods are employed to adjust the measurements to account for the delay.</w:t>
            </w:r>
          </w:p>
        </w:tc>
      </w:tr>
      <w:tr w:rsidR="00471C28" w14:paraId="0696CAAD" w14:textId="77777777" w:rsidTr="00471C28">
        <w:trPr>
          <w:trHeight w:val="360"/>
        </w:trPr>
        <w:tc>
          <w:tcPr>
            <w:tcW w:w="2520" w:type="dxa"/>
            <w:shd w:val="clear" w:color="auto" w:fill="CCD4E5"/>
          </w:tcPr>
          <w:p w14:paraId="00000200"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lastRenderedPageBreak/>
              <w:t>QA/QC procedures to be applied:</w:t>
            </w:r>
          </w:p>
        </w:tc>
        <w:tc>
          <w:tcPr>
            <w:tcW w:w="6120" w:type="dxa"/>
            <w:shd w:val="clear" w:color="auto" w:fill="F2F2F2"/>
          </w:tcPr>
          <w:p w14:paraId="00000201" w14:textId="77777777" w:rsidR="00471C28" w:rsidRPr="00095583" w:rsidRDefault="00471C28">
            <w:pPr>
              <w:spacing w:before="60" w:after="120"/>
              <w:rPr>
                <w:rFonts w:eastAsia="Century Gothic" w:cs="Century Gothic"/>
                <w:color w:val="404040"/>
                <w:szCs w:val="21"/>
              </w:rPr>
            </w:pPr>
          </w:p>
        </w:tc>
      </w:tr>
      <w:tr w:rsidR="00471C28" w14:paraId="61EA0B63" w14:textId="77777777" w:rsidTr="00471C28">
        <w:trPr>
          <w:trHeight w:val="360"/>
        </w:trPr>
        <w:tc>
          <w:tcPr>
            <w:tcW w:w="2520" w:type="dxa"/>
            <w:shd w:val="clear" w:color="auto" w:fill="CCD4E5"/>
          </w:tcPr>
          <w:p w14:paraId="00000202"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Purpose of data:</w:t>
            </w:r>
          </w:p>
        </w:tc>
        <w:tc>
          <w:tcPr>
            <w:tcW w:w="6120" w:type="dxa"/>
            <w:shd w:val="clear" w:color="auto" w:fill="F2F2F2"/>
          </w:tcPr>
          <w:p w14:paraId="00000203" w14:textId="77777777" w:rsidR="00471C28" w:rsidRPr="00095583" w:rsidRDefault="00CF15C9">
            <w:pPr>
              <w:spacing w:before="60" w:after="120"/>
              <w:rPr>
                <w:rFonts w:eastAsia="Century Gothic" w:cs="Century Gothic"/>
                <w:color w:val="404040"/>
                <w:szCs w:val="21"/>
              </w:rPr>
            </w:pPr>
            <w:r w:rsidRPr="00095583">
              <w:rPr>
                <w:rFonts w:eastAsia="Century Gothic" w:cs="Century Gothic"/>
                <w:szCs w:val="21"/>
              </w:rPr>
              <w:t xml:space="preserve">Used to quantify baseline and project emissions  </w:t>
            </w:r>
          </w:p>
        </w:tc>
      </w:tr>
      <w:tr w:rsidR="00471C28" w14:paraId="6AC3CC2C" w14:textId="77777777" w:rsidTr="00471C28">
        <w:trPr>
          <w:trHeight w:val="360"/>
        </w:trPr>
        <w:tc>
          <w:tcPr>
            <w:tcW w:w="2520" w:type="dxa"/>
            <w:shd w:val="clear" w:color="auto" w:fill="CCD4E5"/>
          </w:tcPr>
          <w:p w14:paraId="00000204"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Calculation method:</w:t>
            </w:r>
          </w:p>
        </w:tc>
        <w:tc>
          <w:tcPr>
            <w:tcW w:w="6120" w:type="dxa"/>
            <w:shd w:val="clear" w:color="auto" w:fill="F2F2F2"/>
          </w:tcPr>
          <w:p w14:paraId="00000205" w14:textId="77777777" w:rsidR="00471C28" w:rsidRPr="00095583" w:rsidRDefault="00471C28">
            <w:pPr>
              <w:spacing w:before="60" w:after="120"/>
              <w:rPr>
                <w:rFonts w:eastAsia="Century Gothic" w:cs="Century Gothic"/>
                <w:i/>
                <w:color w:val="404040"/>
                <w:szCs w:val="21"/>
              </w:rPr>
            </w:pPr>
          </w:p>
        </w:tc>
      </w:tr>
      <w:tr w:rsidR="00471C28" w14:paraId="747CB3CF" w14:textId="77777777" w:rsidTr="00471C28">
        <w:trPr>
          <w:trHeight w:val="360"/>
        </w:trPr>
        <w:tc>
          <w:tcPr>
            <w:tcW w:w="2520" w:type="dxa"/>
            <w:shd w:val="clear" w:color="auto" w:fill="CCD4E5"/>
          </w:tcPr>
          <w:p w14:paraId="00000206"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Comments:</w:t>
            </w:r>
          </w:p>
        </w:tc>
        <w:tc>
          <w:tcPr>
            <w:tcW w:w="6120" w:type="dxa"/>
            <w:shd w:val="clear" w:color="auto" w:fill="F2F2F2"/>
          </w:tcPr>
          <w:p w14:paraId="00000207" w14:textId="77777777" w:rsidR="00471C28" w:rsidRPr="00095583" w:rsidRDefault="00471C28">
            <w:pPr>
              <w:spacing w:before="60" w:after="120"/>
              <w:rPr>
                <w:rFonts w:eastAsia="Century Gothic" w:cs="Century Gothic"/>
                <w:i/>
                <w:color w:val="404040"/>
                <w:szCs w:val="21"/>
              </w:rPr>
            </w:pPr>
          </w:p>
        </w:tc>
      </w:tr>
    </w:tbl>
    <w:p w14:paraId="00000208" w14:textId="70B91DD2" w:rsidR="00471C28" w:rsidRDefault="00471C28" w:rsidP="00BA39E1">
      <w:bookmarkStart w:id="47" w:name="_heading=h.jipf53amxjc4" w:colFirst="0" w:colLast="0"/>
      <w:bookmarkEnd w:id="47"/>
    </w:p>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520"/>
        <w:gridCol w:w="6120"/>
      </w:tblGrid>
      <w:tr w:rsidR="004C4539" w14:paraId="413CD6BB" w14:textId="77777777" w:rsidTr="009B08F0">
        <w:trPr>
          <w:trHeight w:val="350"/>
        </w:trPr>
        <w:tc>
          <w:tcPr>
            <w:tcW w:w="2520" w:type="dxa"/>
            <w:shd w:val="clear" w:color="auto" w:fill="CCD4E5"/>
          </w:tcPr>
          <w:p w14:paraId="5BC9B954"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i/>
                <w:color w:val="4F5150"/>
                <w:szCs w:val="21"/>
              </w:rPr>
              <w:br/>
            </w:r>
            <w:r w:rsidRPr="00095583">
              <w:rPr>
                <w:rFonts w:eastAsia="Century Gothic" w:cs="Century Gothic"/>
                <w:szCs w:val="21"/>
              </w:rPr>
              <w:t>Data / Parameter</w:t>
            </w:r>
          </w:p>
        </w:tc>
        <w:tc>
          <w:tcPr>
            <w:tcW w:w="6120" w:type="dxa"/>
            <w:shd w:val="clear" w:color="auto" w:fill="F2F2F2"/>
          </w:tcPr>
          <w:p w14:paraId="64D7AE0B" w14:textId="19322347" w:rsidR="004C4539" w:rsidRPr="00095583" w:rsidRDefault="004C4539" w:rsidP="00271926">
            <w:pPr>
              <w:rPr>
                <w:rFonts w:eastAsia="Cambria Math" w:cs="Cambria Math"/>
                <w:szCs w:val="21"/>
                <w:vertAlign w:val="subscript"/>
              </w:rPr>
            </w:pPr>
            <w:proofErr w:type="spellStart"/>
            <w:r w:rsidRPr="00095583">
              <w:rPr>
                <w:rFonts w:eastAsia="Century Gothic" w:cs="Century Gothic"/>
                <w:szCs w:val="21"/>
              </w:rPr>
              <w:t>G</w:t>
            </w:r>
            <w:r w:rsidR="007504E4" w:rsidRPr="00095583">
              <w:rPr>
                <w:rFonts w:eastAsia="Century Gothic" w:cs="Century Gothic"/>
                <w:szCs w:val="21"/>
              </w:rPr>
              <w:t>ti</w:t>
            </w:r>
            <w:proofErr w:type="spellEnd"/>
          </w:p>
        </w:tc>
      </w:tr>
      <w:tr w:rsidR="004C4539" w14:paraId="19AB81CC" w14:textId="77777777" w:rsidTr="009B08F0">
        <w:trPr>
          <w:trHeight w:val="360"/>
        </w:trPr>
        <w:tc>
          <w:tcPr>
            <w:tcW w:w="2520" w:type="dxa"/>
            <w:shd w:val="clear" w:color="auto" w:fill="CCD4E5"/>
          </w:tcPr>
          <w:p w14:paraId="56068BA4"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t>Data unit</w:t>
            </w:r>
          </w:p>
        </w:tc>
        <w:tc>
          <w:tcPr>
            <w:tcW w:w="6120" w:type="dxa"/>
            <w:shd w:val="clear" w:color="auto" w:fill="F2F2F2"/>
          </w:tcPr>
          <w:p w14:paraId="5427E5E6" w14:textId="77777777" w:rsidR="004C4539" w:rsidRPr="00095583" w:rsidRDefault="004C4539" w:rsidP="00855208">
            <w:pPr>
              <w:tabs>
                <w:tab w:val="left" w:pos="2370"/>
              </w:tabs>
              <w:spacing w:before="60" w:after="120" w:line="288" w:lineRule="auto"/>
              <w:rPr>
                <w:rFonts w:eastAsia="Century Gothic" w:cs="Century Gothic"/>
                <w:color w:val="404040"/>
                <w:szCs w:val="21"/>
                <w:vertAlign w:val="superscript"/>
              </w:rPr>
            </w:pPr>
            <w:r w:rsidRPr="00095583">
              <w:rPr>
                <w:rFonts w:eastAsia="Century Gothic" w:cs="Century Gothic"/>
                <w:szCs w:val="21"/>
              </w:rPr>
              <w:t>%</w:t>
            </w:r>
          </w:p>
        </w:tc>
      </w:tr>
      <w:tr w:rsidR="004C4539" w14:paraId="6F422DF3" w14:textId="77777777" w:rsidTr="009B08F0">
        <w:trPr>
          <w:trHeight w:val="360"/>
        </w:trPr>
        <w:tc>
          <w:tcPr>
            <w:tcW w:w="2520" w:type="dxa"/>
            <w:shd w:val="clear" w:color="auto" w:fill="CCD4E5"/>
          </w:tcPr>
          <w:p w14:paraId="639F2F65"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t>Description</w:t>
            </w:r>
          </w:p>
        </w:tc>
        <w:tc>
          <w:tcPr>
            <w:tcW w:w="6120" w:type="dxa"/>
            <w:shd w:val="clear" w:color="auto" w:fill="F2F2F2"/>
          </w:tcPr>
          <w:p w14:paraId="6CEA300C" w14:textId="12277C65" w:rsidR="004C4539" w:rsidRPr="00095583" w:rsidRDefault="006F6A10" w:rsidP="00855208">
            <w:pPr>
              <w:spacing w:before="60" w:after="120" w:line="288" w:lineRule="auto"/>
              <w:rPr>
                <w:rFonts w:eastAsia="Century Gothic" w:cs="Century Gothic"/>
                <w:i/>
                <w:color w:val="404040"/>
                <w:szCs w:val="21"/>
              </w:rPr>
            </w:pPr>
            <w:r w:rsidRPr="00095583">
              <w:rPr>
                <w:rFonts w:eastAsia="Century Gothic" w:cs="Century Gothic"/>
                <w:szCs w:val="21"/>
              </w:rPr>
              <w:t xml:space="preserve">Average growth rate of aboveground live tree biomass over activity period </w:t>
            </w:r>
            <w:r w:rsidR="00854446" w:rsidRPr="00095583">
              <w:rPr>
                <w:rFonts w:eastAsia="Century Gothic" w:cs="Century Gothic"/>
                <w:szCs w:val="21"/>
              </w:rPr>
              <w:t xml:space="preserve">for </w:t>
            </w:r>
            <w:r w:rsidRPr="00095583">
              <w:rPr>
                <w:rFonts w:eastAsia="Century Gothic" w:cs="Century Gothic"/>
                <w:szCs w:val="21"/>
              </w:rPr>
              <w:t>instances.</w:t>
            </w:r>
          </w:p>
        </w:tc>
      </w:tr>
      <w:tr w:rsidR="004C4539" w14:paraId="695AB2BE" w14:textId="77777777" w:rsidTr="009B08F0">
        <w:trPr>
          <w:trHeight w:val="360"/>
        </w:trPr>
        <w:tc>
          <w:tcPr>
            <w:tcW w:w="2520" w:type="dxa"/>
            <w:shd w:val="clear" w:color="auto" w:fill="CCD4E5"/>
          </w:tcPr>
          <w:p w14:paraId="58E9AB34"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t>Equations</w:t>
            </w:r>
          </w:p>
        </w:tc>
        <w:tc>
          <w:tcPr>
            <w:tcW w:w="6120" w:type="dxa"/>
            <w:shd w:val="clear" w:color="auto" w:fill="F2F2F2"/>
          </w:tcPr>
          <w:p w14:paraId="1759C156" w14:textId="0082F182" w:rsidR="004C4539" w:rsidRPr="00095583" w:rsidRDefault="004C4539" w:rsidP="00855208">
            <w:pPr>
              <w:spacing w:before="60" w:after="120" w:line="288" w:lineRule="auto"/>
              <w:rPr>
                <w:rFonts w:eastAsia="Century Gothic" w:cs="Century Gothic"/>
                <w:color w:val="404040"/>
                <w:szCs w:val="21"/>
              </w:rPr>
            </w:pPr>
            <w:r w:rsidRPr="00095583">
              <w:rPr>
                <w:rFonts w:eastAsia="Century Gothic" w:cs="Century Gothic"/>
                <w:color w:val="404040"/>
                <w:szCs w:val="21"/>
              </w:rPr>
              <w:t xml:space="preserve">Equation 1 </w:t>
            </w:r>
          </w:p>
        </w:tc>
      </w:tr>
      <w:tr w:rsidR="004C4539" w14:paraId="187FFDA3" w14:textId="77777777" w:rsidTr="009B08F0">
        <w:trPr>
          <w:trHeight w:val="360"/>
        </w:trPr>
        <w:tc>
          <w:tcPr>
            <w:tcW w:w="2520" w:type="dxa"/>
            <w:shd w:val="clear" w:color="auto" w:fill="CCD4E5"/>
          </w:tcPr>
          <w:p w14:paraId="57880D32"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t>Source of data</w:t>
            </w:r>
          </w:p>
        </w:tc>
        <w:tc>
          <w:tcPr>
            <w:tcW w:w="6120" w:type="dxa"/>
            <w:shd w:val="clear" w:color="auto" w:fill="F2F2F2"/>
          </w:tcPr>
          <w:p w14:paraId="196F1FC4" w14:textId="176907D6" w:rsidR="004C4539" w:rsidRPr="00095583" w:rsidRDefault="006F6A10" w:rsidP="00855208">
            <w:pPr>
              <w:spacing w:before="60" w:after="120" w:line="288" w:lineRule="auto"/>
              <w:rPr>
                <w:rFonts w:eastAsia="Century Gothic" w:cs="Century Gothic"/>
                <w:color w:val="404040"/>
                <w:szCs w:val="21"/>
              </w:rPr>
            </w:pPr>
            <w:r w:rsidRPr="00095583">
              <w:rPr>
                <w:rFonts w:eastAsia="Century Gothic" w:cs="Century Gothic"/>
                <w:color w:val="404040"/>
                <w:szCs w:val="21"/>
              </w:rPr>
              <w:t>Data</w:t>
            </w:r>
            <w:r w:rsidR="004C4539" w:rsidRPr="00095583">
              <w:rPr>
                <w:rFonts w:eastAsia="Century Gothic" w:cs="Century Gothic"/>
                <w:color w:val="404040"/>
                <w:szCs w:val="21"/>
              </w:rPr>
              <w:t xml:space="preserve"> </w:t>
            </w:r>
            <w:r w:rsidRPr="00095583">
              <w:rPr>
                <w:rFonts w:eastAsia="Century Gothic" w:cs="Century Gothic"/>
                <w:color w:val="404040"/>
                <w:szCs w:val="21"/>
              </w:rPr>
              <w:t xml:space="preserve">must be derived from repeated remeasurements in the project area. This may be: </w:t>
            </w:r>
          </w:p>
          <w:p w14:paraId="2C45ED4D" w14:textId="1DDA2D1F" w:rsidR="006F6A10" w:rsidRPr="00095583" w:rsidRDefault="006F6A10" w:rsidP="00855208">
            <w:pPr>
              <w:numPr>
                <w:ilvl w:val="0"/>
                <w:numId w:val="10"/>
              </w:numPr>
              <w:spacing w:before="60" w:line="288" w:lineRule="auto"/>
              <w:rPr>
                <w:rFonts w:eastAsia="Century Gothic" w:cs="Century Gothic"/>
                <w:color w:val="404040"/>
                <w:szCs w:val="21"/>
              </w:rPr>
            </w:pPr>
            <w:r w:rsidRPr="00095583">
              <w:rPr>
                <w:rFonts w:eastAsia="Century Gothic" w:cs="Century Gothic"/>
                <w:szCs w:val="21"/>
              </w:rPr>
              <w:t xml:space="preserve">Field measurements made to generate estimates of </w:t>
            </w:r>
            <w:proofErr w:type="gramStart"/>
            <w:r w:rsidRPr="00095583">
              <w:rPr>
                <w:rFonts w:eastAsia="Century Gothic" w:cs="Century Gothic"/>
                <w:szCs w:val="21"/>
              </w:rPr>
              <w:t>PP</w:t>
            </w:r>
            <w:r w:rsidRPr="00095583">
              <w:rPr>
                <w:rFonts w:eastAsia="Century Gothic" w:cs="Century Gothic"/>
                <w:szCs w:val="21"/>
                <w:vertAlign w:val="subscript"/>
              </w:rPr>
              <w:t>C,t</w:t>
            </w:r>
            <w:proofErr w:type="gramEnd"/>
            <w:r w:rsidRPr="00095583">
              <w:rPr>
                <w:rFonts w:eastAsia="Century Gothic" w:cs="Century Gothic"/>
                <w:szCs w:val="21"/>
                <w:vertAlign w:val="subscript"/>
              </w:rPr>
              <w:t>0,i</w:t>
            </w:r>
            <w:r w:rsidRPr="00095583">
              <w:rPr>
                <w:rFonts w:eastAsia="Century Gothic" w:cs="Century Gothic"/>
                <w:szCs w:val="21"/>
              </w:rPr>
              <w:t xml:space="preserve"> and PP</w:t>
            </w:r>
            <w:r w:rsidRPr="00095583">
              <w:rPr>
                <w:rFonts w:eastAsia="Century Gothic" w:cs="Century Gothic"/>
                <w:szCs w:val="21"/>
                <w:vertAlign w:val="subscript"/>
              </w:rPr>
              <w:t>C,t1,i</w:t>
            </w:r>
            <w:r w:rsidRPr="00095583">
              <w:rPr>
                <w:rFonts w:eastAsia="Century Gothic" w:cs="Century Gothic"/>
                <w:color w:val="404040"/>
                <w:szCs w:val="21"/>
              </w:rPr>
              <w:t xml:space="preserve">  as listed in previous section</w:t>
            </w:r>
          </w:p>
          <w:p w14:paraId="6E582F92" w14:textId="015EB5D1" w:rsidR="006F6A10" w:rsidRPr="00095583" w:rsidRDefault="006F6A10" w:rsidP="00855208">
            <w:pPr>
              <w:numPr>
                <w:ilvl w:val="0"/>
                <w:numId w:val="10"/>
              </w:numPr>
              <w:spacing w:before="60" w:line="288" w:lineRule="auto"/>
              <w:rPr>
                <w:rFonts w:eastAsia="Century Gothic" w:cs="Century Gothic"/>
                <w:color w:val="404040"/>
                <w:szCs w:val="21"/>
              </w:rPr>
            </w:pPr>
            <w:r w:rsidRPr="00095583">
              <w:rPr>
                <w:rFonts w:eastAsia="Century Gothic" w:cs="Century Gothic"/>
                <w:color w:val="404040"/>
                <w:szCs w:val="21"/>
              </w:rPr>
              <w:t>Continuous Forest Inventory plots with repeated measures from another source</w:t>
            </w:r>
          </w:p>
          <w:p w14:paraId="5A6CBC48" w14:textId="5C088EE7" w:rsidR="004C4539" w:rsidRPr="00095583" w:rsidRDefault="00374864" w:rsidP="00095583">
            <w:pPr>
              <w:numPr>
                <w:ilvl w:val="0"/>
                <w:numId w:val="10"/>
              </w:numPr>
              <w:spacing w:before="60" w:line="288" w:lineRule="auto"/>
              <w:rPr>
                <w:rFonts w:eastAsia="Century Gothic" w:cs="Century Gothic"/>
                <w:color w:val="404040"/>
                <w:szCs w:val="21"/>
              </w:rPr>
            </w:pPr>
            <w:r w:rsidRPr="00095583">
              <w:rPr>
                <w:rFonts w:eastAsia="Century Gothic" w:cs="Century Gothic"/>
                <w:color w:val="404040"/>
                <w:szCs w:val="21"/>
              </w:rPr>
              <w:t>National Forest Inventory data with remeasured plots in comparable forest types and geography.</w:t>
            </w:r>
          </w:p>
        </w:tc>
      </w:tr>
      <w:tr w:rsidR="004C4539" w14:paraId="5F9A287C" w14:textId="77777777" w:rsidTr="009B08F0">
        <w:trPr>
          <w:trHeight w:val="360"/>
        </w:trPr>
        <w:tc>
          <w:tcPr>
            <w:tcW w:w="2520" w:type="dxa"/>
            <w:shd w:val="clear" w:color="auto" w:fill="CCD4E5"/>
          </w:tcPr>
          <w:p w14:paraId="013203C7"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t>Description of measurement methods and procedures to be applied:</w:t>
            </w:r>
          </w:p>
        </w:tc>
        <w:tc>
          <w:tcPr>
            <w:tcW w:w="6120" w:type="dxa"/>
            <w:shd w:val="clear" w:color="auto" w:fill="F2F2F2"/>
          </w:tcPr>
          <w:p w14:paraId="78B8CED5" w14:textId="204E5264" w:rsidR="00374864" w:rsidRPr="00095583" w:rsidRDefault="00374864" w:rsidP="00855208">
            <w:pPr>
              <w:spacing w:before="60" w:after="120" w:line="288" w:lineRule="auto"/>
              <w:rPr>
                <w:rFonts w:eastAsia="Century Gothic" w:cs="Century Gothic"/>
                <w:color w:val="404040"/>
                <w:szCs w:val="21"/>
              </w:rPr>
            </w:pPr>
            <w:r w:rsidRPr="00095583">
              <w:rPr>
                <w:rFonts w:eastAsia="Century Gothic" w:cs="Century Gothic"/>
                <w:color w:val="404040"/>
                <w:szCs w:val="21"/>
              </w:rPr>
              <w:t xml:space="preserve">Use of sources 1. or 2. above require project developer to identify undisturbed </w:t>
            </w:r>
            <w:proofErr w:type="gramStart"/>
            <w:r w:rsidRPr="00095583">
              <w:rPr>
                <w:rFonts w:eastAsia="Century Gothic" w:cs="Century Gothic"/>
                <w:color w:val="404040"/>
                <w:szCs w:val="21"/>
              </w:rPr>
              <w:t>plots, and</w:t>
            </w:r>
            <w:proofErr w:type="gramEnd"/>
            <w:r w:rsidRPr="00095583">
              <w:rPr>
                <w:rFonts w:eastAsia="Century Gothic" w:cs="Century Gothic"/>
                <w:color w:val="404040"/>
                <w:szCs w:val="21"/>
              </w:rPr>
              <w:t xml:space="preserve"> compute the growth rate in terms of plot-level change in aboveground live tree biomass. Growth rate as a percentage is then applied to the total project area.</w:t>
            </w:r>
          </w:p>
          <w:p w14:paraId="77BB8DF5" w14:textId="0D4CDC0A" w:rsidR="00374864" w:rsidRPr="00095583" w:rsidRDefault="00374864" w:rsidP="00855208">
            <w:pPr>
              <w:spacing w:before="60" w:after="120" w:line="288" w:lineRule="auto"/>
              <w:rPr>
                <w:rFonts w:eastAsia="Century Gothic" w:cs="Century Gothic"/>
                <w:color w:val="404040"/>
                <w:szCs w:val="21"/>
              </w:rPr>
            </w:pPr>
            <w:r w:rsidRPr="00095583">
              <w:rPr>
                <w:rFonts w:eastAsia="Century Gothic" w:cs="Century Gothic"/>
                <w:color w:val="404040"/>
                <w:szCs w:val="21"/>
              </w:rPr>
              <w:t>Use of National Forest Inventory data for this purpose</w:t>
            </w:r>
            <w:r w:rsidR="00B5621C" w:rsidRPr="00095583">
              <w:rPr>
                <w:rFonts w:eastAsia="Century Gothic" w:cs="Century Gothic"/>
                <w:color w:val="404040"/>
                <w:szCs w:val="21"/>
              </w:rPr>
              <w:t xml:space="preserve"> provides a robust and rigorous estimate of growth, if annualized </w:t>
            </w:r>
            <w:r w:rsidR="00B5621C" w:rsidRPr="00095583">
              <w:rPr>
                <w:rFonts w:eastAsia="Century Gothic" w:cs="Century Gothic"/>
                <w:color w:val="404040"/>
                <w:szCs w:val="21"/>
              </w:rPr>
              <w:lastRenderedPageBreak/>
              <w:t xml:space="preserve">appropriately. Developers deriving a growth rate from NFI data should do the following: </w:t>
            </w:r>
          </w:p>
          <w:p w14:paraId="5710BC13" w14:textId="77777777" w:rsidR="00FE0BA1" w:rsidRPr="00095583" w:rsidRDefault="00FE0BA1" w:rsidP="00FE0BA1">
            <w:pPr>
              <w:spacing w:before="60" w:after="120"/>
              <w:ind w:left="1152" w:hanging="360"/>
              <w:rPr>
                <w:rFonts w:eastAsia="Century Gothic" w:cs="Century Gothic"/>
                <w:color w:val="404040"/>
                <w:szCs w:val="21"/>
              </w:rPr>
            </w:pPr>
            <w:r w:rsidRPr="00095583">
              <w:rPr>
                <w:rFonts w:eastAsia="Century Gothic" w:cs="Century Gothic"/>
                <w:color w:val="404040"/>
                <w:szCs w:val="21"/>
              </w:rPr>
              <w:t>Use the most recent pair of remeasurement data for any NFI plot.</w:t>
            </w:r>
          </w:p>
          <w:p w14:paraId="6F5EA719" w14:textId="003BCDA6" w:rsidR="00FE0BA1" w:rsidRPr="00095583" w:rsidRDefault="00FE0BA1" w:rsidP="00FE0BA1">
            <w:pPr>
              <w:spacing w:before="60" w:after="120"/>
              <w:ind w:left="1152" w:hanging="360"/>
              <w:rPr>
                <w:rFonts w:eastAsia="Century Gothic" w:cs="Century Gothic"/>
                <w:color w:val="404040"/>
                <w:szCs w:val="21"/>
              </w:rPr>
            </w:pPr>
            <w:r w:rsidRPr="00095583">
              <w:rPr>
                <w:rFonts w:eastAsia="Century Gothic" w:cs="Century Gothic"/>
                <w:color w:val="404040"/>
                <w:szCs w:val="21"/>
              </w:rPr>
              <w:t>Use undisturbed plots.</w:t>
            </w:r>
          </w:p>
          <w:p w14:paraId="114D0FA2" w14:textId="5F34B5C4" w:rsidR="00FE0BA1" w:rsidRPr="00095583" w:rsidRDefault="00FE0BA1" w:rsidP="00FE0BA1">
            <w:pPr>
              <w:spacing w:before="60" w:after="120"/>
              <w:ind w:left="1152" w:hanging="360"/>
              <w:rPr>
                <w:rFonts w:eastAsia="Century Gothic" w:cs="Century Gothic"/>
                <w:color w:val="404040"/>
                <w:szCs w:val="21"/>
              </w:rPr>
            </w:pPr>
            <w:r w:rsidRPr="00095583">
              <w:rPr>
                <w:rFonts w:eastAsia="Century Gothic" w:cs="Century Gothic"/>
                <w:color w:val="404040"/>
                <w:szCs w:val="21"/>
              </w:rPr>
              <w:t>Identify individual stems that were remeasured.</w:t>
            </w:r>
          </w:p>
          <w:p w14:paraId="58A2342A" w14:textId="4D2DF4FE" w:rsidR="00B5621C" w:rsidRPr="00095583" w:rsidRDefault="00FE0BA1" w:rsidP="00FE0BA1">
            <w:pPr>
              <w:spacing w:before="60" w:after="120"/>
              <w:ind w:left="1152" w:hanging="360"/>
              <w:rPr>
                <w:rFonts w:eastAsia="Century Gothic" w:cs="Century Gothic"/>
                <w:color w:val="404040"/>
                <w:szCs w:val="21"/>
              </w:rPr>
            </w:pPr>
            <w:r w:rsidRPr="00095583">
              <w:rPr>
                <w:rFonts w:eastAsia="Century Gothic" w:cs="Century Gothic"/>
                <w:color w:val="404040"/>
                <w:szCs w:val="21"/>
              </w:rPr>
              <w:t>Calculate the</w:t>
            </w:r>
            <w:r w:rsidR="00854446" w:rsidRPr="00095583">
              <w:rPr>
                <w:rFonts w:eastAsia="Century Gothic" w:cs="Century Gothic"/>
                <w:color w:val="404040"/>
                <w:szCs w:val="21"/>
              </w:rPr>
              <w:t xml:space="preserve"> </w:t>
            </w:r>
            <w:r w:rsidR="00AD7F7A" w:rsidRPr="00095583">
              <w:rPr>
                <w:rFonts w:eastAsia="Century Gothic" w:cs="Century Gothic"/>
                <w:color w:val="404040"/>
                <w:szCs w:val="21"/>
              </w:rPr>
              <w:t xml:space="preserve">annualized, </w:t>
            </w:r>
            <w:r w:rsidRPr="00095583">
              <w:rPr>
                <w:rFonts w:eastAsia="Century Gothic" w:cs="Century Gothic"/>
                <w:color w:val="404040"/>
                <w:szCs w:val="21"/>
              </w:rPr>
              <w:t xml:space="preserve">individual tree growth rate for aboveground live tree biomass. </w:t>
            </w:r>
          </w:p>
          <w:p w14:paraId="76C78730" w14:textId="28DC1E2C" w:rsidR="004C4539" w:rsidRPr="00095583" w:rsidRDefault="00AD7F7A" w:rsidP="00095583">
            <w:pPr>
              <w:spacing w:before="60" w:after="120"/>
              <w:ind w:left="1152" w:hanging="360"/>
              <w:rPr>
                <w:rFonts w:eastAsia="Century Gothic" w:cs="Century Gothic"/>
                <w:color w:val="404040"/>
                <w:szCs w:val="21"/>
              </w:rPr>
            </w:pPr>
            <w:r w:rsidRPr="00095583">
              <w:rPr>
                <w:rFonts w:eastAsia="Century Gothic" w:cs="Century Gothic"/>
                <w:color w:val="404040"/>
                <w:szCs w:val="21"/>
              </w:rPr>
              <w:t xml:space="preserve">Forest type growth rates for carbon </w:t>
            </w:r>
            <w:r w:rsidR="00854446" w:rsidRPr="00095583">
              <w:rPr>
                <w:rFonts w:eastAsia="Century Gothic" w:cs="Century Gothic"/>
                <w:color w:val="404040"/>
                <w:szCs w:val="21"/>
              </w:rPr>
              <w:t>may</w:t>
            </w:r>
            <w:r w:rsidRPr="00095583">
              <w:rPr>
                <w:rFonts w:eastAsia="Century Gothic" w:cs="Century Gothic"/>
                <w:color w:val="404040"/>
                <w:szCs w:val="21"/>
              </w:rPr>
              <w:t xml:space="preserve"> be calculated using a model with all trees making up the population and group-level effects estimated by forest type.</w:t>
            </w:r>
          </w:p>
        </w:tc>
      </w:tr>
      <w:tr w:rsidR="004C4539" w14:paraId="3DE7F76C" w14:textId="77777777" w:rsidTr="009B08F0">
        <w:trPr>
          <w:trHeight w:val="360"/>
        </w:trPr>
        <w:tc>
          <w:tcPr>
            <w:tcW w:w="2520" w:type="dxa"/>
            <w:shd w:val="clear" w:color="auto" w:fill="CCD4E5"/>
          </w:tcPr>
          <w:p w14:paraId="380FFF94"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lastRenderedPageBreak/>
              <w:t xml:space="preserve"> Purpose of Data</w:t>
            </w:r>
          </w:p>
        </w:tc>
        <w:tc>
          <w:tcPr>
            <w:tcW w:w="6120" w:type="dxa"/>
            <w:shd w:val="clear" w:color="auto" w:fill="F2F2F2"/>
          </w:tcPr>
          <w:p w14:paraId="58CCA522" w14:textId="02E9B0C6" w:rsidR="004C4539" w:rsidRPr="00095583" w:rsidRDefault="006F6A10" w:rsidP="00855208">
            <w:pPr>
              <w:spacing w:before="60" w:after="120" w:line="288" w:lineRule="auto"/>
              <w:rPr>
                <w:rFonts w:eastAsia="Century Gothic" w:cs="Century Gothic"/>
                <w:color w:val="404040"/>
                <w:szCs w:val="21"/>
              </w:rPr>
            </w:pPr>
            <w:r w:rsidRPr="00095583">
              <w:rPr>
                <w:rFonts w:eastAsia="Century Gothic" w:cs="Century Gothic"/>
                <w:szCs w:val="21"/>
              </w:rPr>
              <w:t>Estimation of growth rate in baseline scenario</w:t>
            </w:r>
          </w:p>
        </w:tc>
      </w:tr>
      <w:tr w:rsidR="004C4539" w14:paraId="3D128A4E" w14:textId="77777777" w:rsidTr="009B08F0">
        <w:trPr>
          <w:trHeight w:val="360"/>
        </w:trPr>
        <w:tc>
          <w:tcPr>
            <w:tcW w:w="2520" w:type="dxa"/>
            <w:shd w:val="clear" w:color="auto" w:fill="CCD4E5"/>
          </w:tcPr>
          <w:p w14:paraId="070BBD8F" w14:textId="77777777" w:rsidR="004C4539" w:rsidRPr="00095583" w:rsidRDefault="004C4539" w:rsidP="00855208">
            <w:pPr>
              <w:spacing w:before="60" w:after="120" w:line="288" w:lineRule="auto"/>
              <w:rPr>
                <w:rFonts w:eastAsia="Century Gothic" w:cs="Century Gothic"/>
                <w:szCs w:val="21"/>
              </w:rPr>
            </w:pPr>
            <w:r w:rsidRPr="00095583">
              <w:rPr>
                <w:rFonts w:eastAsia="Century Gothic" w:cs="Century Gothic"/>
                <w:szCs w:val="21"/>
              </w:rPr>
              <w:t>Comments</w:t>
            </w:r>
          </w:p>
        </w:tc>
        <w:tc>
          <w:tcPr>
            <w:tcW w:w="6120" w:type="dxa"/>
            <w:shd w:val="clear" w:color="auto" w:fill="F2F2F2"/>
          </w:tcPr>
          <w:p w14:paraId="4DD244CA" w14:textId="77777777" w:rsidR="00AD7F7A" w:rsidRPr="00095583" w:rsidRDefault="00AD7F7A" w:rsidP="00AD7F7A">
            <w:pPr>
              <w:spacing w:before="60" w:after="120"/>
              <w:rPr>
                <w:rFonts w:eastAsia="Century Gothic" w:cs="Century Gothic"/>
                <w:color w:val="404040"/>
                <w:szCs w:val="21"/>
              </w:rPr>
            </w:pPr>
            <w:r w:rsidRPr="00095583">
              <w:rPr>
                <w:rFonts w:eastAsia="Century Gothic" w:cs="Century Gothic"/>
                <w:color w:val="404040"/>
                <w:szCs w:val="21"/>
              </w:rPr>
              <w:t xml:space="preserve">Forest type may be defined based on available </w:t>
            </w:r>
            <w:proofErr w:type="gramStart"/>
            <w:r w:rsidRPr="00095583">
              <w:rPr>
                <w:rFonts w:eastAsia="Century Gothic" w:cs="Century Gothic"/>
                <w:color w:val="404040"/>
                <w:szCs w:val="21"/>
              </w:rPr>
              <w:t>data, and</w:t>
            </w:r>
            <w:proofErr w:type="gramEnd"/>
            <w:r w:rsidRPr="00095583">
              <w:rPr>
                <w:rFonts w:eastAsia="Century Gothic" w:cs="Century Gothic"/>
                <w:color w:val="404040"/>
                <w:szCs w:val="21"/>
              </w:rPr>
              <w:t xml:space="preserve"> should be applied at a sub-instance scale where appropriate to reflect multiple forest types that may be present within a project and activity instance.  </w:t>
            </w:r>
          </w:p>
          <w:p w14:paraId="6873C9D3" w14:textId="77777777" w:rsidR="004C4539" w:rsidRPr="00095583" w:rsidRDefault="004C4539" w:rsidP="00855208">
            <w:pPr>
              <w:spacing w:before="60" w:after="120" w:line="288" w:lineRule="auto"/>
              <w:rPr>
                <w:rFonts w:eastAsia="Century Gothic" w:cs="Century Gothic"/>
                <w:color w:val="404040"/>
                <w:szCs w:val="21"/>
              </w:rPr>
            </w:pPr>
          </w:p>
        </w:tc>
      </w:tr>
    </w:tbl>
    <w:p w14:paraId="08B9E7F2" w14:textId="5F03DCB2" w:rsidR="004C4539" w:rsidRDefault="004C4539" w:rsidP="00BA39E1"/>
    <w:p w14:paraId="323671D4" w14:textId="77777777" w:rsidR="004C4539" w:rsidRDefault="004C4539" w:rsidP="00BA39E1"/>
    <w:tbl>
      <w:tblPr>
        <w:tblW w:w="8640"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680" w:firstRow="0" w:lastRow="0" w:firstColumn="1" w:lastColumn="0" w:noHBand="1" w:noVBand="1"/>
      </w:tblPr>
      <w:tblGrid>
        <w:gridCol w:w="2520"/>
        <w:gridCol w:w="6120"/>
      </w:tblGrid>
      <w:tr w:rsidR="00471C28" w14:paraId="6F0B07C1" w14:textId="77777777" w:rsidTr="00471C28">
        <w:trPr>
          <w:trHeight w:val="350"/>
        </w:trPr>
        <w:tc>
          <w:tcPr>
            <w:tcW w:w="2520" w:type="dxa"/>
            <w:shd w:val="clear" w:color="auto" w:fill="CCD4E5"/>
          </w:tcPr>
          <w:p w14:paraId="00000209"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i/>
                <w:color w:val="4F5150"/>
                <w:szCs w:val="21"/>
              </w:rPr>
              <w:br/>
            </w:r>
            <w:r w:rsidRPr="00095583">
              <w:rPr>
                <w:rFonts w:eastAsia="Century Gothic" w:cs="Century Gothic"/>
                <w:szCs w:val="21"/>
              </w:rPr>
              <w:t>Data / Parameter</w:t>
            </w:r>
          </w:p>
        </w:tc>
        <w:tc>
          <w:tcPr>
            <w:tcW w:w="6120" w:type="dxa"/>
            <w:shd w:val="clear" w:color="auto" w:fill="F2F2F2"/>
          </w:tcPr>
          <w:p w14:paraId="0000020A" w14:textId="77777777" w:rsidR="00471C28" w:rsidRPr="00095583" w:rsidRDefault="00CF15C9">
            <w:pPr>
              <w:jc w:val="center"/>
              <w:rPr>
                <w:rFonts w:eastAsia="Cambria Math" w:cs="Cambria Math"/>
                <w:szCs w:val="21"/>
                <w:vertAlign w:val="subscript"/>
              </w:rPr>
            </w:pPr>
            <w:r w:rsidRPr="00095583">
              <w:rPr>
                <w:rFonts w:eastAsia="Century Gothic" w:cs="Century Gothic"/>
                <w:szCs w:val="21"/>
              </w:rPr>
              <w:t>MBR</w:t>
            </w:r>
          </w:p>
        </w:tc>
      </w:tr>
      <w:tr w:rsidR="00471C28" w14:paraId="15356530" w14:textId="77777777" w:rsidTr="00471C28">
        <w:trPr>
          <w:trHeight w:val="360"/>
        </w:trPr>
        <w:tc>
          <w:tcPr>
            <w:tcW w:w="2520" w:type="dxa"/>
            <w:shd w:val="clear" w:color="auto" w:fill="CCD4E5"/>
          </w:tcPr>
          <w:p w14:paraId="0000020B"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Data unit</w:t>
            </w:r>
          </w:p>
        </w:tc>
        <w:tc>
          <w:tcPr>
            <w:tcW w:w="6120" w:type="dxa"/>
            <w:shd w:val="clear" w:color="auto" w:fill="F2F2F2"/>
          </w:tcPr>
          <w:p w14:paraId="0000020C" w14:textId="77777777" w:rsidR="00471C28" w:rsidRPr="00095583" w:rsidRDefault="00CF15C9">
            <w:pPr>
              <w:tabs>
                <w:tab w:val="left" w:pos="2370"/>
              </w:tabs>
              <w:spacing w:before="60" w:after="120" w:line="288" w:lineRule="auto"/>
              <w:rPr>
                <w:rFonts w:eastAsia="Century Gothic" w:cs="Century Gothic"/>
                <w:color w:val="404040"/>
                <w:szCs w:val="21"/>
                <w:vertAlign w:val="superscript"/>
              </w:rPr>
            </w:pPr>
            <w:r w:rsidRPr="00095583">
              <w:rPr>
                <w:rFonts w:eastAsia="Century Gothic" w:cs="Century Gothic"/>
                <w:szCs w:val="21"/>
              </w:rPr>
              <w:t>%</w:t>
            </w:r>
          </w:p>
        </w:tc>
      </w:tr>
      <w:tr w:rsidR="00471C28" w14:paraId="3C778F78" w14:textId="77777777" w:rsidTr="00471C28">
        <w:trPr>
          <w:trHeight w:val="360"/>
        </w:trPr>
        <w:tc>
          <w:tcPr>
            <w:tcW w:w="2520" w:type="dxa"/>
            <w:shd w:val="clear" w:color="auto" w:fill="CCD4E5"/>
          </w:tcPr>
          <w:p w14:paraId="0000020D"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Description</w:t>
            </w:r>
          </w:p>
        </w:tc>
        <w:tc>
          <w:tcPr>
            <w:tcW w:w="6120" w:type="dxa"/>
            <w:shd w:val="clear" w:color="auto" w:fill="F2F2F2"/>
          </w:tcPr>
          <w:p w14:paraId="0000020E" w14:textId="77777777" w:rsidR="00471C28" w:rsidRPr="00095583" w:rsidRDefault="00CF15C9">
            <w:pPr>
              <w:spacing w:before="60" w:after="120" w:line="288" w:lineRule="auto"/>
              <w:rPr>
                <w:rFonts w:eastAsia="Century Gothic" w:cs="Century Gothic"/>
                <w:i/>
                <w:color w:val="404040"/>
                <w:szCs w:val="21"/>
              </w:rPr>
            </w:pPr>
            <w:r w:rsidRPr="00095583">
              <w:rPr>
                <w:rFonts w:eastAsia="Century Gothic" w:cs="Century Gothic"/>
                <w:szCs w:val="21"/>
              </w:rPr>
              <w:t>Merchantable biomass ratio - Mean merchantable biomass as a proportion of total aboveground tree biomass for each forest type</w:t>
            </w:r>
          </w:p>
        </w:tc>
      </w:tr>
      <w:tr w:rsidR="00471C28" w14:paraId="51C7CECD" w14:textId="77777777" w:rsidTr="00471C28">
        <w:trPr>
          <w:trHeight w:val="360"/>
        </w:trPr>
        <w:tc>
          <w:tcPr>
            <w:tcW w:w="2520" w:type="dxa"/>
            <w:shd w:val="clear" w:color="auto" w:fill="CCD4E5"/>
          </w:tcPr>
          <w:p w14:paraId="0000020F"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Equations</w:t>
            </w:r>
          </w:p>
        </w:tc>
        <w:tc>
          <w:tcPr>
            <w:tcW w:w="6120" w:type="dxa"/>
            <w:shd w:val="clear" w:color="auto" w:fill="F2F2F2"/>
          </w:tcPr>
          <w:p w14:paraId="00000210" w14:textId="1EA62716" w:rsidR="00471C28" w:rsidRPr="00095583" w:rsidRDefault="00B14046">
            <w:pPr>
              <w:spacing w:before="60" w:after="120" w:line="288" w:lineRule="auto"/>
              <w:rPr>
                <w:rFonts w:eastAsia="Century Gothic" w:cs="Century Gothic"/>
                <w:color w:val="404040"/>
                <w:szCs w:val="21"/>
              </w:rPr>
            </w:pPr>
            <w:r w:rsidRPr="00095583">
              <w:rPr>
                <w:rFonts w:eastAsia="Century Gothic" w:cs="Century Gothic"/>
                <w:color w:val="404040"/>
                <w:szCs w:val="21"/>
              </w:rPr>
              <w:t xml:space="preserve">None </w:t>
            </w:r>
          </w:p>
        </w:tc>
      </w:tr>
      <w:tr w:rsidR="00471C28" w14:paraId="5DDD07BB" w14:textId="77777777" w:rsidTr="00471C28">
        <w:trPr>
          <w:trHeight w:val="360"/>
        </w:trPr>
        <w:tc>
          <w:tcPr>
            <w:tcW w:w="2520" w:type="dxa"/>
            <w:shd w:val="clear" w:color="auto" w:fill="CCD4E5"/>
          </w:tcPr>
          <w:p w14:paraId="00000211"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Source of data</w:t>
            </w:r>
          </w:p>
        </w:tc>
        <w:tc>
          <w:tcPr>
            <w:tcW w:w="6120" w:type="dxa"/>
            <w:shd w:val="clear" w:color="auto" w:fill="F2F2F2"/>
          </w:tcPr>
          <w:p w14:paraId="00000212"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404040"/>
                <w:szCs w:val="21"/>
              </w:rPr>
              <w:t>The source of data must be chosen with priority from higher to lower preference as follows:</w:t>
            </w:r>
          </w:p>
          <w:p w14:paraId="00000213" w14:textId="28D94AC7" w:rsidR="00471C28" w:rsidRPr="00095583" w:rsidRDefault="00CF15C9">
            <w:pPr>
              <w:numPr>
                <w:ilvl w:val="0"/>
                <w:numId w:val="10"/>
              </w:numPr>
              <w:spacing w:before="60" w:line="288" w:lineRule="auto"/>
              <w:rPr>
                <w:rFonts w:eastAsia="Century Gothic" w:cs="Century Gothic"/>
                <w:color w:val="404040"/>
                <w:szCs w:val="21"/>
              </w:rPr>
            </w:pPr>
            <w:r w:rsidRPr="00095583">
              <w:rPr>
                <w:rFonts w:eastAsia="Century Gothic" w:cs="Century Gothic"/>
                <w:color w:val="404040"/>
                <w:szCs w:val="21"/>
              </w:rPr>
              <w:t xml:space="preserve">Peer-reviewed published sources (including carbon/biomass maps or growing stock volume maps with a </w:t>
            </w:r>
            <w:r w:rsidR="0053160D" w:rsidRPr="00095583">
              <w:rPr>
                <w:rFonts w:eastAsia="Century Gothic" w:cs="Century Gothic"/>
                <w:color w:val="404040"/>
                <w:szCs w:val="21"/>
              </w:rPr>
              <w:t xml:space="preserve">spatial resolution </w:t>
            </w:r>
            <w:r w:rsidRPr="00095583">
              <w:rPr>
                <w:rFonts w:eastAsia="Century Gothic" w:cs="Century Gothic"/>
                <w:color w:val="404040"/>
                <w:szCs w:val="21"/>
              </w:rPr>
              <w:t>of at least 1km)</w:t>
            </w:r>
          </w:p>
          <w:p w14:paraId="00000214" w14:textId="77777777" w:rsidR="00471C28" w:rsidRPr="00095583" w:rsidRDefault="00CF15C9">
            <w:pPr>
              <w:numPr>
                <w:ilvl w:val="0"/>
                <w:numId w:val="10"/>
              </w:numPr>
              <w:spacing w:line="288" w:lineRule="auto"/>
              <w:rPr>
                <w:rFonts w:eastAsia="Century Gothic" w:cs="Century Gothic"/>
                <w:color w:val="404040"/>
                <w:szCs w:val="21"/>
              </w:rPr>
            </w:pPr>
            <w:r w:rsidRPr="00095583">
              <w:rPr>
                <w:rFonts w:eastAsia="Century Gothic" w:cs="Century Gothic"/>
                <w:color w:val="404040"/>
                <w:szCs w:val="21"/>
              </w:rPr>
              <w:t>Official Government data and statistics</w:t>
            </w:r>
          </w:p>
          <w:p w14:paraId="00000215" w14:textId="77777777" w:rsidR="00471C28" w:rsidRPr="00095583" w:rsidRDefault="00CF15C9">
            <w:pPr>
              <w:numPr>
                <w:ilvl w:val="0"/>
                <w:numId w:val="10"/>
              </w:numPr>
              <w:spacing w:after="120" w:line="288" w:lineRule="auto"/>
              <w:rPr>
                <w:rFonts w:eastAsia="Century Gothic" w:cs="Century Gothic"/>
                <w:color w:val="404040"/>
                <w:szCs w:val="21"/>
              </w:rPr>
            </w:pPr>
            <w:r w:rsidRPr="00095583">
              <w:rPr>
                <w:rFonts w:eastAsia="Century Gothic" w:cs="Century Gothic"/>
                <w:color w:val="404040"/>
                <w:szCs w:val="21"/>
              </w:rPr>
              <w:lastRenderedPageBreak/>
              <w:t>Original field measurements</w:t>
            </w:r>
          </w:p>
          <w:p w14:paraId="00000216" w14:textId="33167CC0"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404040"/>
                <w:szCs w:val="21"/>
              </w:rPr>
              <w:t xml:space="preserve">The forest types considered must be only those relevant for the specific market leakage </w:t>
            </w:r>
            <w:r w:rsidR="0053160D" w:rsidRPr="00095583">
              <w:rPr>
                <w:rFonts w:eastAsia="Century Gothic" w:cs="Century Gothic"/>
                <w:color w:val="404040"/>
                <w:szCs w:val="21"/>
              </w:rPr>
              <w:t xml:space="preserve">effects, </w:t>
            </w:r>
            <w:proofErr w:type="gramStart"/>
            <w:r w:rsidRPr="00095583">
              <w:rPr>
                <w:rFonts w:eastAsia="Century Gothic" w:cs="Century Gothic"/>
                <w:color w:val="404040"/>
                <w:szCs w:val="21"/>
              </w:rPr>
              <w:t>i</w:t>
            </w:r>
            <w:r w:rsidR="0053160D" w:rsidRPr="00095583">
              <w:rPr>
                <w:rFonts w:eastAsia="Century Gothic" w:cs="Century Gothic"/>
                <w:color w:val="404040"/>
                <w:szCs w:val="21"/>
              </w:rPr>
              <w:t>.</w:t>
            </w:r>
            <w:r w:rsidRPr="00095583">
              <w:rPr>
                <w:rFonts w:eastAsia="Century Gothic" w:cs="Century Gothic"/>
                <w:color w:val="404040"/>
                <w:szCs w:val="21"/>
              </w:rPr>
              <w:t>e.</w:t>
            </w:r>
            <w:proofErr w:type="gramEnd"/>
            <w:r w:rsidRPr="00095583">
              <w:rPr>
                <w:rFonts w:eastAsia="Century Gothic" w:cs="Century Gothic"/>
                <w:color w:val="404040"/>
                <w:szCs w:val="21"/>
              </w:rPr>
              <w:t xml:space="preserve"> only forest types with active timber production.</w:t>
            </w:r>
          </w:p>
          <w:p w14:paraId="00000217"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404040"/>
                <w:szCs w:val="21"/>
              </w:rPr>
              <w:t>An appropriate source of data will be Government records on annual allowable cuts for the areas of commercial forests.</w:t>
            </w:r>
          </w:p>
          <w:p w14:paraId="00000218"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404040"/>
                <w:szCs w:val="21"/>
              </w:rPr>
              <w:t>Where volumes are used the source of data wood density is required to convert to merchantable biomass. The source of data on wood densities must be chosen with priority from higher to lower preference as follows:</w:t>
            </w:r>
          </w:p>
          <w:p w14:paraId="00000219" w14:textId="77777777" w:rsidR="00471C28" w:rsidRPr="00095583" w:rsidRDefault="00CF15C9">
            <w:pPr>
              <w:numPr>
                <w:ilvl w:val="0"/>
                <w:numId w:val="13"/>
              </w:numPr>
              <w:spacing w:before="60" w:line="288" w:lineRule="auto"/>
              <w:rPr>
                <w:rFonts w:eastAsia="Century Gothic" w:cs="Century Gothic"/>
                <w:color w:val="404040"/>
                <w:szCs w:val="21"/>
              </w:rPr>
            </w:pPr>
            <w:r w:rsidRPr="00095583">
              <w:rPr>
                <w:rFonts w:eastAsia="Century Gothic" w:cs="Century Gothic"/>
                <w:color w:val="404040"/>
                <w:szCs w:val="21"/>
              </w:rPr>
              <w:t>Knowledge on commercial species and thus an appropriately weighted wood density derived from the density of these species</w:t>
            </w:r>
          </w:p>
          <w:p w14:paraId="0000021A" w14:textId="794B37C9" w:rsidR="00471C28" w:rsidRPr="00095583" w:rsidRDefault="00CF15C9">
            <w:pPr>
              <w:numPr>
                <w:ilvl w:val="0"/>
                <w:numId w:val="13"/>
              </w:numPr>
              <w:spacing w:after="120" w:line="288" w:lineRule="auto"/>
              <w:rPr>
                <w:rFonts w:eastAsia="Century Gothic" w:cs="Century Gothic"/>
                <w:color w:val="404040"/>
                <w:szCs w:val="21"/>
              </w:rPr>
            </w:pPr>
            <w:r w:rsidRPr="00095583">
              <w:rPr>
                <w:rFonts w:eastAsia="Century Gothic" w:cs="Century Gothic"/>
                <w:color w:val="404040"/>
                <w:szCs w:val="21"/>
              </w:rPr>
              <w:t>A region-specific mean wood density as given e</w:t>
            </w:r>
            <w:r w:rsidR="007C4F71" w:rsidRPr="00095583">
              <w:rPr>
                <w:rFonts w:eastAsia="Century Gothic" w:cs="Century Gothic"/>
                <w:color w:val="404040"/>
                <w:szCs w:val="21"/>
              </w:rPr>
              <w:t>.</w:t>
            </w:r>
            <w:r w:rsidRPr="00095583">
              <w:rPr>
                <w:rFonts w:eastAsia="Century Gothic" w:cs="Century Gothic"/>
                <w:color w:val="404040"/>
                <w:szCs w:val="21"/>
              </w:rPr>
              <w:t>g</w:t>
            </w:r>
            <w:r w:rsidR="007C4F71" w:rsidRPr="00095583">
              <w:rPr>
                <w:rFonts w:eastAsia="Century Gothic" w:cs="Century Gothic"/>
                <w:color w:val="404040"/>
                <w:szCs w:val="21"/>
              </w:rPr>
              <w:t>.</w:t>
            </w:r>
            <w:r w:rsidRPr="00095583">
              <w:rPr>
                <w:rFonts w:eastAsia="Century Gothic" w:cs="Century Gothic"/>
                <w:color w:val="404040"/>
                <w:szCs w:val="21"/>
              </w:rPr>
              <w:t>, in Brown 1997</w:t>
            </w:r>
            <w:r w:rsidRPr="00095583">
              <w:rPr>
                <w:rFonts w:eastAsia="Century Gothic" w:cs="Century Gothic"/>
                <w:color w:val="404040"/>
                <w:szCs w:val="21"/>
                <w:vertAlign w:val="superscript"/>
              </w:rPr>
              <w:footnoteReference w:id="8"/>
            </w:r>
          </w:p>
          <w:p w14:paraId="0000021B" w14:textId="77777777" w:rsidR="00471C28" w:rsidRPr="00095583" w:rsidRDefault="00471C28">
            <w:pPr>
              <w:spacing w:before="60" w:after="120" w:line="288" w:lineRule="auto"/>
              <w:rPr>
                <w:rFonts w:eastAsia="Century Gothic" w:cs="Century Gothic"/>
                <w:color w:val="404040"/>
                <w:szCs w:val="21"/>
              </w:rPr>
            </w:pPr>
          </w:p>
        </w:tc>
      </w:tr>
      <w:tr w:rsidR="00471C28" w14:paraId="037E7F28" w14:textId="77777777" w:rsidTr="00471C28">
        <w:trPr>
          <w:trHeight w:val="360"/>
        </w:trPr>
        <w:tc>
          <w:tcPr>
            <w:tcW w:w="2520" w:type="dxa"/>
            <w:shd w:val="clear" w:color="auto" w:fill="CCD4E5"/>
          </w:tcPr>
          <w:p w14:paraId="0000021C"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lastRenderedPageBreak/>
              <w:t>Description of measurement methods and procedures to be applied:</w:t>
            </w:r>
          </w:p>
        </w:tc>
        <w:tc>
          <w:tcPr>
            <w:tcW w:w="6120" w:type="dxa"/>
            <w:shd w:val="clear" w:color="auto" w:fill="F2F2F2"/>
          </w:tcPr>
          <w:p w14:paraId="0000021D"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color w:val="404040"/>
                <w:szCs w:val="21"/>
              </w:rPr>
              <w:t>Default values can be derived using FIA data based on the Forest Type Group</w:t>
            </w:r>
          </w:p>
        </w:tc>
      </w:tr>
      <w:tr w:rsidR="00471C28" w14:paraId="26E0DC6D" w14:textId="77777777" w:rsidTr="00471C28">
        <w:trPr>
          <w:trHeight w:val="360"/>
        </w:trPr>
        <w:tc>
          <w:tcPr>
            <w:tcW w:w="2520" w:type="dxa"/>
            <w:shd w:val="clear" w:color="auto" w:fill="CCD4E5"/>
          </w:tcPr>
          <w:p w14:paraId="0000021E"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 xml:space="preserve"> Purpose of Data</w:t>
            </w:r>
          </w:p>
        </w:tc>
        <w:tc>
          <w:tcPr>
            <w:tcW w:w="6120" w:type="dxa"/>
            <w:shd w:val="clear" w:color="auto" w:fill="F2F2F2"/>
          </w:tcPr>
          <w:p w14:paraId="0000021F" w14:textId="77777777" w:rsidR="00471C28" w:rsidRPr="00095583" w:rsidRDefault="00CF15C9">
            <w:pPr>
              <w:spacing w:before="60" w:after="120" w:line="288" w:lineRule="auto"/>
              <w:rPr>
                <w:rFonts w:eastAsia="Century Gothic" w:cs="Century Gothic"/>
                <w:color w:val="404040"/>
                <w:szCs w:val="21"/>
              </w:rPr>
            </w:pPr>
            <w:r w:rsidRPr="00095583">
              <w:rPr>
                <w:rFonts w:eastAsia="Century Gothic" w:cs="Century Gothic"/>
                <w:szCs w:val="21"/>
              </w:rPr>
              <w:t>Determination of leakage deduction factor</w:t>
            </w:r>
          </w:p>
        </w:tc>
      </w:tr>
      <w:tr w:rsidR="00471C28" w14:paraId="1B751299" w14:textId="77777777" w:rsidTr="00471C28">
        <w:trPr>
          <w:trHeight w:val="360"/>
        </w:trPr>
        <w:tc>
          <w:tcPr>
            <w:tcW w:w="2520" w:type="dxa"/>
            <w:shd w:val="clear" w:color="auto" w:fill="CCD4E5"/>
          </w:tcPr>
          <w:p w14:paraId="00000220" w14:textId="77777777" w:rsidR="00471C28" w:rsidRPr="00095583" w:rsidRDefault="00CF15C9">
            <w:pPr>
              <w:spacing w:before="60" w:after="120" w:line="288" w:lineRule="auto"/>
              <w:rPr>
                <w:rFonts w:eastAsia="Century Gothic" w:cs="Century Gothic"/>
                <w:szCs w:val="21"/>
              </w:rPr>
            </w:pPr>
            <w:r w:rsidRPr="00095583">
              <w:rPr>
                <w:rFonts w:eastAsia="Century Gothic" w:cs="Century Gothic"/>
                <w:szCs w:val="21"/>
              </w:rPr>
              <w:t>Comments</w:t>
            </w:r>
          </w:p>
        </w:tc>
        <w:tc>
          <w:tcPr>
            <w:tcW w:w="6120" w:type="dxa"/>
            <w:shd w:val="clear" w:color="auto" w:fill="F2F2F2"/>
          </w:tcPr>
          <w:p w14:paraId="00000221" w14:textId="77777777" w:rsidR="00471C28" w:rsidRPr="00095583" w:rsidRDefault="00471C28">
            <w:pPr>
              <w:spacing w:before="60" w:after="120" w:line="288" w:lineRule="auto"/>
              <w:rPr>
                <w:rFonts w:eastAsia="Century Gothic" w:cs="Century Gothic"/>
                <w:color w:val="404040"/>
                <w:szCs w:val="21"/>
              </w:rPr>
            </w:pPr>
          </w:p>
        </w:tc>
      </w:tr>
    </w:tbl>
    <w:p w14:paraId="00000222" w14:textId="77777777" w:rsidR="00471C28" w:rsidRDefault="00471C28">
      <w:pPr>
        <w:spacing w:before="60" w:after="120"/>
      </w:pPr>
    </w:p>
    <w:p w14:paraId="00000223" w14:textId="77777777" w:rsidR="00471C28" w:rsidRDefault="00CF15C9" w:rsidP="00095583">
      <w:pPr>
        <w:pStyle w:val="Heading2"/>
      </w:pPr>
      <w:bookmarkStart w:id="48" w:name="_heading=h.blttc6hm67wk" w:colFirst="0" w:colLast="0"/>
      <w:bookmarkStart w:id="49" w:name="_Toc98322295"/>
      <w:bookmarkEnd w:id="48"/>
      <w:r>
        <w:t xml:space="preserve">Description of the </w:t>
      </w:r>
      <w:r w:rsidRPr="00095583">
        <w:t>Monitoring</w:t>
      </w:r>
      <w:r>
        <w:t xml:space="preserve"> Plan</w:t>
      </w:r>
      <w:bookmarkEnd w:id="49"/>
    </w:p>
    <w:p w14:paraId="00000224" w14:textId="00BC9E08" w:rsidR="00471C28" w:rsidRPr="00095583" w:rsidRDefault="00CF15C9" w:rsidP="00095583">
      <w:pPr>
        <w:pBdr>
          <w:top w:val="nil"/>
          <w:left w:val="nil"/>
          <w:bottom w:val="nil"/>
          <w:right w:val="nil"/>
          <w:between w:val="nil"/>
        </w:pBdr>
        <w:spacing w:before="60" w:after="120"/>
        <w:ind w:left="720"/>
        <w:rPr>
          <w:rFonts w:eastAsia="Century Gothic" w:cs="Century Gothic"/>
        </w:rPr>
      </w:pPr>
      <w:r w:rsidRPr="00095583">
        <w:rPr>
          <w:rFonts w:eastAsia="Century Gothic" w:cs="Century Gothic"/>
        </w:rPr>
        <w:t xml:space="preserve">Monitoring of the baseline and project scenarios is required. Stock changes over an activity period are monitored through field-based measurements that may be supplemented with remote sensing measurements and data to detect, for instance, disturbance on participating properties included in the program area. Plot-based field measurements are structured as repeated measures by taking measurements at t0 and taking measurements of the same plots again at t1. </w:t>
      </w:r>
      <w:r w:rsidR="00340AF2" w:rsidRPr="00095583">
        <w:rPr>
          <w:rFonts w:eastAsia="Century Gothic" w:cs="Century Gothic"/>
        </w:rPr>
        <w:t xml:space="preserve">Plots should be monumented, with flagging and/or rebar, </w:t>
      </w:r>
      <w:proofErr w:type="gramStart"/>
      <w:r w:rsidR="00340AF2" w:rsidRPr="00095583">
        <w:rPr>
          <w:rFonts w:eastAsia="Century Gothic" w:cs="Century Gothic"/>
        </w:rPr>
        <w:t>in order to</w:t>
      </w:r>
      <w:proofErr w:type="gramEnd"/>
      <w:r w:rsidR="00340AF2" w:rsidRPr="00095583">
        <w:rPr>
          <w:rFonts w:eastAsia="Century Gothic" w:cs="Century Gothic"/>
        </w:rPr>
        <w:t xml:space="preserve"> facilitate remeasurement, and project developers should appropriately account for plot that cannot be relocated due to harvest or other disturbance. </w:t>
      </w:r>
      <w:proofErr w:type="gramStart"/>
      <w:r w:rsidR="00C941FE" w:rsidRPr="00095583">
        <w:rPr>
          <w:rFonts w:eastAsia="Century Gothic" w:cs="Century Gothic"/>
        </w:rPr>
        <w:t>In</w:t>
      </w:r>
      <w:r w:rsidRPr="00095583">
        <w:rPr>
          <w:rFonts w:eastAsia="Century Gothic" w:cs="Century Gothic"/>
        </w:rPr>
        <w:t xml:space="preserve"> order to</w:t>
      </w:r>
      <w:proofErr w:type="gramEnd"/>
      <w:r w:rsidRPr="00095583">
        <w:rPr>
          <w:rFonts w:eastAsia="Century Gothic" w:cs="Century Gothic"/>
        </w:rPr>
        <w:t xml:space="preserve"> facilitate an accurate BAU </w:t>
      </w:r>
      <w:r w:rsidRPr="00095583">
        <w:rPr>
          <w:rFonts w:eastAsia="Century Gothic" w:cs="Century Gothic"/>
        </w:rPr>
        <w:lastRenderedPageBreak/>
        <w:t xml:space="preserve">assessment and to quantify emission reductions over an activity period, a new forest inventory is constructed for each activity period during a crediting period.  Monitoring and crediting may take place after the end of the activity period but before the end of the project crediting period, with explicit permission from the participant; this can include an appropriately rigorous combination of remote sensing and field measurement. </w:t>
      </w:r>
      <w:r w:rsidR="00C941FE" w:rsidRPr="00095583">
        <w:rPr>
          <w:rFonts w:eastAsia="Century Gothic" w:cs="Century Gothic"/>
        </w:rPr>
        <w:t xml:space="preserve">Remote sensing would be used to monitor forest disturbance and harvesting </w:t>
      </w:r>
      <w:proofErr w:type="gramStart"/>
      <w:r w:rsidR="00C941FE" w:rsidRPr="00095583">
        <w:rPr>
          <w:rFonts w:eastAsia="Century Gothic" w:cs="Century Gothic"/>
        </w:rPr>
        <w:t>levels, and</w:t>
      </w:r>
      <w:proofErr w:type="gramEnd"/>
      <w:r w:rsidR="00C941FE" w:rsidRPr="00095583">
        <w:rPr>
          <w:rFonts w:eastAsia="Century Gothic" w:cs="Century Gothic"/>
        </w:rPr>
        <w:t xml:space="preserve"> supplemented with field measurement similar to measurements made at the end of an activity period. </w:t>
      </w:r>
      <w:r w:rsidR="00444CC1" w:rsidRPr="00095583">
        <w:rPr>
          <w:rFonts w:eastAsia="Century Gothic" w:cs="Century Gothic"/>
        </w:rPr>
        <w:t>This facilitates the ongoing evaluation of permanence, leakage, and overall impact of project activities.</w:t>
      </w:r>
    </w:p>
    <w:p w14:paraId="00000225" w14:textId="77777777" w:rsidR="00471C28" w:rsidRPr="00095583" w:rsidRDefault="00CF15C9" w:rsidP="00095583">
      <w:pPr>
        <w:pBdr>
          <w:top w:val="nil"/>
          <w:left w:val="nil"/>
          <w:bottom w:val="nil"/>
          <w:right w:val="nil"/>
          <w:between w:val="nil"/>
        </w:pBdr>
        <w:spacing w:before="60" w:after="120"/>
        <w:ind w:left="720"/>
        <w:rPr>
          <w:rFonts w:eastAsia="Century Gothic" w:cs="Century Gothic"/>
        </w:rPr>
      </w:pPr>
      <w:r w:rsidRPr="00095583">
        <w:rPr>
          <w:rFonts w:eastAsia="Century Gothic" w:cs="Century Gothic"/>
        </w:rPr>
        <w:t xml:space="preserve">Project proponents are required to develop a monitoring plan documenting the data collection procedures for all monitored parameters in Section 9.2. The monitoring plan shall include: </w:t>
      </w:r>
    </w:p>
    <w:p w14:paraId="00000226" w14:textId="77777777" w:rsidR="00471C28" w:rsidRPr="00095583" w:rsidRDefault="00CF15C9" w:rsidP="00095583">
      <w:pPr>
        <w:numPr>
          <w:ilvl w:val="0"/>
          <w:numId w:val="8"/>
        </w:numPr>
        <w:pBdr>
          <w:top w:val="nil"/>
          <w:left w:val="nil"/>
          <w:bottom w:val="nil"/>
          <w:right w:val="nil"/>
          <w:between w:val="nil"/>
        </w:pBdr>
        <w:spacing w:before="60" w:after="120"/>
        <w:rPr>
          <w:rFonts w:eastAsia="Century Gothic" w:cs="Century Gothic"/>
        </w:rPr>
      </w:pPr>
      <w:r w:rsidRPr="00095583">
        <w:rPr>
          <w:rFonts w:eastAsia="Century Gothic" w:cs="Century Gothic"/>
        </w:rPr>
        <w:t xml:space="preserve">The geographic coordinates of all participating properties within the program </w:t>
      </w:r>
      <w:proofErr w:type="gramStart"/>
      <w:r w:rsidRPr="00095583">
        <w:rPr>
          <w:rFonts w:eastAsia="Century Gothic" w:cs="Century Gothic"/>
        </w:rPr>
        <w:t>area;</w:t>
      </w:r>
      <w:proofErr w:type="gramEnd"/>
    </w:p>
    <w:p w14:paraId="00000227" w14:textId="77777777" w:rsidR="00471C28" w:rsidRPr="00095583" w:rsidRDefault="00CF15C9" w:rsidP="00095583">
      <w:pPr>
        <w:numPr>
          <w:ilvl w:val="0"/>
          <w:numId w:val="8"/>
        </w:numPr>
        <w:pBdr>
          <w:top w:val="nil"/>
          <w:left w:val="nil"/>
          <w:bottom w:val="nil"/>
          <w:right w:val="nil"/>
          <w:between w:val="nil"/>
        </w:pBdr>
        <w:spacing w:before="60" w:after="120"/>
        <w:rPr>
          <w:rFonts w:eastAsia="Century Gothic" w:cs="Century Gothic"/>
        </w:rPr>
      </w:pPr>
      <w:r w:rsidRPr="00095583">
        <w:rPr>
          <w:rFonts w:eastAsia="Century Gothic" w:cs="Century Gothic"/>
        </w:rPr>
        <w:t xml:space="preserve">If applicable, a description of the use of georeferenced spatial data in the context of the required BAU assessment and baseline (t0) and project (t1) forest </w:t>
      </w:r>
      <w:proofErr w:type="gramStart"/>
      <w:r w:rsidRPr="00095583">
        <w:rPr>
          <w:rFonts w:eastAsia="Century Gothic" w:cs="Century Gothic"/>
        </w:rPr>
        <w:t>inventories;</w:t>
      </w:r>
      <w:proofErr w:type="gramEnd"/>
      <w:r w:rsidRPr="00095583">
        <w:rPr>
          <w:rFonts w:eastAsia="Century Gothic" w:cs="Century Gothic"/>
        </w:rPr>
        <w:t xml:space="preserve">  </w:t>
      </w:r>
    </w:p>
    <w:p w14:paraId="00000228" w14:textId="77777777" w:rsidR="00471C28" w:rsidRPr="00095583" w:rsidRDefault="00CF15C9" w:rsidP="00095583">
      <w:pPr>
        <w:numPr>
          <w:ilvl w:val="0"/>
          <w:numId w:val="8"/>
        </w:numPr>
        <w:pBdr>
          <w:top w:val="nil"/>
          <w:left w:val="nil"/>
          <w:bottom w:val="nil"/>
          <w:right w:val="nil"/>
          <w:between w:val="nil"/>
        </w:pBdr>
        <w:spacing w:before="60" w:after="120"/>
        <w:rPr>
          <w:rFonts w:eastAsia="Century Gothic" w:cs="Century Gothic"/>
        </w:rPr>
      </w:pPr>
      <w:r w:rsidRPr="00095583">
        <w:rPr>
          <w:rFonts w:eastAsia="Century Gothic" w:cs="Century Gothic"/>
        </w:rPr>
        <w:t xml:space="preserve">Standard operating procedures and quality control/quality assurance procedures for forest inventory field data collection and </w:t>
      </w:r>
      <w:proofErr w:type="gramStart"/>
      <w:r w:rsidRPr="00095583">
        <w:rPr>
          <w:rFonts w:eastAsia="Century Gothic" w:cs="Century Gothic"/>
        </w:rPr>
        <w:t>management;</w:t>
      </w:r>
      <w:proofErr w:type="gramEnd"/>
      <w:r w:rsidRPr="00095583">
        <w:rPr>
          <w:rFonts w:eastAsia="Century Gothic" w:cs="Century Gothic"/>
        </w:rPr>
        <w:t xml:space="preserve"> </w:t>
      </w:r>
    </w:p>
    <w:p w14:paraId="00000229" w14:textId="77777777" w:rsidR="00471C28" w:rsidRPr="00095583" w:rsidRDefault="00CF15C9" w:rsidP="00095583">
      <w:pPr>
        <w:numPr>
          <w:ilvl w:val="1"/>
          <w:numId w:val="8"/>
        </w:numPr>
        <w:pBdr>
          <w:top w:val="nil"/>
          <w:left w:val="nil"/>
          <w:bottom w:val="nil"/>
          <w:right w:val="nil"/>
          <w:between w:val="nil"/>
        </w:pBdr>
        <w:spacing w:before="60" w:after="120"/>
        <w:rPr>
          <w:rFonts w:eastAsia="Century Gothic" w:cs="Century Gothic"/>
        </w:rPr>
      </w:pPr>
      <w:r w:rsidRPr="00095583">
        <w:rPr>
          <w:rFonts w:eastAsia="Century Gothic" w:cs="Century Gothic"/>
        </w:rPr>
        <w:t>Procedures must include a discussion of sample design for the activity period, including the use of stratification, the sample population, and justification of sampling intensity (noting the target precision of +/-10% of the mean at the 90% confidence interval for biomass estimates</w:t>
      </w:r>
      <w:proofErr w:type="gramStart"/>
      <w:r w:rsidRPr="00095583">
        <w:rPr>
          <w:rFonts w:eastAsia="Century Gothic" w:cs="Century Gothic"/>
        </w:rPr>
        <w:t>);</w:t>
      </w:r>
      <w:proofErr w:type="gramEnd"/>
      <w:r w:rsidRPr="00095583">
        <w:rPr>
          <w:rFonts w:eastAsia="Century Gothic" w:cs="Century Gothic"/>
        </w:rPr>
        <w:t xml:space="preserve"> </w:t>
      </w:r>
    </w:p>
    <w:p w14:paraId="0000022A" w14:textId="77777777" w:rsidR="00471C28" w:rsidRPr="00095583" w:rsidRDefault="00CF15C9" w:rsidP="00095583">
      <w:pPr>
        <w:numPr>
          <w:ilvl w:val="0"/>
          <w:numId w:val="8"/>
        </w:numPr>
        <w:pBdr>
          <w:top w:val="nil"/>
          <w:left w:val="nil"/>
          <w:bottom w:val="nil"/>
          <w:right w:val="nil"/>
          <w:between w:val="nil"/>
        </w:pBdr>
        <w:spacing w:before="60" w:after="120"/>
        <w:rPr>
          <w:rFonts w:eastAsia="Century Gothic" w:cs="Century Gothic"/>
        </w:rPr>
      </w:pPr>
      <w:r w:rsidRPr="00095583">
        <w:rPr>
          <w:rFonts w:eastAsia="Century Gothic" w:cs="Century Gothic"/>
        </w:rPr>
        <w:t xml:space="preserve">Procedures for the long-term storage and archival of all project-related data and information which must be archived for a minimum of two years after the end of the project crediting period; and  </w:t>
      </w:r>
    </w:p>
    <w:p w14:paraId="0000022B" w14:textId="77777777" w:rsidR="00471C28" w:rsidRPr="00095583" w:rsidRDefault="00CF15C9" w:rsidP="00095583">
      <w:pPr>
        <w:numPr>
          <w:ilvl w:val="0"/>
          <w:numId w:val="8"/>
        </w:numPr>
        <w:pBdr>
          <w:top w:val="nil"/>
          <w:left w:val="nil"/>
          <w:bottom w:val="nil"/>
          <w:right w:val="nil"/>
          <w:between w:val="nil"/>
        </w:pBdr>
        <w:spacing w:before="60" w:after="120"/>
        <w:rPr>
          <w:rFonts w:eastAsia="Century Gothic" w:cs="Century Gothic"/>
        </w:rPr>
      </w:pPr>
      <w:r w:rsidRPr="00095583">
        <w:rPr>
          <w:rFonts w:eastAsia="Century Gothic" w:cs="Century Gothic"/>
        </w:rPr>
        <w:t xml:space="preserve">Roles and responsibilities for all personnel involved in project monitoring. </w:t>
      </w:r>
    </w:p>
    <w:bookmarkStart w:id="50" w:name="_Toc98322296"/>
    <w:p w14:paraId="0000022D" w14:textId="43084E6C" w:rsidR="00471C28" w:rsidRPr="00D800F2" w:rsidRDefault="00000000" w:rsidP="00095583">
      <w:pPr>
        <w:pStyle w:val="Heading1"/>
      </w:pPr>
      <w:sdt>
        <w:sdtPr>
          <w:tag w:val="goog_rdk_2"/>
          <w:id w:val="-357737401"/>
        </w:sdtPr>
        <w:sdtContent/>
      </w:sdt>
      <w:r w:rsidR="00CF15C9" w:rsidRPr="00095583">
        <w:t>References</w:t>
      </w:r>
      <w:bookmarkEnd w:id="50"/>
    </w:p>
    <w:p w14:paraId="00000231" w14:textId="13698AE4" w:rsidR="00471C28" w:rsidRPr="00095583" w:rsidRDefault="00CF15C9" w:rsidP="00095583">
      <w:pPr>
        <w:spacing w:before="60" w:after="120"/>
        <w:ind w:left="360"/>
        <w:rPr>
          <w:rFonts w:eastAsia="Century Gothic" w:cs="Century Gothic"/>
        </w:rPr>
      </w:pPr>
      <w:r w:rsidRPr="00095583">
        <w:rPr>
          <w:rFonts w:eastAsia="Century Gothic" w:cs="Century Gothic"/>
        </w:rPr>
        <w:t xml:space="preserve">Heath, L. Hansen, M. Smith, J. Miles, P. (2009) </w:t>
      </w:r>
      <w:r w:rsidRPr="00095583">
        <w:rPr>
          <w:rFonts w:eastAsia="Century Gothic" w:cs="Century Gothic"/>
          <w:i/>
        </w:rPr>
        <w:t>Investigation into Calculating Tree Biomass and Carbon in the FIADB Using a Biomass Expansion Factor Approach.</w:t>
      </w:r>
      <w:r w:rsidRPr="00095583">
        <w:rPr>
          <w:rFonts w:eastAsia="Century Gothic" w:cs="Century Gothic"/>
        </w:rPr>
        <w:t xml:space="preserve"> Forest Inventory and Analysis.</w:t>
      </w:r>
    </w:p>
    <w:p w14:paraId="00000233" w14:textId="77777777" w:rsidR="00471C28" w:rsidRPr="00095583" w:rsidRDefault="00CF15C9" w:rsidP="00095583">
      <w:pPr>
        <w:spacing w:before="60" w:after="120"/>
        <w:ind w:left="360"/>
        <w:rPr>
          <w:rFonts w:eastAsia="Century Gothic" w:cs="Century Gothic"/>
        </w:rPr>
      </w:pPr>
      <w:r w:rsidRPr="00095583">
        <w:rPr>
          <w:rFonts w:eastAsia="Century Gothic" w:cs="Century Gothic"/>
        </w:rPr>
        <w:t xml:space="preserve">Jenkins, J. </w:t>
      </w:r>
      <w:proofErr w:type="spellStart"/>
      <w:r w:rsidRPr="00095583">
        <w:rPr>
          <w:rFonts w:eastAsia="Century Gothic" w:cs="Century Gothic"/>
        </w:rPr>
        <w:t>Chojnacky</w:t>
      </w:r>
      <w:proofErr w:type="spellEnd"/>
      <w:r w:rsidRPr="00095583">
        <w:rPr>
          <w:rFonts w:eastAsia="Century Gothic" w:cs="Century Gothic"/>
        </w:rPr>
        <w:t xml:space="preserve">, D. Heath, L. </w:t>
      </w:r>
      <w:proofErr w:type="spellStart"/>
      <w:r w:rsidRPr="00095583">
        <w:rPr>
          <w:rFonts w:eastAsia="Century Gothic" w:cs="Century Gothic"/>
        </w:rPr>
        <w:t>Birdsey</w:t>
      </w:r>
      <w:proofErr w:type="spellEnd"/>
      <w:r w:rsidRPr="00095583">
        <w:rPr>
          <w:rFonts w:eastAsia="Century Gothic" w:cs="Century Gothic"/>
        </w:rPr>
        <w:t xml:space="preserve">, R. (2004) </w:t>
      </w:r>
      <w:r w:rsidRPr="00095583">
        <w:rPr>
          <w:rFonts w:eastAsia="Century Gothic" w:cs="Century Gothic"/>
          <w:i/>
        </w:rPr>
        <w:t xml:space="preserve">Comprehensive Database of Diameter-based Biomass Regressions for North American Tree Species. </w:t>
      </w:r>
      <w:r w:rsidRPr="00095583">
        <w:rPr>
          <w:rFonts w:eastAsia="Century Gothic" w:cs="Century Gothic"/>
        </w:rPr>
        <w:t xml:space="preserve">General Technical Report NE-319. U.S. Department of Agriculture, Forest Service, </w:t>
      </w:r>
      <w:proofErr w:type="spellStart"/>
      <w:r w:rsidRPr="00095583">
        <w:rPr>
          <w:rFonts w:eastAsia="Century Gothic" w:cs="Century Gothic"/>
        </w:rPr>
        <w:t>Northeastern</w:t>
      </w:r>
      <w:proofErr w:type="spellEnd"/>
      <w:r w:rsidRPr="00095583">
        <w:rPr>
          <w:rFonts w:eastAsia="Century Gothic" w:cs="Century Gothic"/>
        </w:rPr>
        <w:t xml:space="preserve"> Research Station.</w:t>
      </w:r>
    </w:p>
    <w:p w14:paraId="00000235" w14:textId="77777777" w:rsidR="00471C28" w:rsidRPr="00095583" w:rsidRDefault="00CF15C9" w:rsidP="00095583">
      <w:pPr>
        <w:spacing w:before="60" w:after="120"/>
        <w:ind w:left="360"/>
        <w:rPr>
          <w:rFonts w:eastAsia="Century Gothic" w:cs="Century Gothic"/>
        </w:rPr>
      </w:pPr>
      <w:r w:rsidRPr="00095583">
        <w:rPr>
          <w:rFonts w:eastAsia="Century Gothic" w:cs="Century Gothic"/>
        </w:rPr>
        <w:t xml:space="preserve">Miles, P. Smith, W. (2009) </w:t>
      </w:r>
      <w:r w:rsidRPr="00095583">
        <w:rPr>
          <w:rFonts w:eastAsia="Century Gothic" w:cs="Century Gothic"/>
          <w:i/>
        </w:rPr>
        <w:t>Specific Gravity and Other Properties of Wood and Bark for 156 Tree Species Found in North America</w:t>
      </w:r>
      <w:r w:rsidRPr="00095583">
        <w:rPr>
          <w:rFonts w:eastAsia="Century Gothic" w:cs="Century Gothic"/>
        </w:rPr>
        <w:t>. Res. Note NRS-38. U.S. Department of Agriculture, Forest Service, Northern Research Station. 35 p.</w:t>
      </w:r>
    </w:p>
    <w:p w14:paraId="00000236" w14:textId="77777777" w:rsidR="00471C28" w:rsidRPr="00095583" w:rsidRDefault="00CF15C9" w:rsidP="00095583">
      <w:pPr>
        <w:spacing w:before="60" w:after="120"/>
        <w:ind w:left="360"/>
        <w:rPr>
          <w:rFonts w:eastAsia="Century Gothic" w:cs="Century Gothic"/>
        </w:rPr>
      </w:pPr>
      <w:r w:rsidRPr="00095583">
        <w:rPr>
          <w:rFonts w:eastAsia="Century Gothic" w:cs="Century Gothic"/>
        </w:rPr>
        <w:t xml:space="preserve">Murray, B. </w:t>
      </w:r>
      <w:proofErr w:type="spellStart"/>
      <w:r w:rsidRPr="00095583">
        <w:rPr>
          <w:rFonts w:eastAsia="Century Gothic" w:cs="Century Gothic"/>
        </w:rPr>
        <w:t>McCarl</w:t>
      </w:r>
      <w:proofErr w:type="spellEnd"/>
      <w:r w:rsidRPr="00095583">
        <w:rPr>
          <w:rFonts w:eastAsia="Century Gothic" w:cs="Century Gothic"/>
        </w:rPr>
        <w:t xml:space="preserve">, B. and Lee, H. (2004) </w:t>
      </w:r>
      <w:r w:rsidRPr="00095583">
        <w:rPr>
          <w:rFonts w:eastAsia="Century Gothic" w:cs="Century Gothic"/>
          <w:i/>
        </w:rPr>
        <w:t>Estimating Leakage from Forest Carbon Sequestration Programs</w:t>
      </w:r>
      <w:r w:rsidRPr="00095583">
        <w:rPr>
          <w:rFonts w:eastAsia="Century Gothic" w:cs="Century Gothic"/>
        </w:rPr>
        <w:t>. Land Economics. Vol 80 No. 1: 109-124</w:t>
      </w:r>
    </w:p>
    <w:p w14:paraId="00000238" w14:textId="77777777" w:rsidR="00471C28" w:rsidRPr="00095583" w:rsidRDefault="00CF15C9" w:rsidP="00095583">
      <w:pPr>
        <w:spacing w:before="60" w:after="120" w:line="288" w:lineRule="auto"/>
        <w:ind w:left="360"/>
        <w:rPr>
          <w:rFonts w:eastAsia="Century Gothic" w:cs="Century Gothic"/>
        </w:rPr>
      </w:pPr>
      <w:proofErr w:type="spellStart"/>
      <w:r w:rsidRPr="00095583">
        <w:rPr>
          <w:rFonts w:eastAsia="Century Gothic" w:cs="Century Gothic"/>
        </w:rPr>
        <w:lastRenderedPageBreak/>
        <w:t>Prestemon</w:t>
      </w:r>
      <w:proofErr w:type="spellEnd"/>
      <w:r w:rsidRPr="00095583">
        <w:rPr>
          <w:rFonts w:eastAsia="Century Gothic" w:cs="Century Gothic"/>
        </w:rPr>
        <w:t xml:space="preserve">, J. and Wear, D. (2000) </w:t>
      </w:r>
      <w:r w:rsidRPr="00095583">
        <w:rPr>
          <w:rFonts w:eastAsia="Century Gothic" w:cs="Century Gothic"/>
          <w:i/>
        </w:rPr>
        <w:t>Linking Harvest Choices to Timber Supply.</w:t>
      </w:r>
      <w:r w:rsidRPr="00095583">
        <w:rPr>
          <w:rFonts w:eastAsia="Century Gothic" w:cs="Century Gothic"/>
        </w:rPr>
        <w:t xml:space="preserve"> Forest Science Vol 46 No. 3: 377 - 389 </w:t>
      </w:r>
    </w:p>
    <w:p w14:paraId="00000239" w14:textId="77777777" w:rsidR="00471C28" w:rsidRPr="00095583" w:rsidRDefault="00CF15C9" w:rsidP="00095583">
      <w:pPr>
        <w:spacing w:before="60" w:after="120"/>
        <w:ind w:left="360"/>
        <w:rPr>
          <w:rFonts w:eastAsia="Century Gothic" w:cs="Century Gothic"/>
        </w:rPr>
      </w:pPr>
      <w:proofErr w:type="spellStart"/>
      <w:r w:rsidRPr="00095583">
        <w:rPr>
          <w:rFonts w:eastAsia="Century Gothic" w:cs="Century Gothic"/>
        </w:rPr>
        <w:t>Raile</w:t>
      </w:r>
      <w:proofErr w:type="spellEnd"/>
      <w:r w:rsidRPr="00095583">
        <w:rPr>
          <w:rFonts w:eastAsia="Century Gothic" w:cs="Century Gothic"/>
        </w:rPr>
        <w:t xml:space="preserve">, G. (1982) </w:t>
      </w:r>
      <w:r w:rsidRPr="00095583">
        <w:rPr>
          <w:rFonts w:eastAsia="Century Gothic" w:cs="Century Gothic"/>
          <w:i/>
        </w:rPr>
        <w:t xml:space="preserve">Estimating Stump Volume. </w:t>
      </w:r>
      <w:r w:rsidRPr="00095583">
        <w:rPr>
          <w:rFonts w:eastAsia="Century Gothic" w:cs="Century Gothic"/>
        </w:rPr>
        <w:t>Research Paper NC-224. U.S. Dept. of Agriculture, Forest Service, North Central Forest Experiment Station.</w:t>
      </w:r>
    </w:p>
    <w:p w14:paraId="0000023A" w14:textId="77777777" w:rsidR="00471C28" w:rsidRPr="00095583" w:rsidRDefault="00CF15C9" w:rsidP="00095583">
      <w:pPr>
        <w:spacing w:before="60" w:after="120"/>
        <w:ind w:left="360"/>
        <w:rPr>
          <w:rFonts w:eastAsia="Century Gothic" w:cs="Century Gothic"/>
        </w:rPr>
      </w:pPr>
      <w:r w:rsidRPr="00095583">
        <w:rPr>
          <w:rFonts w:eastAsia="Century Gothic" w:cs="Century Gothic"/>
        </w:rPr>
        <w:t xml:space="preserve">Woodall, C. Heath, L. </w:t>
      </w:r>
      <w:proofErr w:type="spellStart"/>
      <w:r w:rsidRPr="00095583">
        <w:rPr>
          <w:rFonts w:eastAsia="Century Gothic" w:cs="Century Gothic"/>
        </w:rPr>
        <w:t>Domke</w:t>
      </w:r>
      <w:proofErr w:type="spellEnd"/>
      <w:r w:rsidRPr="00095583">
        <w:rPr>
          <w:rFonts w:eastAsia="Century Gothic" w:cs="Century Gothic"/>
        </w:rPr>
        <w:t xml:space="preserve">, G. and Nichols, M. (2011) </w:t>
      </w:r>
      <w:r w:rsidRPr="00095583">
        <w:rPr>
          <w:rFonts w:eastAsia="Century Gothic" w:cs="Century Gothic"/>
          <w:i/>
        </w:rPr>
        <w:t>Methods and equations for estimating aboveground volume, biomass, and carbon for trees in the US forest inventory</w:t>
      </w:r>
      <w:r w:rsidRPr="00095583">
        <w:rPr>
          <w:rFonts w:eastAsia="Century Gothic" w:cs="Century Gothic"/>
        </w:rPr>
        <w:t xml:space="preserve">. U.S. Department of Agriculture, Forest Service </w:t>
      </w:r>
    </w:p>
    <w:p w14:paraId="0000023B" w14:textId="50028A41" w:rsidR="00095583" w:rsidRDefault="00CF15C9" w:rsidP="00095583">
      <w:pPr>
        <w:ind w:left="360"/>
        <w:rPr>
          <w:rFonts w:eastAsia="Century Gothic" w:cs="Century Gothic"/>
        </w:rPr>
      </w:pPr>
      <w:proofErr w:type="spellStart"/>
      <w:r w:rsidRPr="00095583">
        <w:rPr>
          <w:rFonts w:eastAsia="Century Gothic" w:cs="Century Gothic"/>
        </w:rPr>
        <w:t>Winjum</w:t>
      </w:r>
      <w:proofErr w:type="spellEnd"/>
      <w:r w:rsidRPr="00095583">
        <w:rPr>
          <w:rFonts w:eastAsia="Century Gothic" w:cs="Century Gothic"/>
        </w:rPr>
        <w:t xml:space="preserve">, J.K., Brown, S. and </w:t>
      </w:r>
      <w:proofErr w:type="spellStart"/>
      <w:r w:rsidRPr="00095583">
        <w:rPr>
          <w:rFonts w:eastAsia="Century Gothic" w:cs="Century Gothic"/>
        </w:rPr>
        <w:t>Schlamadinger</w:t>
      </w:r>
      <w:proofErr w:type="spellEnd"/>
      <w:r w:rsidRPr="00095583">
        <w:rPr>
          <w:rFonts w:eastAsia="Century Gothic" w:cs="Century Gothic"/>
        </w:rPr>
        <w:t xml:space="preserve">, B. </w:t>
      </w:r>
      <w:r w:rsidR="005922E7" w:rsidRPr="00095583">
        <w:rPr>
          <w:rFonts w:eastAsia="Century Gothic" w:cs="Century Gothic"/>
        </w:rPr>
        <w:t>(</w:t>
      </w:r>
      <w:r w:rsidRPr="00095583">
        <w:rPr>
          <w:rFonts w:eastAsia="Century Gothic" w:cs="Century Gothic"/>
        </w:rPr>
        <w:t>1998</w:t>
      </w:r>
      <w:r w:rsidR="005922E7" w:rsidRPr="00095583">
        <w:rPr>
          <w:rFonts w:eastAsia="Century Gothic" w:cs="Century Gothic"/>
        </w:rPr>
        <w:t>)</w:t>
      </w:r>
      <w:r w:rsidRPr="00095583">
        <w:rPr>
          <w:rFonts w:eastAsia="Century Gothic" w:cs="Century Gothic"/>
        </w:rPr>
        <w:t xml:space="preserve"> </w:t>
      </w:r>
      <w:r w:rsidRPr="00095583">
        <w:rPr>
          <w:rFonts w:eastAsia="Century Gothic" w:cs="Century Gothic"/>
          <w:i/>
          <w:iCs/>
        </w:rPr>
        <w:t>Forest harvests and wood products: sources and sinks of atmospheric carbon dioxide</w:t>
      </w:r>
      <w:r w:rsidRPr="00095583">
        <w:rPr>
          <w:rFonts w:eastAsia="Century Gothic" w:cs="Century Gothic"/>
        </w:rPr>
        <w:t>. Forest Science 44: 272-284</w:t>
      </w:r>
    </w:p>
    <w:p w14:paraId="0000023C" w14:textId="77777777" w:rsidR="00095583" w:rsidRDefault="00CF15C9" w:rsidP="00095583">
      <w:pPr>
        <w:ind w:left="360"/>
        <w:rPr>
          <w:rFonts w:eastAsia="Century Gothic" w:cs="Century Gothic"/>
        </w:rPr>
      </w:pPr>
      <w:r w:rsidRPr="00095583">
        <w:rPr>
          <w:rFonts w:eastAsia="Century Gothic" w:cs="Century Gothic"/>
        </w:rPr>
        <w:t xml:space="preserve">Appendices cite additional references at the end of their respective sections. </w:t>
      </w:r>
    </w:p>
    <w:p w14:paraId="1F714545" w14:textId="77777777" w:rsidR="00095583" w:rsidRDefault="00095583">
      <w:pPr>
        <w:spacing w:before="0" w:after="160"/>
        <w:rPr>
          <w:rFonts w:eastAsia="Century Gothic" w:cs="Century Gothic"/>
        </w:rPr>
      </w:pPr>
      <w:r>
        <w:rPr>
          <w:rFonts w:eastAsia="Century Gothic" w:cs="Century Gothic"/>
        </w:rPr>
        <w:br w:type="page"/>
      </w:r>
    </w:p>
    <w:p w14:paraId="65B31CBF" w14:textId="77777777" w:rsidR="00471C28" w:rsidRPr="00095583" w:rsidRDefault="00471C28" w:rsidP="00095583">
      <w:pPr>
        <w:ind w:left="360"/>
        <w:rPr>
          <w:rFonts w:eastAsia="Century Gothic" w:cs="Century Gothic"/>
        </w:rPr>
      </w:pPr>
    </w:p>
    <w:p w14:paraId="0000023D" w14:textId="59F2B187" w:rsidR="00471C28" w:rsidRDefault="00CF15C9" w:rsidP="00095583">
      <w:pPr>
        <w:pStyle w:val="Heading1"/>
      </w:pPr>
      <w:bookmarkStart w:id="51" w:name="_Toc98322297"/>
      <w:r w:rsidRPr="00095583">
        <w:t>Appendix</w:t>
      </w:r>
      <w:r>
        <w:t xml:space="preserve"> A: </w:t>
      </w:r>
      <w:r w:rsidRPr="00095583">
        <w:t>Baseline</w:t>
      </w:r>
      <w:r>
        <w:t xml:space="preserve"> Common practice harvest model</w:t>
      </w:r>
      <w:bookmarkEnd w:id="51"/>
      <w:r>
        <w:t xml:space="preserve"> </w:t>
      </w:r>
    </w:p>
    <w:p w14:paraId="3F93591F" w14:textId="60541087" w:rsidR="00AA7D36" w:rsidRPr="00095583" w:rsidRDefault="00CF15C9" w:rsidP="00095583">
      <w:pPr>
        <w:spacing w:before="60" w:after="120" w:line="288" w:lineRule="auto"/>
        <w:ind w:left="720"/>
        <w:rPr>
          <w:rFonts w:eastAsia="Century Gothic" w:cs="Century Gothic"/>
        </w:rPr>
      </w:pPr>
      <w:r w:rsidRPr="00095583">
        <w:rPr>
          <w:rFonts w:eastAsia="Century Gothic" w:cs="Century Gothic"/>
        </w:rPr>
        <w:t xml:space="preserve">This appendix describes in detail a common practice harvest model developed </w:t>
      </w:r>
      <w:r w:rsidR="00AA7D36" w:rsidRPr="00095583">
        <w:rPr>
          <w:rFonts w:eastAsia="Century Gothic" w:cs="Century Gothic"/>
        </w:rPr>
        <w:t xml:space="preserve">for use in the United States </w:t>
      </w:r>
      <w:r w:rsidRPr="00095583">
        <w:rPr>
          <w:rFonts w:eastAsia="Century Gothic" w:cs="Century Gothic"/>
        </w:rPr>
        <w:t xml:space="preserve">as described in </w:t>
      </w:r>
      <w:r w:rsidR="00293E58" w:rsidRPr="00095583">
        <w:rPr>
          <w:rFonts w:eastAsia="Century Gothic" w:cs="Century Gothic"/>
        </w:rPr>
        <w:t>the Additionality section of the</w:t>
      </w:r>
      <w:r w:rsidRPr="00095583">
        <w:rPr>
          <w:rFonts w:eastAsia="Century Gothic" w:cs="Century Gothic"/>
        </w:rPr>
        <w:t xml:space="preserve"> Methodology. Implementation of this common practice harvest model was fully reviewed by an expert panel.</w:t>
      </w:r>
      <w:r w:rsidR="00AA7D36" w:rsidRPr="00095583">
        <w:rPr>
          <w:rFonts w:eastAsia="Century Gothic" w:cs="Century Gothic"/>
        </w:rPr>
        <w:t xml:space="preserve"> This information is provided as an example for developers working in the US or other geographies; input data may vary in quality and availability outside the US. It is expected that baseline models developed for use with this methodology will subject to review by an expert panel.</w:t>
      </w:r>
    </w:p>
    <w:p w14:paraId="5331D994" w14:textId="11F2A3BC" w:rsidR="00D670F6" w:rsidRPr="00095583" w:rsidRDefault="00D670F6" w:rsidP="00095583">
      <w:pPr>
        <w:spacing w:before="60" w:after="120" w:line="288" w:lineRule="auto"/>
        <w:ind w:left="720"/>
        <w:rPr>
          <w:rFonts w:eastAsia="Century Gothic" w:cs="Century Gothic"/>
        </w:rPr>
      </w:pPr>
      <w:r w:rsidRPr="00095583">
        <w:rPr>
          <w:rFonts w:eastAsia="Century Gothic" w:cs="Century Gothic"/>
        </w:rPr>
        <w:t xml:space="preserve">This model generates estimates of the fraction of carbon at risk of removal during the </w:t>
      </w:r>
      <w:proofErr w:type="gramStart"/>
      <w:r w:rsidRPr="00095583">
        <w:rPr>
          <w:rFonts w:eastAsia="Century Gothic" w:cs="Century Gothic"/>
        </w:rPr>
        <w:t>activity  period</w:t>
      </w:r>
      <w:proofErr w:type="gramEnd"/>
      <w:r w:rsidRPr="00095583">
        <w:rPr>
          <w:rFonts w:eastAsia="Century Gothic" w:cs="Century Gothic"/>
        </w:rPr>
        <w:t xml:space="preserve">, </w:t>
      </w:r>
      <w:proofErr w:type="spellStart"/>
      <w:r w:rsidRPr="00095583">
        <w:rPr>
          <w:rFonts w:eastAsia="Century Gothic" w:cs="Century Gothic"/>
          <w:i/>
          <w:iCs/>
        </w:rPr>
        <w:t>r</w:t>
      </w:r>
      <w:r w:rsidRPr="00095583">
        <w:rPr>
          <w:rFonts w:eastAsia="Century Gothic" w:cs="Century Gothic"/>
          <w:i/>
          <w:iCs/>
          <w:vertAlign w:val="subscript"/>
        </w:rPr>
        <w:t>i</w:t>
      </w:r>
      <w:proofErr w:type="spellEnd"/>
      <w:r w:rsidRPr="00095583">
        <w:rPr>
          <w:rFonts w:eastAsia="Century Gothic" w:cs="Century Gothic"/>
          <w:i/>
          <w:iCs/>
        </w:rPr>
        <w:t xml:space="preserve">, </w:t>
      </w:r>
      <w:r w:rsidRPr="00095583">
        <w:rPr>
          <w:rFonts w:eastAsia="Century Gothic" w:cs="Century Gothic"/>
        </w:rPr>
        <w:t xml:space="preserve">used in Equation </w:t>
      </w:r>
      <w:r w:rsidR="00EB1DD9" w:rsidRPr="00095583">
        <w:rPr>
          <w:rFonts w:eastAsia="Century Gothic" w:cs="Century Gothic"/>
        </w:rPr>
        <w:t>1</w:t>
      </w:r>
      <w:r w:rsidRPr="00095583">
        <w:rPr>
          <w:rFonts w:eastAsia="Century Gothic" w:cs="Century Gothic"/>
        </w:rPr>
        <w:t xml:space="preserve">. A baseline common practice harvest model should be </w:t>
      </w:r>
      <w:r w:rsidR="005743FA">
        <w:rPr>
          <w:rFonts w:eastAsia="Century Gothic" w:cs="Century Gothic"/>
        </w:rPr>
        <w:t xml:space="preserve">to </w:t>
      </w:r>
      <w:proofErr w:type="gramStart"/>
      <w:r w:rsidR="005743FA">
        <w:rPr>
          <w:rFonts w:eastAsia="Century Gothic" w:cs="Century Gothic"/>
        </w:rPr>
        <w:t>applied</w:t>
      </w:r>
      <w:proofErr w:type="gramEnd"/>
      <w:r w:rsidR="005743FA">
        <w:rPr>
          <w:rFonts w:eastAsia="Century Gothic" w:cs="Century Gothic"/>
        </w:rPr>
        <w:t xml:space="preserve"> to each</w:t>
      </w:r>
      <w:r w:rsidRPr="00095583">
        <w:rPr>
          <w:rFonts w:eastAsia="Century Gothic" w:cs="Century Gothic"/>
        </w:rPr>
        <w:t xml:space="preserve"> individual </w:t>
      </w:r>
      <w:r w:rsidR="005743FA">
        <w:rPr>
          <w:rFonts w:eastAsia="Century Gothic" w:cs="Century Gothic"/>
        </w:rPr>
        <w:t>half-hectare</w:t>
      </w:r>
      <w:r w:rsidR="005743FA" w:rsidRPr="00095583">
        <w:rPr>
          <w:rFonts w:eastAsia="Century Gothic" w:cs="Century Gothic"/>
        </w:rPr>
        <w:t xml:space="preserve"> </w:t>
      </w:r>
      <w:r w:rsidRPr="00095583">
        <w:rPr>
          <w:rFonts w:eastAsia="Century Gothic" w:cs="Century Gothic"/>
        </w:rPr>
        <w:t>(or smaller unit) of each participating property.</w:t>
      </w:r>
    </w:p>
    <w:p w14:paraId="00000240" w14:textId="028863F8" w:rsidR="00471C28" w:rsidRPr="00095583" w:rsidRDefault="00CF15C9">
      <w:pPr>
        <w:spacing w:before="60" w:after="120" w:line="274" w:lineRule="auto"/>
        <w:ind w:left="720"/>
        <w:rPr>
          <w:rFonts w:eastAsia="Century Gothic" w:cs="Century Gothic"/>
        </w:rPr>
      </w:pPr>
      <w:r w:rsidRPr="00095583">
        <w:rPr>
          <w:rFonts w:eastAsia="Century Gothic" w:cs="Century Gothic"/>
        </w:rPr>
        <w:t xml:space="preserve">To develop the common practice harvest for each participating property, project developers must estimate the probability that a given area would be harvested during the activity period, and, if harvested, what proportion of the standing carbon, </w:t>
      </w:r>
      <w:r w:rsidRPr="00095583">
        <w:rPr>
          <w:rFonts w:eastAsia="Century Gothic" w:cs="Century Gothic"/>
          <w:i/>
        </w:rPr>
        <w:t>r</w:t>
      </w:r>
      <w:r w:rsidRPr="00095583">
        <w:rPr>
          <w:rFonts w:eastAsia="Century Gothic" w:cs="Century Gothic"/>
        </w:rPr>
        <w:t xml:space="preserve">, would be expected to be removed. The aggregation of the carbon-at-risk across all </w:t>
      </w:r>
      <w:r w:rsidR="008B1E5A" w:rsidRPr="00095583">
        <w:rPr>
          <w:rFonts w:eastAsia="Century Gothic" w:cs="Century Gothic"/>
        </w:rPr>
        <w:t xml:space="preserve">hectares </w:t>
      </w:r>
      <w:r w:rsidRPr="00095583">
        <w:rPr>
          <w:rFonts w:eastAsia="Century Gothic" w:cs="Century Gothic"/>
        </w:rPr>
        <w:t xml:space="preserve">of the participating properties will generate the baseline carbon-at-risk of removal via harvesting during the activity period. Any model used to form the common practice harvest and removal model must fit within a general model form for predicting the probability of harvest for a forest stand as a function of timber value, non-timber value, and cost of harvest that can vary between landowner types as described by </w:t>
      </w:r>
      <w:proofErr w:type="spellStart"/>
      <w:r w:rsidRPr="00095583">
        <w:rPr>
          <w:rFonts w:eastAsia="Century Gothic" w:cs="Century Gothic"/>
        </w:rPr>
        <w:t>Prestemon</w:t>
      </w:r>
      <w:proofErr w:type="spellEnd"/>
      <w:r w:rsidRPr="00095583">
        <w:rPr>
          <w:rFonts w:eastAsia="Century Gothic" w:cs="Century Gothic"/>
        </w:rPr>
        <w:t xml:space="preserve"> and Wear (2000).</w:t>
      </w:r>
    </w:p>
    <w:tbl>
      <w:tblPr>
        <w:tblW w:w="863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930"/>
        <w:gridCol w:w="1700"/>
      </w:tblGrid>
      <w:tr w:rsidR="00471C28" w:rsidRPr="00095583" w14:paraId="20B7C82B" w14:textId="77777777">
        <w:tc>
          <w:tcPr>
            <w:tcW w:w="6930" w:type="dxa"/>
            <w:shd w:val="clear" w:color="auto" w:fill="auto"/>
            <w:vAlign w:val="center"/>
          </w:tcPr>
          <w:p w14:paraId="00000241" w14:textId="77777777" w:rsidR="00471C28" w:rsidRPr="00095583" w:rsidRDefault="00000000">
            <w:pPr>
              <w:jc w:val="center"/>
              <w:rPr>
                <w:rFonts w:eastAsia="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H</m:t>
                    </m:r>
                  </m:sub>
                </m:sSub>
                <m:r>
                  <w:rPr>
                    <w:rFonts w:ascii="Cambria Math" w:eastAsia="Cambria Math" w:hAnsi="Cambria Math" w:cs="Cambria Math"/>
                  </w:rPr>
                  <m:t xml:space="preserve">= ƒ </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 xml:space="preserve">T,  </m:t>
                        </m:r>
                      </m:sub>
                    </m:sSub>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 xml:space="preserve">NT,   </m:t>
                        </m:r>
                      </m:sub>
                    </m:sSub>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H</m:t>
                        </m:r>
                      </m:sub>
                    </m:sSub>
                    <m:r>
                      <w:rPr>
                        <w:rFonts w:ascii="Cambria Math" w:eastAsia="Cambria Math" w:hAnsi="Cambria Math" w:cs="Cambria Math"/>
                      </w:rPr>
                      <m:t>| G</m:t>
                    </m:r>
                  </m:e>
                </m:d>
              </m:oMath>
            </m:oMathPara>
          </w:p>
        </w:tc>
        <w:tc>
          <w:tcPr>
            <w:tcW w:w="1700" w:type="dxa"/>
            <w:shd w:val="clear" w:color="auto" w:fill="auto"/>
            <w:vAlign w:val="center"/>
          </w:tcPr>
          <w:p w14:paraId="00000242" w14:textId="64C175F2" w:rsidR="00471C28" w:rsidRPr="00095583" w:rsidRDefault="00471C28">
            <w:pPr>
              <w:keepNext/>
              <w:spacing w:before="60" w:after="120"/>
              <w:rPr>
                <w:rFonts w:eastAsia="Century Gothic" w:cs="Century Gothic"/>
              </w:rPr>
            </w:pPr>
          </w:p>
        </w:tc>
      </w:tr>
    </w:tbl>
    <w:p w14:paraId="00000243" w14:textId="25A36DEC" w:rsidR="00471C28" w:rsidRPr="00095583" w:rsidRDefault="00CF15C9">
      <w:pPr>
        <w:tabs>
          <w:tab w:val="left" w:pos="7920"/>
        </w:tabs>
        <w:spacing w:before="60" w:after="120" w:line="288" w:lineRule="auto"/>
        <w:ind w:left="720"/>
        <w:rPr>
          <w:rFonts w:eastAsia="Century Gothic" w:cs="Century Gothic"/>
        </w:rPr>
      </w:pPr>
      <w:r w:rsidRPr="00095583">
        <w:rPr>
          <w:rFonts w:eastAsia="Century Gothic" w:cs="Century Gothic"/>
        </w:rPr>
        <w:t xml:space="preserve">Where </w:t>
      </w:r>
      <w:r w:rsidRPr="00095583">
        <w:rPr>
          <w:rFonts w:eastAsia="Century Gothic" w:cs="Century Gothic"/>
          <w:i/>
        </w:rPr>
        <w:t>P</w:t>
      </w:r>
      <w:r w:rsidRPr="00095583">
        <w:rPr>
          <w:rFonts w:eastAsia="Century Gothic" w:cs="Century Gothic"/>
          <w:i/>
          <w:vertAlign w:val="subscript"/>
        </w:rPr>
        <w:t>H</w:t>
      </w:r>
      <w:r w:rsidRPr="00095583">
        <w:rPr>
          <w:rFonts w:eastAsia="Century Gothic" w:cs="Century Gothic"/>
          <w:i/>
        </w:rPr>
        <w:t xml:space="preserve"> </w:t>
      </w:r>
      <w:r w:rsidRPr="00095583">
        <w:rPr>
          <w:rFonts w:eastAsia="Century Gothic" w:cs="Century Gothic"/>
        </w:rPr>
        <w:t xml:space="preserve">is the probability or proportion of harvest, </w:t>
      </w:r>
      <w:r w:rsidRPr="00095583">
        <w:rPr>
          <w:rFonts w:eastAsia="Century Gothic" w:cs="Century Gothic"/>
          <w:i/>
        </w:rPr>
        <w:t>V</w:t>
      </w:r>
      <w:r w:rsidRPr="00095583">
        <w:rPr>
          <w:rFonts w:eastAsia="Century Gothic" w:cs="Century Gothic"/>
          <w:i/>
          <w:vertAlign w:val="subscript"/>
        </w:rPr>
        <w:t>T</w:t>
      </w:r>
      <w:r w:rsidRPr="00095583">
        <w:rPr>
          <w:rFonts w:eastAsia="Century Gothic" w:cs="Century Gothic"/>
        </w:rPr>
        <w:t xml:space="preserve"> is the timber value of the stand</w:t>
      </w:r>
      <w:r w:rsidR="00B66E89" w:rsidRPr="00095583">
        <w:rPr>
          <w:rFonts w:eastAsia="Century Gothic" w:cs="Century Gothic"/>
        </w:rPr>
        <w:t xml:space="preserve"> (generally expressed as monetary units or volume)</w:t>
      </w:r>
      <w:r w:rsidRPr="00095583">
        <w:rPr>
          <w:rFonts w:eastAsia="Century Gothic" w:cs="Century Gothic"/>
        </w:rPr>
        <w:t xml:space="preserve">, </w:t>
      </w:r>
      <w:r w:rsidRPr="00095583">
        <w:rPr>
          <w:rFonts w:eastAsia="Century Gothic" w:cs="Century Gothic"/>
          <w:i/>
        </w:rPr>
        <w:t>V</w:t>
      </w:r>
      <w:r w:rsidRPr="00095583">
        <w:rPr>
          <w:rFonts w:eastAsia="Century Gothic" w:cs="Century Gothic"/>
          <w:i/>
          <w:vertAlign w:val="subscript"/>
        </w:rPr>
        <w:t>NT</w:t>
      </w:r>
      <w:r w:rsidRPr="00095583">
        <w:rPr>
          <w:rFonts w:eastAsia="Century Gothic" w:cs="Century Gothic"/>
        </w:rPr>
        <w:t xml:space="preserve"> is the non-timber value of the stand</w:t>
      </w:r>
      <w:r w:rsidR="00B66E89" w:rsidRPr="00095583">
        <w:rPr>
          <w:rFonts w:eastAsia="Century Gothic" w:cs="Century Gothic"/>
        </w:rPr>
        <w:t xml:space="preserve"> (generally expressed as monetary units or volume)</w:t>
      </w:r>
      <w:r w:rsidRPr="00095583">
        <w:rPr>
          <w:rFonts w:eastAsia="Century Gothic" w:cs="Century Gothic"/>
        </w:rPr>
        <w:t xml:space="preserve">, </w:t>
      </w:r>
      <w:r w:rsidRPr="00095583">
        <w:rPr>
          <w:rFonts w:eastAsia="Century Gothic" w:cs="Century Gothic"/>
          <w:i/>
        </w:rPr>
        <w:t>C</w:t>
      </w:r>
      <w:r w:rsidRPr="00095583">
        <w:rPr>
          <w:rFonts w:eastAsia="Century Gothic" w:cs="Century Gothic"/>
          <w:i/>
          <w:vertAlign w:val="subscript"/>
        </w:rPr>
        <w:t>H</w:t>
      </w:r>
      <w:r w:rsidRPr="00095583">
        <w:rPr>
          <w:rFonts w:eastAsia="Century Gothic" w:cs="Century Gothic"/>
        </w:rPr>
        <w:t xml:space="preserve"> is the cost of harvest</w:t>
      </w:r>
      <w:r w:rsidR="00B66E89" w:rsidRPr="00095583">
        <w:rPr>
          <w:rFonts w:eastAsia="Century Gothic" w:cs="Century Gothic"/>
        </w:rPr>
        <w:t xml:space="preserve"> (generally expressed as monetary units)</w:t>
      </w:r>
      <w:r w:rsidRPr="00095583">
        <w:rPr>
          <w:rFonts w:eastAsia="Century Gothic" w:cs="Century Gothic"/>
        </w:rPr>
        <w:t xml:space="preserve">, and </w:t>
      </w:r>
      <w:r w:rsidRPr="00095583">
        <w:rPr>
          <w:rFonts w:eastAsia="Century Gothic" w:cs="Century Gothic"/>
          <w:i/>
        </w:rPr>
        <w:t>G</w:t>
      </w:r>
      <w:r w:rsidRPr="00095583">
        <w:rPr>
          <w:rFonts w:eastAsia="Century Gothic" w:cs="Century Gothic"/>
        </w:rPr>
        <w:t xml:space="preserve"> is a grouping term that denotes forest stands with similar responses.</w:t>
      </w:r>
      <w:r w:rsidR="00B66E89" w:rsidRPr="00095583">
        <w:rPr>
          <w:rFonts w:eastAsia="Century Gothic" w:cs="Century Gothic"/>
        </w:rPr>
        <w:t xml:space="preserve">  Note that </w:t>
      </w:r>
      <w:proofErr w:type="gramStart"/>
      <w:r w:rsidR="00B66E89" w:rsidRPr="00095583">
        <w:rPr>
          <w:rFonts w:eastAsia="Century Gothic" w:cs="Century Gothic"/>
        </w:rPr>
        <w:t>all of</w:t>
      </w:r>
      <w:proofErr w:type="gramEnd"/>
      <w:r w:rsidR="00B66E89" w:rsidRPr="00095583">
        <w:rPr>
          <w:rFonts w:eastAsia="Century Gothic" w:cs="Century Gothic"/>
        </w:rPr>
        <w:t xml:space="preserve"> these variables may be represented in the model form with multiple components of different units and be unitless in final implementation. </w:t>
      </w:r>
      <w:r w:rsidR="00356DC7" w:rsidRPr="00095583">
        <w:rPr>
          <w:rFonts w:eastAsia="Century Gothic" w:cs="Century Gothic"/>
        </w:rPr>
        <w:t xml:space="preserve"> See table 11-1, below.</w:t>
      </w:r>
    </w:p>
    <w:p w14:paraId="00000244" w14:textId="77777777" w:rsidR="00471C28" w:rsidRDefault="00CF15C9" w:rsidP="00095583">
      <w:pPr>
        <w:pStyle w:val="Heading2"/>
      </w:pPr>
      <w:bookmarkStart w:id="52" w:name="_Toc98322298"/>
      <w:r>
        <w:t>Mathematical Representation of Model Form</w:t>
      </w:r>
      <w:bookmarkEnd w:id="52"/>
    </w:p>
    <w:p w14:paraId="00000245" w14:textId="77777777" w:rsidR="00471C28" w:rsidRPr="00095583" w:rsidRDefault="00CF15C9">
      <w:pPr>
        <w:spacing w:before="60" w:after="120" w:line="288" w:lineRule="auto"/>
        <w:ind w:left="810"/>
        <w:rPr>
          <w:rFonts w:eastAsia="Century Gothic" w:cs="Century Gothic"/>
        </w:rPr>
      </w:pPr>
      <w:r w:rsidRPr="00095583">
        <w:rPr>
          <w:rFonts w:eastAsia="Century Gothic" w:cs="Century Gothic"/>
        </w:rPr>
        <w:t xml:space="preserve">We define r as harvest intensity expressed as a proportion and model it </w:t>
      </w:r>
      <w:proofErr w:type="gramStart"/>
      <w:r w:rsidRPr="00095583">
        <w:rPr>
          <w:rFonts w:eastAsia="Century Gothic" w:cs="Century Gothic"/>
        </w:rPr>
        <w:t>using</w:t>
      </w:r>
      <w:proofErr w:type="gramEnd"/>
      <w:r w:rsidRPr="00095583">
        <w:rPr>
          <w:rFonts w:eastAsia="Century Gothic" w:cs="Century Gothic"/>
        </w:rPr>
        <w:t xml:space="preserve"> a zero-one-inflated Beta distribution:</w:t>
      </w:r>
    </w:p>
    <w:p w14:paraId="00000246" w14:textId="77777777" w:rsidR="00471C28" w:rsidRPr="00095583" w:rsidRDefault="00CF15C9">
      <w:pPr>
        <w:spacing w:before="60" w:after="120"/>
        <w:jc w:val="center"/>
        <w:rPr>
          <w:rFonts w:eastAsia="Century Gothic" w:cs="Century Gothic"/>
        </w:rPr>
      </w:pPr>
      <w:r w:rsidRPr="00095583">
        <w:rPr>
          <w:rFonts w:eastAsia="Century Gothic" w:cs="Century Gothic"/>
          <w:i/>
        </w:rPr>
        <w:t>r</w:t>
      </w:r>
      <w:r w:rsidRPr="00095583">
        <w:rPr>
          <w:rFonts w:eastAsia="Century Gothic" w:cs="Century Gothic"/>
        </w:rPr>
        <w:t xml:space="preserve"> </w:t>
      </w:r>
      <w:r w:rsidRPr="00095583">
        <w:rPr>
          <w:rFonts w:ascii="Cambria Math" w:eastAsia="Cambria Math" w:hAnsi="Cambria Math" w:cs="Cambria Math"/>
        </w:rPr>
        <w:t>∈</w:t>
      </w:r>
      <w:r w:rsidRPr="00095583">
        <w:rPr>
          <w:rFonts w:eastAsia="Century Gothic" w:cs="Century Gothic"/>
        </w:rPr>
        <w:t xml:space="preserve"> [0, 1], where</w:t>
      </w:r>
    </w:p>
    <w:p w14:paraId="00000247" w14:textId="77777777" w:rsidR="00471C28" w:rsidRPr="00095583" w:rsidRDefault="00CF15C9">
      <w:pPr>
        <w:spacing w:before="60" w:after="120"/>
        <w:jc w:val="center"/>
        <w:rPr>
          <w:rFonts w:eastAsia="Century Gothic" w:cs="Century Gothic"/>
        </w:rPr>
      </w:pPr>
      <w:r w:rsidRPr="00095583">
        <w:rPr>
          <w:rFonts w:eastAsia="Century Gothic" w:cs="Century Gothic"/>
          <w:i/>
        </w:rPr>
        <w:t xml:space="preserve">r </w:t>
      </w:r>
      <w:r w:rsidRPr="00095583">
        <w:rPr>
          <w:rFonts w:eastAsia="Century Gothic" w:cs="Century Gothic"/>
        </w:rPr>
        <w:t>= 0 is no harvest</w:t>
      </w:r>
    </w:p>
    <w:p w14:paraId="00000248" w14:textId="77777777" w:rsidR="00471C28" w:rsidRPr="00095583" w:rsidRDefault="00CF15C9">
      <w:pPr>
        <w:spacing w:before="60" w:after="120"/>
        <w:jc w:val="center"/>
        <w:rPr>
          <w:rFonts w:eastAsia="Century Gothic" w:cs="Century Gothic"/>
        </w:rPr>
      </w:pPr>
      <w:r w:rsidRPr="00095583">
        <w:rPr>
          <w:rFonts w:eastAsia="Century Gothic" w:cs="Century Gothic"/>
          <w:i/>
        </w:rPr>
        <w:t>r</w:t>
      </w:r>
      <w:r w:rsidRPr="00095583">
        <w:rPr>
          <w:rFonts w:eastAsia="Century Gothic" w:cs="Century Gothic"/>
        </w:rPr>
        <w:t xml:space="preserve"> = 1 is total harvest</w:t>
      </w:r>
    </w:p>
    <w:p w14:paraId="00000249" w14:textId="77777777" w:rsidR="00471C28" w:rsidRPr="00095583" w:rsidRDefault="00CF15C9">
      <w:pPr>
        <w:spacing w:before="60" w:after="120"/>
        <w:jc w:val="center"/>
        <w:rPr>
          <w:rFonts w:eastAsia="Century Gothic" w:cs="Century Gothic"/>
        </w:rPr>
      </w:pPr>
      <w:r w:rsidRPr="00095583">
        <w:rPr>
          <w:rFonts w:eastAsia="Century Gothic" w:cs="Century Gothic"/>
          <w:i/>
        </w:rPr>
        <w:lastRenderedPageBreak/>
        <w:t>r</w:t>
      </w:r>
      <w:r w:rsidRPr="00095583">
        <w:rPr>
          <w:rFonts w:eastAsia="Century Gothic" w:cs="Century Gothic"/>
        </w:rPr>
        <w:t xml:space="preserve"> </w:t>
      </w:r>
      <w:r w:rsidRPr="00095583">
        <w:rPr>
          <w:rFonts w:ascii="Cambria Math" w:eastAsia="Cambria Math" w:hAnsi="Cambria Math" w:cs="Cambria Math"/>
        </w:rPr>
        <w:t>∈</w:t>
      </w:r>
      <w:r w:rsidRPr="00095583">
        <w:rPr>
          <w:rFonts w:eastAsia="Century Gothic" w:cs="Century Gothic"/>
        </w:rPr>
        <w:t xml:space="preserve"> (0, 1) is partial harvest</w:t>
      </w:r>
    </w:p>
    <w:p w14:paraId="0000024A" w14:textId="77777777" w:rsidR="00471C28" w:rsidRPr="00095583" w:rsidRDefault="00471C28">
      <w:pPr>
        <w:spacing w:before="60" w:after="120"/>
        <w:rPr>
          <w:rFonts w:eastAsia="Century Gothic" w:cs="Century Gothic"/>
        </w:rPr>
      </w:pPr>
    </w:p>
    <w:tbl>
      <w:tblPr>
        <w:tblW w:w="863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930"/>
        <w:gridCol w:w="1700"/>
      </w:tblGrid>
      <w:tr w:rsidR="00471C28" w14:paraId="4586CC6C" w14:textId="77777777">
        <w:tc>
          <w:tcPr>
            <w:tcW w:w="6930" w:type="dxa"/>
            <w:shd w:val="clear" w:color="auto" w:fill="auto"/>
            <w:vAlign w:val="center"/>
          </w:tcPr>
          <w:p w14:paraId="0000024B" w14:textId="77777777" w:rsidR="00471C28" w:rsidRDefault="00CF15C9" w:rsidP="00403AE6">
            <w:r>
              <w:rPr>
                <w:noProof/>
              </w:rPr>
              <w:drawing>
                <wp:inline distT="114300" distB="114300" distL="114300" distR="114300" wp14:anchorId="3C34FD7A" wp14:editId="57ED1174">
                  <wp:extent cx="3800475" cy="682828"/>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800475" cy="682828"/>
                          </a:xfrm>
                          <a:prstGeom prst="rect">
                            <a:avLst/>
                          </a:prstGeom>
                          <a:ln/>
                        </pic:spPr>
                      </pic:pic>
                    </a:graphicData>
                  </a:graphic>
                </wp:inline>
              </w:drawing>
            </w:r>
          </w:p>
        </w:tc>
        <w:tc>
          <w:tcPr>
            <w:tcW w:w="1700" w:type="dxa"/>
            <w:shd w:val="clear" w:color="auto" w:fill="auto"/>
            <w:vAlign w:val="center"/>
          </w:tcPr>
          <w:p w14:paraId="0000024C" w14:textId="0C5E8F83" w:rsidR="00471C28" w:rsidRDefault="00CF15C9" w:rsidP="00403AE6">
            <w:r>
              <w:rPr>
                <w:color w:val="595959"/>
              </w:rPr>
              <w:t>(</w:t>
            </w:r>
            <w:r w:rsidR="00403AE6">
              <w:t>13</w:t>
            </w:r>
            <w:r>
              <w:rPr>
                <w:color w:val="595959"/>
              </w:rPr>
              <w:t>)</w:t>
            </w:r>
          </w:p>
        </w:tc>
      </w:tr>
    </w:tbl>
    <w:p w14:paraId="0000024D" w14:textId="77777777" w:rsidR="00471C28" w:rsidRDefault="00471C28">
      <w:pPr>
        <w:spacing w:before="60" w:after="120"/>
        <w:rPr>
          <w:rFonts w:ascii="Century Gothic" w:eastAsia="Century Gothic" w:hAnsi="Century Gothic" w:cs="Century Gothic"/>
        </w:rPr>
      </w:pPr>
    </w:p>
    <w:p w14:paraId="0000024E" w14:textId="77777777" w:rsidR="00471C28" w:rsidRPr="00095583" w:rsidRDefault="00CF15C9">
      <w:pPr>
        <w:spacing w:before="60" w:after="120"/>
        <w:ind w:left="720"/>
        <w:rPr>
          <w:rFonts w:eastAsia="Century Gothic" w:cs="Century Gothic"/>
        </w:rPr>
      </w:pPr>
      <w:r w:rsidRPr="00095583">
        <w:rPr>
          <w:rFonts w:eastAsia="Century Gothic" w:cs="Century Gothic"/>
        </w:rPr>
        <w:t xml:space="preserve">In this model </w:t>
      </w:r>
      <m:oMath>
        <m:r>
          <w:rPr>
            <w:rFonts w:ascii="Cambria Math" w:hAnsi="Cambria Math"/>
          </w:rPr>
          <m:t>α</m:t>
        </m:r>
      </m:oMath>
      <w:r w:rsidRPr="00095583">
        <w:rPr>
          <w:rFonts w:eastAsia="Century Gothic" w:cs="Century Gothic"/>
        </w:rPr>
        <w:t xml:space="preserve"> is the probability of any harvest occurring, and γ is the probability of total harvest, conditional on any harvest occurring. In the event of partial harvest, the removal rate is modeled with a Beta distribution with mean μ and precision </w:t>
      </w:r>
      <w:r w:rsidRPr="00095583">
        <w:rPr>
          <w:rFonts w:ascii="Calibri" w:eastAsia="Calibri" w:hAnsi="Calibri" w:cs="Calibri"/>
        </w:rPr>
        <w:t>ϕ</w:t>
      </w:r>
      <w:r w:rsidRPr="00095583">
        <w:rPr>
          <w:rFonts w:eastAsia="Century Gothic" w:cs="Century Gothic"/>
        </w:rPr>
        <w:t>.</w:t>
      </w:r>
    </w:p>
    <w:p w14:paraId="0000024F" w14:textId="77777777" w:rsidR="00471C28" w:rsidRDefault="00CF15C9" w:rsidP="00095583">
      <w:pPr>
        <w:pStyle w:val="Heading2"/>
      </w:pPr>
      <w:bookmarkStart w:id="53" w:name="_Toc98322299"/>
      <w:r>
        <w:t xml:space="preserve">Final </w:t>
      </w:r>
      <w:r w:rsidRPr="00095583">
        <w:t>Harvest</w:t>
      </w:r>
      <w:r>
        <w:t xml:space="preserve"> Risk Model Form</w:t>
      </w:r>
      <w:bookmarkEnd w:id="53"/>
    </w:p>
    <w:p w14:paraId="00000250" w14:textId="05DF06E0" w:rsidR="00471C28" w:rsidRPr="00403AE6" w:rsidRDefault="00CF15C9">
      <w:pPr>
        <w:spacing w:before="60" w:after="120"/>
        <w:ind w:left="720"/>
        <w:rPr>
          <w:rFonts w:eastAsia="Century Gothic" w:cs="Century Gothic"/>
          <w:szCs w:val="21"/>
        </w:rPr>
      </w:pPr>
      <w:r w:rsidRPr="00403AE6">
        <w:rPr>
          <w:rFonts w:eastAsia="Century Gothic" w:cs="Century Gothic"/>
          <w:szCs w:val="21"/>
        </w:rPr>
        <w:t xml:space="preserve">We model the dependence of harvest intensity on predictors to explain heterogeneity in harvest across the landscape. We use logit link functions to constrain values of </w:t>
      </w:r>
      <m:oMath>
        <m:r>
          <w:rPr>
            <w:rFonts w:ascii="Cambria Math" w:hAnsi="Cambria Math"/>
            <w:szCs w:val="21"/>
          </w:rPr>
          <m:t>α</m:t>
        </m:r>
      </m:oMath>
      <w:r w:rsidRPr="00403AE6">
        <w:rPr>
          <w:rFonts w:eastAsia="Century Gothic" w:cs="Century Gothic"/>
          <w:szCs w:val="21"/>
        </w:rPr>
        <w:t xml:space="preserve">, </w:t>
      </w:r>
      <m:oMath>
        <m:r>
          <w:rPr>
            <w:rFonts w:ascii="Cambria Math" w:hAnsi="Cambria Math"/>
            <w:szCs w:val="21"/>
          </w:rPr>
          <m:t>γ</m:t>
        </m:r>
      </m:oMath>
      <w:r w:rsidRPr="00403AE6">
        <w:rPr>
          <w:rFonts w:eastAsia="Century Gothic" w:cs="Century Gothic"/>
          <w:szCs w:val="21"/>
        </w:rPr>
        <w:t xml:space="preserve">, and </w:t>
      </w:r>
      <m:oMath>
        <m:r>
          <w:rPr>
            <w:rFonts w:ascii="Cambria Math" w:hAnsi="Cambria Math"/>
            <w:szCs w:val="21"/>
          </w:rPr>
          <m:t>μ</m:t>
        </m:r>
      </m:oMath>
      <w:r w:rsidRPr="00403AE6">
        <w:rPr>
          <w:rFonts w:eastAsia="Century Gothic" w:cs="Century Gothic"/>
          <w:szCs w:val="21"/>
        </w:rPr>
        <w:t xml:space="preserve"> to the interval (0, 1), and a log link function to ensure that </w:t>
      </w:r>
      <w:r w:rsidRPr="00403AE6">
        <w:rPr>
          <w:rFonts w:ascii="Cambria Math" w:eastAsia="Cambria Math" w:hAnsi="Cambria Math" w:cs="Cambria Math"/>
          <w:szCs w:val="21"/>
        </w:rPr>
        <w:t>𝜙</w:t>
      </w:r>
      <w:r w:rsidRPr="00403AE6">
        <w:rPr>
          <w:rFonts w:eastAsia="Century Gothic" w:cs="Century Gothic"/>
          <w:szCs w:val="21"/>
        </w:rPr>
        <w:t xml:space="preserve"> &gt; 0</w:t>
      </w:r>
      <w:r w:rsidR="007F326A" w:rsidRPr="00403AE6">
        <w:rPr>
          <w:rFonts w:eastAsia="Century Gothic" w:cs="Century Gothic"/>
          <w:szCs w:val="21"/>
        </w:rPr>
        <w:t>:</w:t>
      </w:r>
      <w:r w:rsidRPr="00403AE6">
        <w:rPr>
          <w:rFonts w:eastAsia="Century Gothic" w:cs="Century Gothic"/>
          <w:szCs w:val="21"/>
        </w:rPr>
        <w:t xml:space="preserve"> </w:t>
      </w:r>
    </w:p>
    <w:tbl>
      <w:tblPr>
        <w:tblW w:w="863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930"/>
        <w:gridCol w:w="1700"/>
      </w:tblGrid>
      <w:tr w:rsidR="00471C28" w:rsidRPr="00403AE6" w14:paraId="5F5D2AEB" w14:textId="77777777">
        <w:tc>
          <w:tcPr>
            <w:tcW w:w="6930" w:type="dxa"/>
            <w:shd w:val="clear" w:color="auto" w:fill="auto"/>
            <w:vAlign w:val="center"/>
          </w:tcPr>
          <w:p w14:paraId="00000251" w14:textId="77777777" w:rsidR="00471C28" w:rsidRPr="00403AE6" w:rsidRDefault="00CF15C9">
            <w:pPr>
              <w:spacing w:before="60" w:after="120"/>
              <w:jc w:val="center"/>
              <w:rPr>
                <w:rFonts w:eastAsia="Century Gothic" w:cs="Century Gothic"/>
                <w:szCs w:val="21"/>
              </w:rPr>
            </w:pPr>
            <w:r w:rsidRPr="00403AE6">
              <w:rPr>
                <w:rFonts w:eastAsia="Century Gothic" w:cs="Century Gothic"/>
                <w:noProof/>
                <w:szCs w:val="21"/>
              </w:rPr>
              <w:drawing>
                <wp:inline distT="114300" distB="114300" distL="114300" distR="114300" wp14:anchorId="3CC36AB4" wp14:editId="2FE153E2">
                  <wp:extent cx="1366838" cy="985394"/>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1366838" cy="985394"/>
                          </a:xfrm>
                          <a:prstGeom prst="rect">
                            <a:avLst/>
                          </a:prstGeom>
                          <a:ln/>
                        </pic:spPr>
                      </pic:pic>
                    </a:graphicData>
                  </a:graphic>
                </wp:inline>
              </w:drawing>
            </w:r>
          </w:p>
        </w:tc>
        <w:tc>
          <w:tcPr>
            <w:tcW w:w="1700" w:type="dxa"/>
            <w:shd w:val="clear" w:color="auto" w:fill="auto"/>
            <w:vAlign w:val="center"/>
          </w:tcPr>
          <w:p w14:paraId="00000252" w14:textId="79C579C2" w:rsidR="00471C28" w:rsidRPr="00403AE6" w:rsidRDefault="00CF15C9">
            <w:pPr>
              <w:keepNext/>
              <w:spacing w:before="60" w:after="120"/>
              <w:jc w:val="center"/>
              <w:rPr>
                <w:rFonts w:eastAsia="Century Gothic" w:cs="Century Gothic"/>
                <w:szCs w:val="21"/>
              </w:rPr>
            </w:pPr>
            <w:r w:rsidRPr="00403AE6">
              <w:rPr>
                <w:rFonts w:eastAsia="Century Gothic" w:cs="Century Gothic"/>
                <w:color w:val="595959"/>
                <w:szCs w:val="21"/>
              </w:rPr>
              <w:t>(</w:t>
            </w:r>
            <w:r w:rsidRPr="00403AE6">
              <w:rPr>
                <w:rFonts w:eastAsia="Century Gothic" w:cs="Century Gothic"/>
                <w:szCs w:val="21"/>
              </w:rPr>
              <w:t>1</w:t>
            </w:r>
            <w:r w:rsidR="002419A3" w:rsidRPr="00403AE6">
              <w:rPr>
                <w:rFonts w:eastAsia="Century Gothic" w:cs="Century Gothic"/>
                <w:szCs w:val="21"/>
              </w:rPr>
              <w:t>4</w:t>
            </w:r>
            <w:r w:rsidRPr="00403AE6">
              <w:rPr>
                <w:rFonts w:eastAsia="Century Gothic" w:cs="Century Gothic"/>
                <w:color w:val="595959"/>
                <w:szCs w:val="21"/>
              </w:rPr>
              <w:t>)</w:t>
            </w:r>
          </w:p>
        </w:tc>
      </w:tr>
    </w:tbl>
    <w:p w14:paraId="00000253" w14:textId="77777777" w:rsidR="00471C28" w:rsidRPr="00403AE6" w:rsidRDefault="00471C28">
      <w:pPr>
        <w:spacing w:before="60" w:after="120"/>
        <w:rPr>
          <w:rFonts w:eastAsia="Century Gothic" w:cs="Century Gothic"/>
          <w:szCs w:val="21"/>
        </w:rPr>
      </w:pPr>
    </w:p>
    <w:p w14:paraId="00000254" w14:textId="77777777" w:rsidR="00471C28" w:rsidRPr="00403AE6" w:rsidRDefault="00471C28">
      <w:pPr>
        <w:spacing w:before="60" w:after="120"/>
        <w:rPr>
          <w:rFonts w:eastAsia="Century Gothic" w:cs="Century Gothic"/>
          <w:szCs w:val="21"/>
        </w:rPr>
      </w:pPr>
    </w:p>
    <w:p w14:paraId="00000255" w14:textId="77777777" w:rsidR="00471C28" w:rsidRPr="00403AE6" w:rsidRDefault="00471C28">
      <w:pPr>
        <w:spacing w:before="60" w:after="120"/>
        <w:jc w:val="center"/>
        <w:rPr>
          <w:rFonts w:eastAsia="Century Gothic" w:cs="Century Gothic"/>
          <w:szCs w:val="21"/>
        </w:rPr>
      </w:pPr>
    </w:p>
    <w:p w14:paraId="00000256" w14:textId="6DD8B936" w:rsidR="00471C28" w:rsidRPr="00403AE6" w:rsidRDefault="00266E3A">
      <w:pPr>
        <w:spacing w:before="60" w:after="120"/>
        <w:ind w:left="720"/>
        <w:rPr>
          <w:rFonts w:eastAsia="Century Gothic" w:cs="Century Gothic"/>
          <w:szCs w:val="21"/>
        </w:rPr>
      </w:pPr>
      <w:r w:rsidRPr="00403AE6">
        <w:rPr>
          <w:rFonts w:eastAsia="Century Gothic" w:cs="Century Gothic"/>
          <w:szCs w:val="21"/>
        </w:rPr>
        <w:t>w</w:t>
      </w:r>
      <w:r w:rsidR="00CF15C9" w:rsidRPr="00403AE6">
        <w:rPr>
          <w:rFonts w:eastAsia="Century Gothic" w:cs="Century Gothic"/>
          <w:szCs w:val="21"/>
        </w:rPr>
        <w:t xml:space="preserve">here </w:t>
      </w:r>
      <w:r w:rsidR="00CF15C9" w:rsidRPr="00403AE6">
        <w:rPr>
          <w:rFonts w:ascii="Cambria Math" w:eastAsia="Cambria Math" w:hAnsi="Cambria Math" w:cs="Cambria Math"/>
          <w:szCs w:val="21"/>
        </w:rPr>
        <w:t>𝑋</w:t>
      </w:r>
      <w:r w:rsidR="00CF15C9" w:rsidRPr="00403AE6">
        <w:rPr>
          <w:rFonts w:eastAsia="Century Gothic" w:cs="Century Gothic"/>
          <w:szCs w:val="21"/>
        </w:rPr>
        <w:t xml:space="preserve"> is a design matrix containing predict</w:t>
      </w:r>
      <w:r w:rsidRPr="00403AE6">
        <w:rPr>
          <w:rFonts w:eastAsia="Century Gothic" w:cs="Century Gothic"/>
          <w:szCs w:val="21"/>
        </w:rPr>
        <w:t>or</w:t>
      </w:r>
      <w:r w:rsidR="00CF15C9" w:rsidRPr="00403AE6">
        <w:rPr>
          <w:rFonts w:eastAsia="Century Gothic" w:cs="Century Gothic"/>
          <w:szCs w:val="21"/>
        </w:rPr>
        <w:t xml:space="preserve"> variables and  </w:t>
      </w:r>
      <m:oMath>
        <m:sSub>
          <m:sSubPr>
            <m:ctrlPr>
              <w:rPr>
                <w:rFonts w:ascii="Cambria Math" w:eastAsia="Cambria Math" w:hAnsi="Cambria Math" w:cs="Cambria Math"/>
                <w:i/>
                <w:szCs w:val="21"/>
              </w:rPr>
            </m:ctrlPr>
          </m:sSubPr>
          <m:e>
            <m:r>
              <m:rPr>
                <m:sty m:val="p"/>
              </m:rPr>
              <w:rPr>
                <w:rFonts w:ascii="Cambria Math" w:eastAsia="Century Gothic" w:hAnsi="Cambria Math" w:cs="Century Gothic"/>
                <w:szCs w:val="21"/>
              </w:rPr>
              <m:t>β</m:t>
            </m:r>
          </m:e>
          <m:sub>
            <m:r>
              <m:rPr>
                <m:sty m:val="p"/>
              </m:rPr>
              <w:rPr>
                <w:rFonts w:ascii="Cambria Math" w:eastAsia="Cambria Math" w:hAnsi="Cambria Math" w:cs="Cambria Math"/>
                <w:szCs w:val="21"/>
              </w:rPr>
              <m:t>α</m:t>
            </m:r>
          </m:sub>
        </m:sSub>
      </m:oMath>
      <w:r w:rsidR="00CF15C9" w:rsidRPr="00403AE6">
        <w:rPr>
          <w:rFonts w:eastAsia="Century Gothic" w:cs="Century Gothic"/>
          <w:szCs w:val="21"/>
        </w:rPr>
        <w:t xml:space="preserve"> is a coefficient vector for </w:t>
      </w:r>
      <w:proofErr w:type="gramStart"/>
      <w:r w:rsidR="00CF15C9" w:rsidRPr="00403AE6">
        <w:rPr>
          <w:rFonts w:ascii="Cambria Math" w:eastAsia="Cambria Math" w:hAnsi="Cambria Math" w:cs="Cambria Math"/>
          <w:szCs w:val="21"/>
        </w:rPr>
        <w:t>𝛼</w:t>
      </w:r>
      <w:r w:rsidR="00CF15C9" w:rsidRPr="00403AE6">
        <w:rPr>
          <w:rFonts w:eastAsia="Century Gothic" w:cs="Century Gothic"/>
          <w:szCs w:val="21"/>
        </w:rPr>
        <w:t>(</w:t>
      </w:r>
      <w:proofErr w:type="gramEnd"/>
      <w:r w:rsidR="00CF15C9" w:rsidRPr="00403AE6">
        <w:rPr>
          <w:rFonts w:eastAsia="Century Gothic" w:cs="Century Gothic"/>
          <w:szCs w:val="21"/>
        </w:rPr>
        <w:t>and so on), and link functions are applied as needed to satisfy parameter bounds.</w:t>
      </w:r>
    </w:p>
    <w:p w14:paraId="00000257" w14:textId="2E462BED" w:rsidR="00471C28" w:rsidRPr="00403AE6" w:rsidRDefault="00CF15C9">
      <w:pPr>
        <w:spacing w:before="60" w:after="120"/>
        <w:ind w:left="720"/>
        <w:rPr>
          <w:rFonts w:eastAsia="Century Gothic" w:cs="Century Gothic"/>
          <w:szCs w:val="21"/>
        </w:rPr>
      </w:pPr>
      <w:r w:rsidRPr="00403AE6">
        <w:rPr>
          <w:rFonts w:eastAsia="Century Gothic" w:cs="Century Gothic"/>
          <w:szCs w:val="21"/>
        </w:rPr>
        <w:t>Grouping variables such as landowner type L can enter the model as hierarchical effects on the regression coefficients</w:t>
      </w:r>
      <w:r w:rsidR="006C343B" w:rsidRPr="00403AE6">
        <w:rPr>
          <w:rFonts w:eastAsia="Century Gothic" w:cs="Century Gothic"/>
          <w:szCs w:val="21"/>
        </w:rPr>
        <w:t>,</w:t>
      </w:r>
    </w:p>
    <w:p w14:paraId="00000258" w14:textId="77777777" w:rsidR="00471C28" w:rsidRPr="00403AE6" w:rsidRDefault="00CF15C9">
      <w:pPr>
        <w:spacing w:before="60" w:after="120"/>
        <w:jc w:val="center"/>
        <w:rPr>
          <w:rFonts w:eastAsia="Century Gothic" w:cs="Century Gothic"/>
          <w:szCs w:val="21"/>
        </w:rPr>
      </w:pPr>
      <w:r w:rsidRPr="00403AE6">
        <w:rPr>
          <w:rFonts w:eastAsia="Century Gothic" w:cs="Century Gothic"/>
          <w:noProof/>
          <w:szCs w:val="21"/>
        </w:rPr>
        <w:drawing>
          <wp:inline distT="114300" distB="114300" distL="114300" distR="114300" wp14:anchorId="725BCC6E" wp14:editId="46BE952B">
            <wp:extent cx="1633538" cy="701356"/>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1633538" cy="701356"/>
                    </a:xfrm>
                    <a:prstGeom prst="rect">
                      <a:avLst/>
                    </a:prstGeom>
                    <a:ln/>
                  </pic:spPr>
                </pic:pic>
              </a:graphicData>
            </a:graphic>
          </wp:inline>
        </w:drawing>
      </w:r>
    </w:p>
    <w:p w14:paraId="00000259" w14:textId="77777777" w:rsidR="00471C28" w:rsidRPr="00403AE6" w:rsidRDefault="00CF15C9">
      <w:pPr>
        <w:spacing w:before="60" w:after="120"/>
        <w:ind w:left="720"/>
        <w:rPr>
          <w:rFonts w:eastAsia="Century Gothic" w:cs="Century Gothic"/>
          <w:szCs w:val="21"/>
        </w:rPr>
      </w:pPr>
      <w:r w:rsidRPr="00403AE6">
        <w:rPr>
          <w:rFonts w:eastAsia="Century Gothic" w:cs="Century Gothic"/>
          <w:szCs w:val="21"/>
        </w:rPr>
        <w:t>which has the impact of an interaction term between landowner effects and other effects.</w:t>
      </w:r>
    </w:p>
    <w:p w14:paraId="0000025A" w14:textId="550FFEBC" w:rsidR="00471C28" w:rsidRPr="00403AE6" w:rsidRDefault="00CF15C9">
      <w:pPr>
        <w:spacing w:before="60" w:after="120"/>
        <w:ind w:left="720"/>
        <w:rPr>
          <w:rFonts w:eastAsia="Century Gothic" w:cs="Century Gothic"/>
          <w:szCs w:val="21"/>
        </w:rPr>
      </w:pPr>
      <w:r w:rsidRPr="00403AE6">
        <w:rPr>
          <w:rFonts w:eastAsia="Century Gothic" w:cs="Century Gothic"/>
          <w:color w:val="3C4043"/>
          <w:szCs w:val="21"/>
          <w:highlight w:val="white"/>
        </w:rPr>
        <w:t xml:space="preserve">The functional form of these models </w:t>
      </w:r>
      <w:proofErr w:type="gramStart"/>
      <w:r w:rsidRPr="00403AE6">
        <w:rPr>
          <w:rFonts w:eastAsia="Century Gothic" w:cs="Century Gothic"/>
          <w:color w:val="3C4043"/>
          <w:szCs w:val="21"/>
          <w:highlight w:val="white"/>
        </w:rPr>
        <w:t>are</w:t>
      </w:r>
      <w:proofErr w:type="gramEnd"/>
      <w:r w:rsidRPr="00403AE6">
        <w:rPr>
          <w:rFonts w:eastAsia="Century Gothic" w:cs="Century Gothic"/>
          <w:color w:val="3C4043"/>
          <w:szCs w:val="21"/>
          <w:highlight w:val="white"/>
        </w:rPr>
        <w:t xml:space="preserve"> given below, using R</w:t>
      </w:r>
      <w:r w:rsidR="008B1E5A" w:rsidRPr="00403AE6">
        <w:rPr>
          <w:rFonts w:eastAsia="Century Gothic" w:cs="Century Gothic"/>
          <w:color w:val="3C4043"/>
          <w:szCs w:val="21"/>
          <w:highlight w:val="white"/>
        </w:rPr>
        <w:t>’</w:t>
      </w:r>
      <w:r w:rsidRPr="00403AE6">
        <w:rPr>
          <w:rFonts w:eastAsia="Century Gothic" w:cs="Century Gothic"/>
          <w:color w:val="3C4043"/>
          <w:szCs w:val="21"/>
          <w:highlight w:val="white"/>
        </w:rPr>
        <w:t>s formula syntax:</w:t>
      </w:r>
    </w:p>
    <w:tbl>
      <w:tblPr>
        <w:tblW w:w="8630" w:type="dxa"/>
        <w:tblInd w:w="72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6930"/>
        <w:gridCol w:w="1700"/>
      </w:tblGrid>
      <w:tr w:rsidR="00471C28" w:rsidRPr="00403AE6" w14:paraId="3CFCC162" w14:textId="77777777" w:rsidTr="54A671BE">
        <w:tc>
          <w:tcPr>
            <w:tcW w:w="6930" w:type="dxa"/>
            <w:shd w:val="clear" w:color="auto" w:fill="auto"/>
            <w:vAlign w:val="center"/>
          </w:tcPr>
          <w:p w14:paraId="0000025B" w14:textId="77777777" w:rsidR="00471C28" w:rsidRPr="00403AE6" w:rsidRDefault="00CF15C9">
            <w:pPr>
              <w:jc w:val="center"/>
              <w:rPr>
                <w:rFonts w:eastAsia="Cambria Math" w:cs="Cambria Math"/>
                <w:szCs w:val="21"/>
              </w:rPr>
            </w:pPr>
            <m:oMathPara>
              <m:oMath>
                <m:r>
                  <w:rPr>
                    <w:rFonts w:ascii="Cambria Math" w:eastAsia="Cambria Math" w:hAnsi="Cambria Math" w:cs="Cambria Math"/>
                    <w:szCs w:val="21"/>
                  </w:rPr>
                  <w:lastRenderedPageBreak/>
                  <m:t>r = α</m:t>
                </m:r>
                <m:d>
                  <m:dPr>
                    <m:ctrlPr>
                      <w:rPr>
                        <w:rFonts w:ascii="Cambria Math" w:eastAsia="Cambria Math" w:hAnsi="Cambria Math" w:cs="Cambria Math"/>
                        <w:szCs w:val="21"/>
                      </w:rPr>
                    </m:ctrlPr>
                  </m:dPr>
                  <m:e>
                    <m:r>
                      <w:rPr>
                        <w:rFonts w:ascii="Cambria Math" w:eastAsia="Cambria Math" w:hAnsi="Cambria Math" w:cs="Cambria Math"/>
                        <w:szCs w:val="21"/>
                      </w:rPr>
                      <m:t xml:space="preserve">γ+ </m:t>
                    </m:r>
                    <m:d>
                      <m:dPr>
                        <m:ctrlPr>
                          <w:rPr>
                            <w:rFonts w:ascii="Cambria Math" w:eastAsia="Cambria Math" w:hAnsi="Cambria Math" w:cs="Cambria Math"/>
                            <w:szCs w:val="21"/>
                          </w:rPr>
                        </m:ctrlPr>
                      </m:dPr>
                      <m:e>
                        <m:r>
                          <w:rPr>
                            <w:rFonts w:ascii="Cambria Math" w:eastAsia="Cambria Math" w:hAnsi="Cambria Math" w:cs="Cambria Math"/>
                            <w:szCs w:val="21"/>
                          </w:rPr>
                          <m:t>1-γ</m:t>
                        </m:r>
                      </m:e>
                    </m:d>
                    <m:r>
                      <w:rPr>
                        <w:rFonts w:ascii="Cambria Math" w:eastAsia="Cambria Math" w:hAnsi="Cambria Math" w:cs="Cambria Math"/>
                        <w:szCs w:val="21"/>
                      </w:rPr>
                      <m:t>×f</m:t>
                    </m:r>
                    <m:d>
                      <m:dPr>
                        <m:ctrlPr>
                          <w:rPr>
                            <w:rFonts w:ascii="Cambria Math" w:eastAsia="Cambria Math" w:hAnsi="Cambria Math" w:cs="Cambria Math"/>
                            <w:szCs w:val="21"/>
                          </w:rPr>
                        </m:ctrlPr>
                      </m:dPr>
                      <m:e>
                        <m:r>
                          <w:rPr>
                            <w:rFonts w:ascii="Cambria Math" w:eastAsia="Cambria Math" w:hAnsi="Cambria Math" w:cs="Cambria Math"/>
                            <w:szCs w:val="21"/>
                          </w:rPr>
                          <m:t>μ,ϕ</m:t>
                        </m:r>
                      </m:e>
                    </m:d>
                  </m:e>
                </m:d>
              </m:oMath>
            </m:oMathPara>
          </w:p>
        </w:tc>
        <w:tc>
          <w:tcPr>
            <w:tcW w:w="1700" w:type="dxa"/>
            <w:shd w:val="clear" w:color="auto" w:fill="auto"/>
            <w:vAlign w:val="center"/>
          </w:tcPr>
          <w:p w14:paraId="0000025C" w14:textId="230E2A8E" w:rsidR="00471C28" w:rsidRPr="00403AE6" w:rsidRDefault="00CF15C9">
            <w:pPr>
              <w:keepNext/>
              <w:spacing w:before="60" w:after="120"/>
              <w:jc w:val="center"/>
              <w:rPr>
                <w:rFonts w:eastAsia="Century Gothic" w:cs="Century Gothic"/>
                <w:szCs w:val="21"/>
              </w:rPr>
            </w:pPr>
            <w:r w:rsidRPr="00403AE6">
              <w:rPr>
                <w:rFonts w:eastAsia="Century Gothic" w:cs="Century Gothic"/>
                <w:color w:val="595959" w:themeColor="text1" w:themeTint="A6"/>
                <w:szCs w:val="21"/>
              </w:rPr>
              <w:t>(</w:t>
            </w:r>
            <w:r w:rsidRPr="00403AE6">
              <w:rPr>
                <w:rFonts w:eastAsia="Century Gothic" w:cs="Century Gothic"/>
                <w:szCs w:val="21"/>
              </w:rPr>
              <w:t>1</w:t>
            </w:r>
            <w:r w:rsidR="002419A3" w:rsidRPr="00403AE6">
              <w:rPr>
                <w:rFonts w:eastAsia="Century Gothic" w:cs="Century Gothic"/>
                <w:szCs w:val="21"/>
              </w:rPr>
              <w:t>5</w:t>
            </w:r>
            <w:r w:rsidRPr="00403AE6">
              <w:rPr>
                <w:rFonts w:eastAsia="Century Gothic" w:cs="Century Gothic"/>
                <w:color w:val="595959" w:themeColor="text1" w:themeTint="A6"/>
                <w:szCs w:val="21"/>
              </w:rPr>
              <w:t>)</w:t>
            </w:r>
          </w:p>
        </w:tc>
      </w:tr>
    </w:tbl>
    <w:p w14:paraId="0000025D" w14:textId="77777777" w:rsidR="00471C28" w:rsidRPr="00403AE6" w:rsidRDefault="00471C28">
      <w:pPr>
        <w:spacing w:before="60" w:after="120"/>
        <w:jc w:val="right"/>
        <w:rPr>
          <w:rFonts w:eastAsia="Century Gothic" w:cs="Century Gothic"/>
          <w:szCs w:val="21"/>
        </w:rPr>
      </w:pPr>
    </w:p>
    <w:p w14:paraId="0000025E" w14:textId="77777777" w:rsidR="00471C28" w:rsidRPr="00403AE6" w:rsidRDefault="00CF15C9">
      <w:pPr>
        <w:spacing w:before="60" w:after="120"/>
        <w:ind w:left="720"/>
        <w:rPr>
          <w:rFonts w:eastAsia="Century Gothic" w:cs="Century Gothic"/>
          <w:szCs w:val="21"/>
        </w:rPr>
      </w:pPr>
      <w:proofErr w:type="gramStart"/>
      <w:r w:rsidRPr="00403AE6">
        <w:rPr>
          <w:rFonts w:eastAsia="Century Gothic" w:cs="Century Gothic"/>
          <w:szCs w:val="21"/>
        </w:rPr>
        <w:t>where</w:t>
      </w:r>
      <w:proofErr w:type="gramEnd"/>
      <w:r w:rsidRPr="00403AE6">
        <w:rPr>
          <w:rFonts w:eastAsia="Century Gothic" w:cs="Century Gothic"/>
          <w:szCs w:val="21"/>
        </w:rPr>
        <w:t>,</w:t>
      </w:r>
    </w:p>
    <w:p w14:paraId="0000025F" w14:textId="77777777" w:rsidR="00471C28" w:rsidRPr="00403AE6" w:rsidRDefault="00CF15C9">
      <w:pPr>
        <w:spacing w:before="60" w:after="120"/>
        <w:ind w:left="720"/>
        <w:rPr>
          <w:rFonts w:eastAsia="Century Gothic" w:cs="Century Gothic"/>
          <w:szCs w:val="21"/>
        </w:rPr>
      </w:pPr>
      <w:r w:rsidRPr="00403AE6">
        <w:rPr>
          <w:rFonts w:eastAsia="Century Gothic" w:cs="Century Gothic"/>
          <w:szCs w:val="21"/>
        </w:rPr>
        <w:t xml:space="preserve">Harvest occurrence is </w:t>
      </w:r>
      <w:proofErr w:type="spellStart"/>
      <w:r w:rsidRPr="00403AE6">
        <w:rPr>
          <w:rFonts w:eastAsia="Century Gothic" w:cs="Century Gothic"/>
          <w:szCs w:val="21"/>
        </w:rPr>
        <w:t>modeled</w:t>
      </w:r>
      <w:proofErr w:type="spellEnd"/>
      <w:r w:rsidRPr="00403AE6">
        <w:rPr>
          <w:rFonts w:eastAsia="Century Gothic" w:cs="Century Gothic"/>
          <w:szCs w:val="21"/>
        </w:rPr>
        <w:t xml:space="preserve"> as</w:t>
      </w:r>
    </w:p>
    <w:tbl>
      <w:tblPr>
        <w:tblW w:w="935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7740"/>
        <w:gridCol w:w="1610"/>
      </w:tblGrid>
      <w:tr w:rsidR="00471C28" w:rsidRPr="00403AE6" w14:paraId="4793B1E8" w14:textId="77777777">
        <w:tc>
          <w:tcPr>
            <w:tcW w:w="7740" w:type="dxa"/>
            <w:shd w:val="clear" w:color="auto" w:fill="auto"/>
            <w:vAlign w:val="center"/>
          </w:tcPr>
          <w:p w14:paraId="00000260" w14:textId="2AC942B0" w:rsidR="00471C28" w:rsidRPr="00403AE6" w:rsidRDefault="00CF15C9">
            <w:pPr>
              <w:spacing w:before="60" w:after="120"/>
              <w:jc w:val="center"/>
              <w:rPr>
                <w:rFonts w:eastAsia="Century Gothic" w:cs="Century Gothic"/>
                <w:szCs w:val="21"/>
              </w:rPr>
            </w:pPr>
            <w:r w:rsidRPr="00403AE6">
              <w:rPr>
                <w:rFonts w:ascii="Cambria Math" w:eastAsia="Cambria Math" w:hAnsi="Cambria Math" w:cs="Cambria Math"/>
                <w:szCs w:val="21"/>
              </w:rPr>
              <w:t>𝛼</w:t>
            </w:r>
            <w:r w:rsidRPr="00403AE6">
              <w:rPr>
                <w:rFonts w:eastAsia="Century Gothic" w:cs="Century Gothic"/>
                <w:szCs w:val="21"/>
              </w:rPr>
              <w:t xml:space="preserve"> ~ </w:t>
            </w:r>
            <w:r w:rsidRPr="00403AE6">
              <w:rPr>
                <w:rFonts w:eastAsia="Century Gothic" w:cs="Century Gothic"/>
                <w:i/>
                <w:szCs w:val="21"/>
              </w:rPr>
              <w:t>A</w:t>
            </w:r>
            <w:r w:rsidRPr="00403AE6">
              <w:rPr>
                <w:rFonts w:eastAsia="Century Gothic" w:cs="Century Gothic"/>
                <w:i/>
                <w:szCs w:val="21"/>
                <w:vertAlign w:val="subscript"/>
              </w:rPr>
              <w:t>X</w:t>
            </w:r>
            <w:r w:rsidR="006C343B" w:rsidRPr="00403AE6">
              <w:rPr>
                <w:rFonts w:eastAsia="Century Gothic" w:cs="Century Gothic"/>
                <w:szCs w:val="21"/>
              </w:rPr>
              <w:t>*</w:t>
            </w:r>
            <w:r w:rsidRPr="00403AE6">
              <w:rPr>
                <w:rFonts w:eastAsia="Century Gothic" w:cs="Century Gothic"/>
                <w:szCs w:val="21"/>
              </w:rPr>
              <w:t>(</w:t>
            </w:r>
            <w:r w:rsidRPr="00403AE6">
              <w:rPr>
                <w:rFonts w:eastAsia="Century Gothic" w:cs="Century Gothic"/>
                <w:i/>
                <w:szCs w:val="21"/>
              </w:rPr>
              <w:t>V</w:t>
            </w:r>
            <w:r w:rsidRPr="00403AE6">
              <w:rPr>
                <w:rFonts w:eastAsia="Century Gothic" w:cs="Century Gothic"/>
                <w:i/>
                <w:szCs w:val="21"/>
                <w:vertAlign w:val="subscript"/>
              </w:rPr>
              <w:t>T0</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T1</w:t>
            </w:r>
            <w:r w:rsidRPr="00403AE6">
              <w:rPr>
                <w:rFonts w:eastAsia="Century Gothic" w:cs="Century Gothic"/>
                <w:szCs w:val="21"/>
              </w:rPr>
              <w:t xml:space="preserve"> + </w:t>
            </w:r>
            <w:r w:rsidRPr="00403AE6">
              <w:rPr>
                <w:rFonts w:eastAsia="Century Gothic" w:cs="Century Gothic"/>
                <w:i/>
                <w:szCs w:val="21"/>
              </w:rPr>
              <w:t>C</w:t>
            </w:r>
            <w:r w:rsidRPr="00403AE6">
              <w:rPr>
                <w:rFonts w:eastAsia="Century Gothic" w:cs="Century Gothic"/>
                <w:i/>
                <w:szCs w:val="21"/>
                <w:vertAlign w:val="subscript"/>
              </w:rPr>
              <w:t>ABG</w:t>
            </w:r>
            <w:r w:rsidRPr="00403AE6">
              <w:rPr>
                <w:rFonts w:eastAsia="Century Gothic" w:cs="Century Gothic"/>
                <w:szCs w:val="21"/>
              </w:rPr>
              <w:t xml:space="preserve"> + </w:t>
            </w:r>
            <w:r w:rsidRPr="00403AE6">
              <w:rPr>
                <w:rFonts w:eastAsia="Century Gothic" w:cs="Century Gothic"/>
                <w:i/>
                <w:szCs w:val="21"/>
              </w:rPr>
              <w:t>D</w:t>
            </w:r>
            <w:r w:rsidRPr="00403AE6">
              <w:rPr>
                <w:rFonts w:eastAsia="Century Gothic" w:cs="Century Gothic"/>
                <w:i/>
                <w:szCs w:val="21"/>
                <w:vertAlign w:val="subscript"/>
              </w:rPr>
              <w:t>M</w:t>
            </w:r>
            <w:r w:rsidRPr="00403AE6">
              <w:rPr>
                <w:rFonts w:eastAsia="Century Gothic" w:cs="Century Gothic"/>
                <w:szCs w:val="21"/>
              </w:rPr>
              <w:t xml:space="preserve"> + </w:t>
            </w:r>
            <w:r w:rsidRPr="00403AE6">
              <w:rPr>
                <w:rFonts w:eastAsia="Century Gothic" w:cs="Century Gothic"/>
                <w:i/>
                <w:szCs w:val="21"/>
              </w:rPr>
              <w:t>S</w:t>
            </w:r>
            <w:r w:rsidRPr="00403AE6">
              <w:rPr>
                <w:rFonts w:eastAsia="Century Gothic" w:cs="Century Gothic"/>
                <w:szCs w:val="21"/>
              </w:rPr>
              <w:t xml:space="preserve"> + </w:t>
            </w:r>
            <w:r w:rsidRPr="00403AE6">
              <w:rPr>
                <w:rFonts w:eastAsia="Century Gothic" w:cs="Century Gothic"/>
                <w:i/>
                <w:szCs w:val="21"/>
              </w:rPr>
              <w:t>D</w:t>
            </w:r>
            <w:r w:rsidRPr="00403AE6">
              <w:rPr>
                <w:rFonts w:eastAsia="Century Gothic" w:cs="Century Gothic"/>
                <w:i/>
                <w:szCs w:val="21"/>
                <w:vertAlign w:val="subscript"/>
              </w:rPr>
              <w:t>R</w:t>
            </w:r>
            <w:r w:rsidRPr="00403AE6">
              <w:rPr>
                <w:rFonts w:eastAsia="Century Gothic" w:cs="Century Gothic"/>
                <w:szCs w:val="21"/>
              </w:rPr>
              <w:t xml:space="preserve"> + </w:t>
            </w:r>
            <w:r w:rsidRPr="00403AE6">
              <w:rPr>
                <w:rFonts w:eastAsia="Century Gothic" w:cs="Century Gothic"/>
                <w:i/>
                <w:szCs w:val="21"/>
              </w:rPr>
              <w:t>NWOS</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T0</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T1</w:t>
            </w:r>
            <w:r w:rsidRPr="00403AE6">
              <w:rPr>
                <w:rFonts w:eastAsia="Century Gothic" w:cs="Century Gothic"/>
                <w:szCs w:val="21"/>
              </w:rPr>
              <w:t xml:space="preserve"> + </w:t>
            </w:r>
            <w:r w:rsidRPr="00403AE6">
              <w:rPr>
                <w:rFonts w:eastAsia="Century Gothic" w:cs="Century Gothic"/>
                <w:i/>
                <w:szCs w:val="21"/>
              </w:rPr>
              <w:t>C</w:t>
            </w:r>
            <w:r w:rsidRPr="00403AE6">
              <w:rPr>
                <w:rFonts w:eastAsia="Century Gothic" w:cs="Century Gothic"/>
                <w:i/>
                <w:szCs w:val="21"/>
                <w:vertAlign w:val="subscript"/>
              </w:rPr>
              <w:t>ABG</w:t>
            </w:r>
            <w:r w:rsidRPr="00403AE6">
              <w:rPr>
                <w:rFonts w:eastAsia="Century Gothic" w:cs="Century Gothic"/>
                <w:szCs w:val="21"/>
              </w:rPr>
              <w:t xml:space="preserve"> + </w:t>
            </w:r>
            <w:r w:rsidRPr="00403AE6">
              <w:rPr>
                <w:rFonts w:eastAsia="Century Gothic" w:cs="Century Gothic"/>
                <w:i/>
                <w:szCs w:val="21"/>
              </w:rPr>
              <w:t>D</w:t>
            </w:r>
            <w:r w:rsidRPr="00403AE6">
              <w:rPr>
                <w:rFonts w:eastAsia="Century Gothic" w:cs="Century Gothic"/>
                <w:i/>
                <w:szCs w:val="21"/>
                <w:vertAlign w:val="subscript"/>
              </w:rPr>
              <w:t>M</w:t>
            </w:r>
            <w:r w:rsidRPr="00403AE6">
              <w:rPr>
                <w:rFonts w:eastAsia="Century Gothic" w:cs="Century Gothic"/>
                <w:szCs w:val="21"/>
              </w:rPr>
              <w:t xml:space="preserve"> + </w:t>
            </w:r>
            <w:r w:rsidRPr="00403AE6">
              <w:rPr>
                <w:rFonts w:eastAsia="Century Gothic" w:cs="Century Gothic"/>
                <w:i/>
                <w:szCs w:val="21"/>
              </w:rPr>
              <w:t>S</w:t>
            </w:r>
            <w:r w:rsidRPr="00403AE6">
              <w:rPr>
                <w:rFonts w:eastAsia="Century Gothic" w:cs="Century Gothic"/>
                <w:szCs w:val="21"/>
              </w:rPr>
              <w:t xml:space="preserve"> + </w:t>
            </w:r>
            <w:r w:rsidRPr="00403AE6">
              <w:rPr>
                <w:rFonts w:eastAsia="Century Gothic" w:cs="Century Gothic"/>
                <w:i/>
                <w:szCs w:val="21"/>
              </w:rPr>
              <w:t>D</w:t>
            </w:r>
            <w:r w:rsidRPr="00403AE6">
              <w:rPr>
                <w:rFonts w:eastAsia="Century Gothic" w:cs="Century Gothic"/>
                <w:i/>
                <w:szCs w:val="21"/>
                <w:vertAlign w:val="subscript"/>
              </w:rPr>
              <w:t>R</w:t>
            </w:r>
            <w:r w:rsidRPr="00403AE6">
              <w:rPr>
                <w:rFonts w:eastAsia="Century Gothic" w:cs="Century Gothic"/>
                <w:szCs w:val="21"/>
              </w:rPr>
              <w:t xml:space="preserve"> + </w:t>
            </w:r>
            <w:r w:rsidRPr="00403AE6">
              <w:rPr>
                <w:rFonts w:eastAsia="Century Gothic" w:cs="Century Gothic"/>
                <w:i/>
                <w:szCs w:val="21"/>
              </w:rPr>
              <w:t>NWOS | O</w:t>
            </w:r>
            <w:r w:rsidRPr="00403AE6">
              <w:rPr>
                <w:rFonts w:eastAsia="Century Gothic" w:cs="Century Gothic"/>
                <w:szCs w:val="21"/>
              </w:rPr>
              <w:t>))</w:t>
            </w:r>
          </w:p>
        </w:tc>
        <w:tc>
          <w:tcPr>
            <w:tcW w:w="1610" w:type="dxa"/>
            <w:shd w:val="clear" w:color="auto" w:fill="auto"/>
            <w:vAlign w:val="center"/>
          </w:tcPr>
          <w:p w14:paraId="00000261" w14:textId="71835317" w:rsidR="00471C28" w:rsidRPr="00403AE6" w:rsidRDefault="00CF15C9">
            <w:pPr>
              <w:keepNext/>
              <w:spacing w:before="60" w:after="120"/>
              <w:jc w:val="center"/>
              <w:rPr>
                <w:rFonts w:eastAsia="Century Gothic" w:cs="Century Gothic"/>
                <w:szCs w:val="21"/>
              </w:rPr>
            </w:pPr>
            <w:r w:rsidRPr="00403AE6">
              <w:rPr>
                <w:rFonts w:eastAsia="Century Gothic" w:cs="Century Gothic"/>
                <w:color w:val="595959"/>
                <w:szCs w:val="21"/>
              </w:rPr>
              <w:t>(</w:t>
            </w:r>
            <w:r w:rsidRPr="00403AE6">
              <w:rPr>
                <w:rFonts w:eastAsia="Century Gothic" w:cs="Century Gothic"/>
                <w:szCs w:val="21"/>
              </w:rPr>
              <w:t>1</w:t>
            </w:r>
            <w:r w:rsidR="002419A3" w:rsidRPr="00403AE6">
              <w:rPr>
                <w:rFonts w:eastAsia="Century Gothic" w:cs="Century Gothic"/>
                <w:szCs w:val="21"/>
              </w:rPr>
              <w:t>6</w:t>
            </w:r>
            <w:r w:rsidRPr="00403AE6">
              <w:rPr>
                <w:rFonts w:eastAsia="Century Gothic" w:cs="Century Gothic"/>
                <w:color w:val="595959"/>
                <w:szCs w:val="21"/>
              </w:rPr>
              <w:t>)</w:t>
            </w:r>
          </w:p>
        </w:tc>
      </w:tr>
    </w:tbl>
    <w:p w14:paraId="00000262" w14:textId="77777777" w:rsidR="00471C28" w:rsidRPr="00403AE6" w:rsidRDefault="00CF15C9">
      <w:pPr>
        <w:spacing w:before="60" w:after="120"/>
        <w:ind w:left="720"/>
        <w:rPr>
          <w:rFonts w:eastAsia="Century Gothic" w:cs="Century Gothic"/>
          <w:szCs w:val="21"/>
        </w:rPr>
      </w:pPr>
      <w:r w:rsidRPr="00403AE6">
        <w:rPr>
          <w:rFonts w:eastAsia="Century Gothic" w:cs="Century Gothic"/>
          <w:szCs w:val="21"/>
        </w:rPr>
        <w:t xml:space="preserve">Total harvest decision is </w:t>
      </w:r>
      <w:proofErr w:type="spellStart"/>
      <w:r w:rsidRPr="00403AE6">
        <w:rPr>
          <w:rFonts w:eastAsia="Century Gothic" w:cs="Century Gothic"/>
          <w:szCs w:val="21"/>
        </w:rPr>
        <w:t>modeled</w:t>
      </w:r>
      <w:proofErr w:type="spellEnd"/>
      <w:r w:rsidRPr="00403AE6">
        <w:rPr>
          <w:rFonts w:eastAsia="Century Gothic" w:cs="Century Gothic"/>
          <w:szCs w:val="21"/>
        </w:rPr>
        <w:t xml:space="preserve"> as</w:t>
      </w:r>
    </w:p>
    <w:tbl>
      <w:tblPr>
        <w:tblW w:w="935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7740"/>
        <w:gridCol w:w="1610"/>
      </w:tblGrid>
      <w:tr w:rsidR="00471C28" w:rsidRPr="00403AE6" w14:paraId="081CDAF1" w14:textId="77777777">
        <w:tc>
          <w:tcPr>
            <w:tcW w:w="7740" w:type="dxa"/>
            <w:shd w:val="clear" w:color="auto" w:fill="auto"/>
            <w:vAlign w:val="center"/>
          </w:tcPr>
          <w:p w14:paraId="00000263" w14:textId="77777777" w:rsidR="00471C28" w:rsidRPr="00403AE6" w:rsidRDefault="00CF15C9">
            <w:pPr>
              <w:spacing w:before="60" w:after="120"/>
              <w:jc w:val="center"/>
              <w:rPr>
                <w:rFonts w:eastAsia="Century Gothic" w:cs="Century Gothic"/>
                <w:szCs w:val="21"/>
                <w:lang w:val="es-MX"/>
              </w:rPr>
            </w:pPr>
            <w:r w:rsidRPr="00403AE6">
              <w:rPr>
                <w:rFonts w:ascii="Cambria Math" w:eastAsia="Cambria Math" w:hAnsi="Cambria Math" w:cs="Cambria Math"/>
                <w:szCs w:val="21"/>
              </w:rPr>
              <w:t>𝛾</w:t>
            </w:r>
            <w:r w:rsidRPr="00403AE6">
              <w:rPr>
                <w:rFonts w:eastAsia="Century Gothic" w:cs="Century Gothic"/>
                <w:szCs w:val="21"/>
                <w:lang w:val="es-MX"/>
              </w:rPr>
              <w:t xml:space="preserve"> ~ </w:t>
            </w:r>
            <w:r w:rsidRPr="00403AE6">
              <w:rPr>
                <w:rFonts w:eastAsia="Century Gothic" w:cs="Century Gothic"/>
                <w:i/>
                <w:szCs w:val="21"/>
                <w:lang w:val="es-MX"/>
              </w:rPr>
              <w:t>C</w:t>
            </w:r>
            <w:r w:rsidRPr="00403AE6">
              <w:rPr>
                <w:rFonts w:eastAsia="Century Gothic" w:cs="Century Gothic"/>
                <w:i/>
                <w:szCs w:val="21"/>
                <w:vertAlign w:val="subscript"/>
                <w:lang w:val="es-MX"/>
              </w:rPr>
              <w:t>ABG</w:t>
            </w:r>
            <w:r w:rsidRPr="00403AE6">
              <w:rPr>
                <w:rFonts w:eastAsia="Century Gothic" w:cs="Century Gothic"/>
                <w:szCs w:val="21"/>
                <w:lang w:val="es-MX"/>
              </w:rPr>
              <w:t xml:space="preserve"> + (</w:t>
            </w:r>
            <w:r w:rsidRPr="00403AE6">
              <w:rPr>
                <w:rFonts w:eastAsia="Century Gothic" w:cs="Century Gothic"/>
                <w:i/>
                <w:szCs w:val="21"/>
                <w:lang w:val="es-MX"/>
              </w:rPr>
              <w:t>C</w:t>
            </w:r>
            <w:r w:rsidRPr="00403AE6">
              <w:rPr>
                <w:rFonts w:eastAsia="Century Gothic" w:cs="Century Gothic"/>
                <w:i/>
                <w:szCs w:val="21"/>
                <w:vertAlign w:val="subscript"/>
                <w:lang w:val="es-MX"/>
              </w:rPr>
              <w:t>ABG</w:t>
            </w:r>
            <w:r w:rsidRPr="00403AE6">
              <w:rPr>
                <w:rFonts w:eastAsia="Century Gothic" w:cs="Century Gothic"/>
                <w:szCs w:val="21"/>
                <w:lang w:val="es-MX"/>
              </w:rPr>
              <w:t xml:space="preserve"> </w:t>
            </w:r>
            <w:r w:rsidRPr="00403AE6">
              <w:rPr>
                <w:rFonts w:eastAsia="Century Gothic" w:cs="Century Gothic"/>
                <w:i/>
                <w:szCs w:val="21"/>
                <w:lang w:val="es-MX"/>
              </w:rPr>
              <w:t>| O:F</w:t>
            </w:r>
            <w:r w:rsidRPr="00403AE6">
              <w:rPr>
                <w:rFonts w:eastAsia="Century Gothic" w:cs="Century Gothic"/>
                <w:i/>
                <w:szCs w:val="21"/>
                <w:vertAlign w:val="subscript"/>
                <w:lang w:val="es-MX"/>
              </w:rPr>
              <w:t>C</w:t>
            </w:r>
            <w:r w:rsidRPr="00403AE6">
              <w:rPr>
                <w:rFonts w:eastAsia="Century Gothic" w:cs="Century Gothic"/>
                <w:szCs w:val="21"/>
                <w:lang w:val="es-MX"/>
              </w:rPr>
              <w:t>)</w:t>
            </w:r>
          </w:p>
        </w:tc>
        <w:tc>
          <w:tcPr>
            <w:tcW w:w="1610" w:type="dxa"/>
            <w:shd w:val="clear" w:color="auto" w:fill="auto"/>
            <w:vAlign w:val="center"/>
          </w:tcPr>
          <w:p w14:paraId="00000264" w14:textId="56177A76" w:rsidR="00471C28" w:rsidRPr="00403AE6" w:rsidRDefault="00CF15C9">
            <w:pPr>
              <w:keepNext/>
              <w:spacing w:before="60" w:after="120"/>
              <w:jc w:val="center"/>
              <w:rPr>
                <w:rFonts w:eastAsia="Century Gothic" w:cs="Century Gothic"/>
                <w:color w:val="595959"/>
                <w:szCs w:val="21"/>
              </w:rPr>
            </w:pPr>
            <w:r w:rsidRPr="00403AE6">
              <w:rPr>
                <w:rFonts w:eastAsia="Century Gothic" w:cs="Century Gothic"/>
                <w:color w:val="595959"/>
                <w:szCs w:val="21"/>
              </w:rPr>
              <w:t>(</w:t>
            </w:r>
            <w:r w:rsidR="002419A3" w:rsidRPr="00403AE6">
              <w:rPr>
                <w:rFonts w:eastAsia="Century Gothic" w:cs="Century Gothic"/>
                <w:szCs w:val="21"/>
              </w:rPr>
              <w:t>17</w:t>
            </w:r>
            <w:r w:rsidRPr="00403AE6">
              <w:rPr>
                <w:rFonts w:eastAsia="Century Gothic" w:cs="Century Gothic"/>
                <w:color w:val="595959"/>
                <w:szCs w:val="21"/>
              </w:rPr>
              <w:t>)</w:t>
            </w:r>
          </w:p>
        </w:tc>
      </w:tr>
    </w:tbl>
    <w:p w14:paraId="00000265" w14:textId="77777777" w:rsidR="00471C28" w:rsidRPr="00403AE6" w:rsidRDefault="00CF15C9">
      <w:pPr>
        <w:spacing w:before="60" w:after="120"/>
        <w:ind w:left="720"/>
        <w:rPr>
          <w:rFonts w:eastAsia="Century Gothic" w:cs="Century Gothic"/>
          <w:szCs w:val="21"/>
        </w:rPr>
      </w:pPr>
      <w:r w:rsidRPr="00403AE6">
        <w:rPr>
          <w:rFonts w:eastAsia="Century Gothic" w:cs="Century Gothic"/>
          <w:szCs w:val="21"/>
        </w:rPr>
        <w:t xml:space="preserve">Partial harvest intensity is </w:t>
      </w:r>
      <w:proofErr w:type="spellStart"/>
      <w:r w:rsidRPr="00403AE6">
        <w:rPr>
          <w:rFonts w:eastAsia="Century Gothic" w:cs="Century Gothic"/>
          <w:szCs w:val="21"/>
        </w:rPr>
        <w:t>modeled</w:t>
      </w:r>
      <w:proofErr w:type="spellEnd"/>
      <w:r w:rsidRPr="00403AE6">
        <w:rPr>
          <w:rFonts w:eastAsia="Century Gothic" w:cs="Century Gothic"/>
          <w:szCs w:val="21"/>
        </w:rPr>
        <w:t xml:space="preserve"> as</w:t>
      </w:r>
    </w:p>
    <w:tbl>
      <w:tblPr>
        <w:tblW w:w="935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7740"/>
        <w:gridCol w:w="1610"/>
      </w:tblGrid>
      <w:tr w:rsidR="00471C28" w:rsidRPr="00403AE6" w14:paraId="5607F1DE" w14:textId="77777777">
        <w:tc>
          <w:tcPr>
            <w:tcW w:w="7740" w:type="dxa"/>
            <w:shd w:val="clear" w:color="auto" w:fill="auto"/>
            <w:vAlign w:val="center"/>
          </w:tcPr>
          <w:p w14:paraId="00000266" w14:textId="77777777" w:rsidR="00471C28" w:rsidRPr="00403AE6" w:rsidRDefault="00CF15C9">
            <w:pPr>
              <w:spacing w:before="60" w:after="120"/>
              <w:jc w:val="center"/>
              <w:rPr>
                <w:rFonts w:eastAsia="Century Gothic" w:cs="Century Gothic"/>
                <w:szCs w:val="21"/>
              </w:rPr>
            </w:pPr>
            <w:proofErr w:type="gramStart"/>
            <w:r w:rsidRPr="00403AE6">
              <w:rPr>
                <w:rFonts w:eastAsia="Century Gothic" w:cs="Century Gothic"/>
                <w:i/>
                <w:szCs w:val="21"/>
              </w:rPr>
              <w:t>f</w:t>
            </w:r>
            <w:r w:rsidRPr="00403AE6">
              <w:rPr>
                <w:rFonts w:eastAsia="Century Gothic" w:cs="Century Gothic"/>
                <w:szCs w:val="21"/>
              </w:rPr>
              <w:t>(</w:t>
            </w:r>
            <w:proofErr w:type="gramEnd"/>
            <w:r w:rsidRPr="00403AE6">
              <w:rPr>
                <w:rFonts w:eastAsia="Century Gothic" w:cs="Century Gothic"/>
                <w:szCs w:val="21"/>
              </w:rPr>
              <w:t xml:space="preserve">µ, </w:t>
            </w:r>
            <w:r w:rsidRPr="00403AE6">
              <w:rPr>
                <w:rFonts w:ascii="Cambria Math" w:eastAsia="Cambria Math" w:hAnsi="Cambria Math" w:cs="Cambria Math"/>
                <w:szCs w:val="21"/>
              </w:rPr>
              <w:t>𝜙</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T0</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T1</w:t>
            </w:r>
            <w:r w:rsidRPr="00403AE6">
              <w:rPr>
                <w:rFonts w:eastAsia="Century Gothic" w:cs="Century Gothic"/>
                <w:szCs w:val="21"/>
              </w:rPr>
              <w:t xml:space="preserve"> + </w:t>
            </w:r>
            <w:r w:rsidRPr="00403AE6">
              <w:rPr>
                <w:rFonts w:eastAsia="Century Gothic" w:cs="Century Gothic"/>
                <w:i/>
                <w:szCs w:val="21"/>
              </w:rPr>
              <w:t>C</w:t>
            </w:r>
            <w:r w:rsidRPr="00403AE6">
              <w:rPr>
                <w:rFonts w:eastAsia="Century Gothic" w:cs="Century Gothic"/>
                <w:i/>
                <w:szCs w:val="21"/>
                <w:vertAlign w:val="subscript"/>
              </w:rPr>
              <w:t>ABG</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T0</w:t>
            </w:r>
            <w:r w:rsidRPr="00403AE6">
              <w:rPr>
                <w:rFonts w:eastAsia="Century Gothic" w:cs="Century Gothic"/>
                <w:szCs w:val="21"/>
              </w:rPr>
              <w:t xml:space="preserve"> + </w:t>
            </w:r>
            <w:r w:rsidRPr="00403AE6">
              <w:rPr>
                <w:rFonts w:eastAsia="Century Gothic" w:cs="Century Gothic"/>
                <w:i/>
                <w:szCs w:val="21"/>
              </w:rPr>
              <w:t>V</w:t>
            </w:r>
            <w:r w:rsidRPr="00403AE6">
              <w:rPr>
                <w:rFonts w:eastAsia="Century Gothic" w:cs="Century Gothic"/>
                <w:i/>
                <w:szCs w:val="21"/>
                <w:vertAlign w:val="subscript"/>
              </w:rPr>
              <w:t>T1</w:t>
            </w:r>
            <w:r w:rsidRPr="00403AE6">
              <w:rPr>
                <w:rFonts w:eastAsia="Century Gothic" w:cs="Century Gothic"/>
                <w:szCs w:val="21"/>
              </w:rPr>
              <w:t xml:space="preserve"> + </w:t>
            </w:r>
            <w:r w:rsidRPr="00403AE6">
              <w:rPr>
                <w:rFonts w:eastAsia="Century Gothic" w:cs="Century Gothic"/>
                <w:i/>
                <w:szCs w:val="21"/>
              </w:rPr>
              <w:t>C</w:t>
            </w:r>
            <w:r w:rsidRPr="00403AE6">
              <w:rPr>
                <w:rFonts w:eastAsia="Century Gothic" w:cs="Century Gothic"/>
                <w:i/>
                <w:szCs w:val="21"/>
                <w:vertAlign w:val="subscript"/>
              </w:rPr>
              <w:t>ABG</w:t>
            </w:r>
            <w:r w:rsidRPr="00403AE6">
              <w:rPr>
                <w:rFonts w:eastAsia="Century Gothic" w:cs="Century Gothic"/>
                <w:szCs w:val="21"/>
              </w:rPr>
              <w:t xml:space="preserve"> </w:t>
            </w:r>
            <w:r w:rsidRPr="00403AE6">
              <w:rPr>
                <w:rFonts w:eastAsia="Century Gothic" w:cs="Century Gothic"/>
                <w:i/>
                <w:szCs w:val="21"/>
              </w:rPr>
              <w:t>| O:F</w:t>
            </w:r>
            <w:r w:rsidRPr="00403AE6">
              <w:rPr>
                <w:rFonts w:eastAsia="Century Gothic" w:cs="Century Gothic"/>
                <w:szCs w:val="21"/>
              </w:rPr>
              <w:t>)</w:t>
            </w:r>
          </w:p>
        </w:tc>
        <w:tc>
          <w:tcPr>
            <w:tcW w:w="1610" w:type="dxa"/>
            <w:shd w:val="clear" w:color="auto" w:fill="auto"/>
            <w:vAlign w:val="center"/>
          </w:tcPr>
          <w:p w14:paraId="00000267" w14:textId="0A81016E" w:rsidR="00471C28" w:rsidRPr="00403AE6" w:rsidRDefault="00CF15C9">
            <w:pPr>
              <w:keepNext/>
              <w:spacing w:before="60" w:after="120"/>
              <w:jc w:val="center"/>
              <w:rPr>
                <w:rFonts w:eastAsia="Century Gothic" w:cs="Century Gothic"/>
                <w:color w:val="595959"/>
                <w:szCs w:val="21"/>
              </w:rPr>
            </w:pPr>
            <w:r w:rsidRPr="00403AE6">
              <w:rPr>
                <w:rFonts w:eastAsia="Century Gothic" w:cs="Century Gothic"/>
                <w:color w:val="595959"/>
                <w:szCs w:val="21"/>
              </w:rPr>
              <w:t>(</w:t>
            </w:r>
            <w:r w:rsidR="002419A3" w:rsidRPr="00403AE6">
              <w:rPr>
                <w:rFonts w:eastAsia="Century Gothic" w:cs="Century Gothic"/>
                <w:szCs w:val="21"/>
              </w:rPr>
              <w:t>18</w:t>
            </w:r>
            <w:r w:rsidRPr="00403AE6">
              <w:rPr>
                <w:rFonts w:eastAsia="Century Gothic" w:cs="Century Gothic"/>
                <w:color w:val="595959"/>
                <w:szCs w:val="21"/>
              </w:rPr>
              <w:t>)</w:t>
            </w:r>
          </w:p>
        </w:tc>
      </w:tr>
    </w:tbl>
    <w:p w14:paraId="00000268" w14:textId="77777777" w:rsidR="00471C28" w:rsidRDefault="00471C28">
      <w:pPr>
        <w:keepNext/>
        <w:pBdr>
          <w:top w:val="nil"/>
          <w:left w:val="nil"/>
          <w:bottom w:val="nil"/>
          <w:right w:val="nil"/>
          <w:between w:val="nil"/>
        </w:pBdr>
        <w:spacing w:before="60" w:after="120"/>
        <w:rPr>
          <w:rFonts w:ascii="Century Gothic" w:eastAsia="Century Gothic" w:hAnsi="Century Gothic" w:cs="Century Gothic"/>
          <w:b/>
          <w:color w:val="595959"/>
          <w:sz w:val="20"/>
          <w:szCs w:val="20"/>
        </w:rPr>
      </w:pPr>
    </w:p>
    <w:p w14:paraId="00000269" w14:textId="77777777" w:rsidR="00471C28" w:rsidRDefault="00CF15C9">
      <w:pPr>
        <w:keepNext/>
        <w:pBdr>
          <w:top w:val="nil"/>
          <w:left w:val="nil"/>
          <w:bottom w:val="nil"/>
          <w:right w:val="nil"/>
          <w:between w:val="nil"/>
        </w:pBdr>
        <w:spacing w:before="60" w:after="120"/>
        <w:rPr>
          <w:rFonts w:ascii="Century Gothic" w:eastAsia="Century Gothic" w:hAnsi="Century Gothic" w:cs="Century Gothic"/>
          <w:b/>
          <w:color w:val="595959"/>
          <w:sz w:val="20"/>
          <w:szCs w:val="20"/>
        </w:rPr>
      </w:pPr>
      <w:bookmarkStart w:id="54" w:name="_heading=h.2afmg28" w:colFirst="0" w:colLast="0"/>
      <w:bookmarkEnd w:id="54"/>
      <w:r>
        <w:rPr>
          <w:rFonts w:ascii="Century Gothic" w:eastAsia="Century Gothic" w:hAnsi="Century Gothic" w:cs="Century Gothic"/>
          <w:b/>
          <w:color w:val="595959"/>
          <w:sz w:val="20"/>
          <w:szCs w:val="20"/>
        </w:rPr>
        <w:t>Table 11-1: Selected Harvest Risk Model Inputs (see Table 11-2 for a non-exhaustive list of potential model inputs)</w:t>
      </w:r>
    </w:p>
    <w:tbl>
      <w:tblPr>
        <w:tblW w:w="9555" w:type="dxa"/>
        <w:tblInd w:w="6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565"/>
        <w:gridCol w:w="1020"/>
        <w:gridCol w:w="3225"/>
        <w:gridCol w:w="2745"/>
      </w:tblGrid>
      <w:tr w:rsidR="00471C28" w14:paraId="09D6B2D6" w14:textId="77777777">
        <w:trPr>
          <w:trHeight w:val="288"/>
        </w:trPr>
        <w:tc>
          <w:tcPr>
            <w:tcW w:w="2565" w:type="dxa"/>
            <w:shd w:val="clear" w:color="auto" w:fill="2B3957"/>
          </w:tcPr>
          <w:p w14:paraId="0000026A" w14:textId="77777777" w:rsidR="00471C28" w:rsidRPr="00C17F20" w:rsidRDefault="00CF15C9">
            <w:pPr>
              <w:spacing w:before="60" w:after="120"/>
              <w:jc w:val="center"/>
              <w:rPr>
                <w:rFonts w:eastAsia="Century Gothic" w:cs="Century Gothic"/>
                <w:b/>
                <w:color w:val="FFFFFF"/>
                <w:szCs w:val="21"/>
              </w:rPr>
            </w:pPr>
            <w:r w:rsidRPr="00C17F20">
              <w:rPr>
                <w:rFonts w:eastAsia="Century Gothic" w:cs="Century Gothic"/>
                <w:b/>
                <w:color w:val="FFFFFF"/>
                <w:szCs w:val="21"/>
              </w:rPr>
              <w:t>Input</w:t>
            </w:r>
          </w:p>
        </w:tc>
        <w:tc>
          <w:tcPr>
            <w:tcW w:w="1020" w:type="dxa"/>
            <w:shd w:val="clear" w:color="auto" w:fill="2B3957"/>
          </w:tcPr>
          <w:p w14:paraId="0000026B" w14:textId="77777777" w:rsidR="00471C28" w:rsidRPr="00C17F20" w:rsidRDefault="00CF15C9">
            <w:pPr>
              <w:spacing w:before="60" w:after="120"/>
              <w:jc w:val="center"/>
              <w:rPr>
                <w:rFonts w:eastAsia="Century Gothic" w:cs="Century Gothic"/>
                <w:b/>
                <w:color w:val="FFFFFF"/>
                <w:szCs w:val="21"/>
              </w:rPr>
            </w:pPr>
            <w:r w:rsidRPr="00C17F20">
              <w:rPr>
                <w:rFonts w:eastAsia="Century Gothic" w:cs="Century Gothic"/>
                <w:b/>
                <w:color w:val="FFFFFF"/>
                <w:szCs w:val="21"/>
              </w:rPr>
              <w:t>Symbol</w:t>
            </w:r>
          </w:p>
        </w:tc>
        <w:tc>
          <w:tcPr>
            <w:tcW w:w="3225" w:type="dxa"/>
            <w:shd w:val="clear" w:color="auto" w:fill="2B3957"/>
          </w:tcPr>
          <w:p w14:paraId="0000026C" w14:textId="77777777" w:rsidR="00471C28" w:rsidRPr="00C17F20" w:rsidRDefault="00CF15C9">
            <w:pPr>
              <w:spacing w:before="60" w:after="120"/>
              <w:jc w:val="center"/>
              <w:rPr>
                <w:rFonts w:eastAsia="Century Gothic" w:cs="Century Gothic"/>
                <w:b/>
                <w:color w:val="FFFFFF"/>
                <w:szCs w:val="21"/>
              </w:rPr>
            </w:pPr>
            <w:r w:rsidRPr="00C17F20">
              <w:rPr>
                <w:rFonts w:eastAsia="Century Gothic" w:cs="Century Gothic"/>
                <w:b/>
                <w:color w:val="FFFFFF"/>
                <w:szCs w:val="21"/>
              </w:rPr>
              <w:t>General Harvest Model Term (Eq. 1)</w:t>
            </w:r>
          </w:p>
        </w:tc>
        <w:tc>
          <w:tcPr>
            <w:tcW w:w="2745" w:type="dxa"/>
            <w:shd w:val="clear" w:color="auto" w:fill="2B3957"/>
          </w:tcPr>
          <w:p w14:paraId="0000026D" w14:textId="77777777" w:rsidR="00471C28" w:rsidRPr="00C17F20" w:rsidRDefault="00CF15C9">
            <w:pPr>
              <w:spacing w:before="60" w:after="120"/>
              <w:ind w:right="61"/>
              <w:jc w:val="center"/>
              <w:rPr>
                <w:rFonts w:eastAsia="Century Gothic" w:cs="Century Gothic"/>
                <w:b/>
                <w:color w:val="FFFFFF"/>
                <w:szCs w:val="21"/>
              </w:rPr>
            </w:pPr>
            <w:r w:rsidRPr="00C17F20">
              <w:rPr>
                <w:rFonts w:eastAsia="Century Gothic" w:cs="Century Gothic"/>
                <w:b/>
                <w:color w:val="FFFFFF"/>
                <w:szCs w:val="21"/>
              </w:rPr>
              <w:t>Source</w:t>
            </w:r>
          </w:p>
        </w:tc>
      </w:tr>
      <w:tr w:rsidR="00471C28" w14:paraId="0C975F69" w14:textId="77777777">
        <w:trPr>
          <w:trHeight w:val="548"/>
        </w:trPr>
        <w:tc>
          <w:tcPr>
            <w:tcW w:w="2565" w:type="dxa"/>
            <w:shd w:val="clear" w:color="auto" w:fill="F2F2F2"/>
          </w:tcPr>
          <w:p w14:paraId="0000026E"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Stand volume (tons ABG C)</w:t>
            </w:r>
          </w:p>
        </w:tc>
        <w:tc>
          <w:tcPr>
            <w:tcW w:w="1020" w:type="dxa"/>
            <w:shd w:val="clear" w:color="auto" w:fill="F2F2F2"/>
          </w:tcPr>
          <w:p w14:paraId="0000026F"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C</w:t>
            </w:r>
            <w:r w:rsidRPr="00C17F20">
              <w:rPr>
                <w:rFonts w:eastAsia="Century Gothic" w:cs="Century Gothic"/>
                <w:szCs w:val="21"/>
                <w:vertAlign w:val="subscript"/>
              </w:rPr>
              <w:t>ABG</w:t>
            </w:r>
          </w:p>
        </w:tc>
        <w:tc>
          <w:tcPr>
            <w:tcW w:w="3225" w:type="dxa"/>
            <w:shd w:val="clear" w:color="auto" w:fill="F2F2F2"/>
          </w:tcPr>
          <w:p w14:paraId="00000270"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Non-timber value (</w:t>
            </w:r>
            <w:r w:rsidRPr="00C17F20">
              <w:rPr>
                <w:rFonts w:eastAsia="Century Gothic" w:cs="Century Gothic"/>
                <w:i/>
                <w:szCs w:val="21"/>
              </w:rPr>
              <w:t>V</w:t>
            </w:r>
            <w:r w:rsidRPr="00C17F20">
              <w:rPr>
                <w:rFonts w:eastAsia="Century Gothic" w:cs="Century Gothic"/>
                <w:i/>
                <w:szCs w:val="21"/>
                <w:vertAlign w:val="subscript"/>
              </w:rPr>
              <w:t>NT</w:t>
            </w:r>
            <w:r w:rsidRPr="00C17F20">
              <w:rPr>
                <w:rFonts w:eastAsia="Century Gothic" w:cs="Century Gothic"/>
                <w:szCs w:val="21"/>
              </w:rPr>
              <w:t>)</w:t>
            </w:r>
          </w:p>
        </w:tc>
        <w:tc>
          <w:tcPr>
            <w:tcW w:w="2745" w:type="dxa"/>
            <w:shd w:val="clear" w:color="auto" w:fill="F2F2F2"/>
          </w:tcPr>
          <w:p w14:paraId="00000271" w14:textId="77777777" w:rsidR="00471C28" w:rsidRPr="00C17F20" w:rsidRDefault="00CF15C9">
            <w:pPr>
              <w:spacing w:before="60" w:after="120"/>
              <w:rPr>
                <w:rFonts w:eastAsia="Century Gothic" w:cs="Century Gothic"/>
                <w:color w:val="404040"/>
                <w:szCs w:val="21"/>
              </w:rPr>
            </w:pPr>
            <w:proofErr w:type="spellStart"/>
            <w:r w:rsidRPr="00C17F20">
              <w:rPr>
                <w:rFonts w:eastAsia="Century Gothic" w:cs="Century Gothic"/>
                <w:szCs w:val="21"/>
              </w:rPr>
              <w:t>Prestemon</w:t>
            </w:r>
            <w:proofErr w:type="spellEnd"/>
            <w:r w:rsidRPr="00C17F20">
              <w:rPr>
                <w:rFonts w:eastAsia="Century Gothic" w:cs="Century Gothic"/>
                <w:szCs w:val="21"/>
              </w:rPr>
              <w:t xml:space="preserve"> &amp; Wear 2000</w:t>
            </w:r>
          </w:p>
          <w:p w14:paraId="00000272" w14:textId="77777777" w:rsidR="00471C28" w:rsidRPr="00C17F20" w:rsidRDefault="00471C28">
            <w:pPr>
              <w:spacing w:before="60" w:after="120"/>
              <w:rPr>
                <w:rFonts w:eastAsia="Century Gothic" w:cs="Century Gothic"/>
                <w:szCs w:val="21"/>
              </w:rPr>
            </w:pPr>
          </w:p>
        </w:tc>
      </w:tr>
      <w:tr w:rsidR="00471C28" w14:paraId="2634044E" w14:textId="77777777">
        <w:trPr>
          <w:trHeight w:val="620"/>
        </w:trPr>
        <w:tc>
          <w:tcPr>
            <w:tcW w:w="2565" w:type="dxa"/>
            <w:shd w:val="clear" w:color="auto" w:fill="F2F2F2"/>
          </w:tcPr>
          <w:p w14:paraId="00000273" w14:textId="2A87BF64"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Stand Value, T</w:t>
            </w:r>
            <w:r w:rsidRPr="00C17F20">
              <w:rPr>
                <w:rFonts w:eastAsia="Century Gothic" w:cs="Century Gothic"/>
                <w:szCs w:val="21"/>
                <w:vertAlign w:val="subscript"/>
              </w:rPr>
              <w:t>0</w:t>
            </w:r>
            <w:r w:rsidRPr="00C17F20">
              <w:rPr>
                <w:rFonts w:eastAsia="Century Gothic" w:cs="Century Gothic"/>
                <w:szCs w:val="21"/>
              </w:rPr>
              <w:t xml:space="preserve"> (</w:t>
            </w:r>
            <w:r w:rsidR="00356DC7" w:rsidRPr="00C17F20">
              <w:rPr>
                <w:rFonts w:eastAsia="Century Gothic" w:cs="Century Gothic"/>
                <w:szCs w:val="21"/>
              </w:rPr>
              <w:t xml:space="preserve">USD ($) </w:t>
            </w:r>
            <w:r w:rsidRPr="00C17F20">
              <w:rPr>
                <w:rFonts w:eastAsia="Century Gothic" w:cs="Century Gothic"/>
                <w:szCs w:val="21"/>
              </w:rPr>
              <w:t>/ac</w:t>
            </w:r>
            <w:r w:rsidR="00356DC7" w:rsidRPr="00C17F20">
              <w:rPr>
                <w:rFonts w:eastAsia="Century Gothic" w:cs="Century Gothic"/>
                <w:szCs w:val="21"/>
              </w:rPr>
              <w:t xml:space="preserve"> or ha</w:t>
            </w:r>
            <w:r w:rsidRPr="00C17F20">
              <w:rPr>
                <w:rFonts w:eastAsia="Century Gothic" w:cs="Century Gothic"/>
                <w:szCs w:val="21"/>
              </w:rPr>
              <w:t>)</w:t>
            </w:r>
          </w:p>
        </w:tc>
        <w:tc>
          <w:tcPr>
            <w:tcW w:w="1020" w:type="dxa"/>
            <w:shd w:val="clear" w:color="auto" w:fill="F2F2F2"/>
          </w:tcPr>
          <w:p w14:paraId="00000274" w14:textId="77777777" w:rsidR="00471C28" w:rsidRPr="00C17F20" w:rsidRDefault="00CF15C9">
            <w:pPr>
              <w:spacing w:before="60" w:after="120"/>
              <w:rPr>
                <w:rFonts w:eastAsia="Century Gothic" w:cs="Century Gothic"/>
                <w:color w:val="404040"/>
                <w:szCs w:val="21"/>
              </w:rPr>
            </w:pPr>
            <w:r w:rsidRPr="00C17F20">
              <w:rPr>
                <w:rFonts w:eastAsia="Century Gothic" w:cs="Century Gothic"/>
                <w:i/>
                <w:szCs w:val="21"/>
              </w:rPr>
              <w:t>V</w:t>
            </w:r>
            <w:r w:rsidRPr="00C17F20">
              <w:rPr>
                <w:rFonts w:eastAsia="Century Gothic" w:cs="Century Gothic"/>
                <w:i/>
                <w:szCs w:val="21"/>
                <w:vertAlign w:val="subscript"/>
              </w:rPr>
              <w:t>T0</w:t>
            </w:r>
          </w:p>
        </w:tc>
        <w:tc>
          <w:tcPr>
            <w:tcW w:w="3225" w:type="dxa"/>
            <w:shd w:val="clear" w:color="auto" w:fill="F2F2F2"/>
          </w:tcPr>
          <w:p w14:paraId="00000275"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Timber value (</w:t>
            </w:r>
            <w:r w:rsidRPr="00C17F20">
              <w:rPr>
                <w:rFonts w:eastAsia="Century Gothic" w:cs="Century Gothic"/>
                <w:i/>
                <w:szCs w:val="21"/>
              </w:rPr>
              <w:t>V</w:t>
            </w:r>
            <w:r w:rsidRPr="00C17F20">
              <w:rPr>
                <w:rFonts w:eastAsia="Century Gothic" w:cs="Century Gothic"/>
                <w:i/>
                <w:szCs w:val="21"/>
                <w:vertAlign w:val="subscript"/>
              </w:rPr>
              <w:t>T</w:t>
            </w:r>
            <w:r w:rsidRPr="00C17F20">
              <w:rPr>
                <w:rFonts w:eastAsia="Century Gothic" w:cs="Century Gothic"/>
                <w:szCs w:val="21"/>
              </w:rPr>
              <w:t>)</w:t>
            </w:r>
          </w:p>
        </w:tc>
        <w:tc>
          <w:tcPr>
            <w:tcW w:w="2745" w:type="dxa"/>
            <w:shd w:val="clear" w:color="auto" w:fill="F2F2F2"/>
          </w:tcPr>
          <w:p w14:paraId="00000276" w14:textId="77777777" w:rsidR="00471C28" w:rsidRPr="00C17F20" w:rsidRDefault="00CF15C9">
            <w:pPr>
              <w:spacing w:before="60" w:after="120"/>
              <w:rPr>
                <w:rFonts w:eastAsia="Century Gothic" w:cs="Century Gothic"/>
                <w:color w:val="404040"/>
                <w:szCs w:val="21"/>
              </w:rPr>
            </w:pPr>
            <w:proofErr w:type="spellStart"/>
            <w:r w:rsidRPr="00C17F20">
              <w:rPr>
                <w:rFonts w:eastAsia="Century Gothic" w:cs="Century Gothic"/>
                <w:szCs w:val="21"/>
              </w:rPr>
              <w:t>Prestemon</w:t>
            </w:r>
            <w:proofErr w:type="spellEnd"/>
            <w:r w:rsidRPr="00C17F20">
              <w:rPr>
                <w:rFonts w:eastAsia="Century Gothic" w:cs="Century Gothic"/>
                <w:szCs w:val="21"/>
              </w:rPr>
              <w:t xml:space="preserve"> &amp; Wear 2000</w:t>
            </w:r>
          </w:p>
          <w:p w14:paraId="00000277" w14:textId="77777777" w:rsidR="00471C28" w:rsidRPr="00C17F20" w:rsidRDefault="00471C28">
            <w:pPr>
              <w:spacing w:before="60" w:after="120"/>
              <w:rPr>
                <w:rFonts w:eastAsia="Century Gothic" w:cs="Century Gothic"/>
                <w:szCs w:val="21"/>
              </w:rPr>
            </w:pPr>
          </w:p>
        </w:tc>
      </w:tr>
      <w:tr w:rsidR="00471C28" w14:paraId="3495F0EA" w14:textId="77777777">
        <w:trPr>
          <w:trHeight w:val="530"/>
        </w:trPr>
        <w:tc>
          <w:tcPr>
            <w:tcW w:w="2565" w:type="dxa"/>
            <w:shd w:val="clear" w:color="auto" w:fill="F2F2F2"/>
          </w:tcPr>
          <w:p w14:paraId="00000278" w14:textId="34C63353"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Stand Value, T</w:t>
            </w:r>
            <w:r w:rsidRPr="00C17F20">
              <w:rPr>
                <w:rFonts w:eastAsia="Century Gothic" w:cs="Century Gothic"/>
                <w:szCs w:val="21"/>
                <w:vertAlign w:val="subscript"/>
              </w:rPr>
              <w:t>1</w:t>
            </w:r>
            <w:r w:rsidRPr="00C17F20">
              <w:rPr>
                <w:rFonts w:eastAsia="Century Gothic" w:cs="Century Gothic"/>
                <w:szCs w:val="21"/>
              </w:rPr>
              <w:t xml:space="preserve"> (</w:t>
            </w:r>
            <w:r w:rsidR="00356DC7" w:rsidRPr="00C17F20">
              <w:rPr>
                <w:rFonts w:eastAsia="Century Gothic" w:cs="Century Gothic"/>
                <w:szCs w:val="21"/>
              </w:rPr>
              <w:t xml:space="preserve">USD ($) </w:t>
            </w:r>
            <w:r w:rsidRPr="00C17F20">
              <w:rPr>
                <w:rFonts w:eastAsia="Century Gothic" w:cs="Century Gothic"/>
                <w:szCs w:val="21"/>
              </w:rPr>
              <w:t>/ac</w:t>
            </w:r>
            <w:r w:rsidR="00356DC7" w:rsidRPr="00C17F20">
              <w:rPr>
                <w:rFonts w:eastAsia="Century Gothic" w:cs="Century Gothic"/>
                <w:szCs w:val="21"/>
              </w:rPr>
              <w:t xml:space="preserve"> or ha</w:t>
            </w:r>
            <w:r w:rsidRPr="00C17F20">
              <w:rPr>
                <w:rFonts w:eastAsia="Century Gothic" w:cs="Century Gothic"/>
                <w:szCs w:val="21"/>
              </w:rPr>
              <w:t>)</w:t>
            </w:r>
          </w:p>
        </w:tc>
        <w:tc>
          <w:tcPr>
            <w:tcW w:w="1020" w:type="dxa"/>
            <w:shd w:val="clear" w:color="auto" w:fill="F2F2F2"/>
          </w:tcPr>
          <w:p w14:paraId="00000279" w14:textId="77777777" w:rsidR="00471C28" w:rsidRPr="00C17F20" w:rsidRDefault="00CF15C9">
            <w:pPr>
              <w:spacing w:before="60" w:after="120"/>
              <w:rPr>
                <w:rFonts w:eastAsia="Century Gothic" w:cs="Century Gothic"/>
                <w:color w:val="404040"/>
                <w:szCs w:val="21"/>
              </w:rPr>
            </w:pPr>
            <w:r w:rsidRPr="00C17F20">
              <w:rPr>
                <w:rFonts w:eastAsia="Century Gothic" w:cs="Century Gothic"/>
                <w:i/>
                <w:szCs w:val="21"/>
              </w:rPr>
              <w:t>V</w:t>
            </w:r>
            <w:r w:rsidRPr="00C17F20">
              <w:rPr>
                <w:rFonts w:eastAsia="Century Gothic" w:cs="Century Gothic"/>
                <w:i/>
                <w:szCs w:val="21"/>
                <w:vertAlign w:val="subscript"/>
              </w:rPr>
              <w:t>T1</w:t>
            </w:r>
          </w:p>
        </w:tc>
        <w:tc>
          <w:tcPr>
            <w:tcW w:w="3225" w:type="dxa"/>
            <w:shd w:val="clear" w:color="auto" w:fill="F2F2F2"/>
          </w:tcPr>
          <w:p w14:paraId="0000027A"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Timber value (</w:t>
            </w:r>
            <w:r w:rsidRPr="00C17F20">
              <w:rPr>
                <w:rFonts w:eastAsia="Century Gothic" w:cs="Century Gothic"/>
                <w:i/>
                <w:szCs w:val="21"/>
              </w:rPr>
              <w:t>V</w:t>
            </w:r>
            <w:r w:rsidRPr="00C17F20">
              <w:rPr>
                <w:rFonts w:eastAsia="Century Gothic" w:cs="Century Gothic"/>
                <w:i/>
                <w:szCs w:val="21"/>
                <w:vertAlign w:val="subscript"/>
              </w:rPr>
              <w:t>T</w:t>
            </w:r>
            <w:r w:rsidRPr="00C17F20">
              <w:rPr>
                <w:rFonts w:eastAsia="Century Gothic" w:cs="Century Gothic"/>
                <w:szCs w:val="21"/>
              </w:rPr>
              <w:t>)</w:t>
            </w:r>
          </w:p>
        </w:tc>
        <w:tc>
          <w:tcPr>
            <w:tcW w:w="2745" w:type="dxa"/>
            <w:shd w:val="clear" w:color="auto" w:fill="F2F2F2"/>
          </w:tcPr>
          <w:p w14:paraId="0000027B" w14:textId="77777777" w:rsidR="00471C28" w:rsidRPr="00C17F20" w:rsidRDefault="00CF15C9">
            <w:pPr>
              <w:spacing w:before="60" w:after="120"/>
              <w:rPr>
                <w:rFonts w:eastAsia="Century Gothic" w:cs="Century Gothic"/>
                <w:color w:val="404040"/>
                <w:szCs w:val="21"/>
              </w:rPr>
            </w:pPr>
            <w:proofErr w:type="spellStart"/>
            <w:r w:rsidRPr="00C17F20">
              <w:rPr>
                <w:rFonts w:eastAsia="Century Gothic" w:cs="Century Gothic"/>
                <w:szCs w:val="21"/>
              </w:rPr>
              <w:t>Prestemon</w:t>
            </w:r>
            <w:proofErr w:type="spellEnd"/>
            <w:r w:rsidRPr="00C17F20">
              <w:rPr>
                <w:rFonts w:eastAsia="Century Gothic" w:cs="Century Gothic"/>
                <w:szCs w:val="21"/>
              </w:rPr>
              <w:t xml:space="preserve"> &amp; Wear 2000</w:t>
            </w:r>
          </w:p>
          <w:p w14:paraId="0000027C" w14:textId="77777777" w:rsidR="00471C28" w:rsidRPr="00C17F20" w:rsidRDefault="00471C28">
            <w:pPr>
              <w:spacing w:before="60" w:after="120"/>
              <w:rPr>
                <w:rFonts w:eastAsia="Century Gothic" w:cs="Century Gothic"/>
                <w:szCs w:val="21"/>
              </w:rPr>
            </w:pPr>
          </w:p>
        </w:tc>
      </w:tr>
      <w:tr w:rsidR="00471C28" w14:paraId="77480CE8" w14:textId="77777777">
        <w:trPr>
          <w:trHeight w:val="530"/>
        </w:trPr>
        <w:tc>
          <w:tcPr>
            <w:tcW w:w="2565" w:type="dxa"/>
            <w:shd w:val="clear" w:color="auto" w:fill="F2F2F2"/>
          </w:tcPr>
          <w:p w14:paraId="0000027D"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Proximity to Mill</w:t>
            </w:r>
          </w:p>
        </w:tc>
        <w:tc>
          <w:tcPr>
            <w:tcW w:w="1020" w:type="dxa"/>
            <w:shd w:val="clear" w:color="auto" w:fill="F2F2F2"/>
          </w:tcPr>
          <w:p w14:paraId="0000027E" w14:textId="77777777" w:rsidR="00471C28" w:rsidRPr="00C17F20" w:rsidRDefault="00CF15C9">
            <w:pPr>
              <w:spacing w:before="60" w:after="120"/>
              <w:rPr>
                <w:rFonts w:eastAsia="Century Gothic" w:cs="Century Gothic"/>
                <w:color w:val="404040"/>
                <w:szCs w:val="21"/>
              </w:rPr>
            </w:pPr>
            <w:r w:rsidRPr="00C17F20">
              <w:rPr>
                <w:rFonts w:eastAsia="Century Gothic" w:cs="Century Gothic"/>
                <w:i/>
                <w:szCs w:val="21"/>
              </w:rPr>
              <w:t>D</w:t>
            </w:r>
            <w:r w:rsidRPr="00C17F20">
              <w:rPr>
                <w:rFonts w:eastAsia="Century Gothic" w:cs="Century Gothic"/>
                <w:i/>
                <w:szCs w:val="21"/>
                <w:vertAlign w:val="subscript"/>
              </w:rPr>
              <w:t>M</w:t>
            </w:r>
          </w:p>
        </w:tc>
        <w:tc>
          <w:tcPr>
            <w:tcW w:w="3225" w:type="dxa"/>
            <w:shd w:val="clear" w:color="auto" w:fill="F2F2F2"/>
          </w:tcPr>
          <w:p w14:paraId="0000027F"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Proximity to Mill</w:t>
            </w:r>
          </w:p>
        </w:tc>
        <w:tc>
          <w:tcPr>
            <w:tcW w:w="2745" w:type="dxa"/>
            <w:shd w:val="clear" w:color="auto" w:fill="F2F2F2"/>
          </w:tcPr>
          <w:p w14:paraId="00000280"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 xml:space="preserve">Pokharel &amp; </w:t>
            </w:r>
            <w:proofErr w:type="spellStart"/>
            <w:r w:rsidRPr="00C17F20">
              <w:rPr>
                <w:rFonts w:eastAsia="Century Gothic" w:cs="Century Gothic"/>
                <w:szCs w:val="21"/>
              </w:rPr>
              <w:t>Latta</w:t>
            </w:r>
            <w:proofErr w:type="spellEnd"/>
            <w:r w:rsidRPr="00C17F20">
              <w:rPr>
                <w:rFonts w:eastAsia="Century Gothic" w:cs="Century Gothic"/>
                <w:szCs w:val="21"/>
              </w:rPr>
              <w:t xml:space="preserve"> 2020</w:t>
            </w:r>
          </w:p>
        </w:tc>
      </w:tr>
      <w:tr w:rsidR="00471C28" w14:paraId="22242090" w14:textId="77777777">
        <w:trPr>
          <w:trHeight w:val="530"/>
        </w:trPr>
        <w:tc>
          <w:tcPr>
            <w:tcW w:w="2565" w:type="dxa"/>
            <w:shd w:val="clear" w:color="auto" w:fill="F2F2F2"/>
          </w:tcPr>
          <w:p w14:paraId="00000281"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Slope (percent)</w:t>
            </w:r>
          </w:p>
        </w:tc>
        <w:tc>
          <w:tcPr>
            <w:tcW w:w="1020" w:type="dxa"/>
            <w:shd w:val="clear" w:color="auto" w:fill="F2F2F2"/>
          </w:tcPr>
          <w:p w14:paraId="00000282" w14:textId="77777777" w:rsidR="00471C28" w:rsidRPr="00C17F20" w:rsidRDefault="00CF15C9">
            <w:pPr>
              <w:spacing w:before="60" w:after="120"/>
              <w:rPr>
                <w:rFonts w:eastAsia="Century Gothic" w:cs="Century Gothic"/>
                <w:color w:val="404040"/>
                <w:szCs w:val="21"/>
              </w:rPr>
            </w:pPr>
            <w:r w:rsidRPr="00C17F20">
              <w:rPr>
                <w:rFonts w:eastAsia="Century Gothic" w:cs="Century Gothic"/>
                <w:i/>
                <w:szCs w:val="21"/>
              </w:rPr>
              <w:t>S</w:t>
            </w:r>
          </w:p>
        </w:tc>
        <w:tc>
          <w:tcPr>
            <w:tcW w:w="3225" w:type="dxa"/>
            <w:shd w:val="clear" w:color="auto" w:fill="F2F2F2"/>
          </w:tcPr>
          <w:p w14:paraId="00000283"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Harvest cost (</w:t>
            </w:r>
            <w:r w:rsidRPr="00C17F20">
              <w:rPr>
                <w:rFonts w:eastAsia="Century Gothic" w:cs="Century Gothic"/>
                <w:i/>
                <w:szCs w:val="21"/>
              </w:rPr>
              <w:t>C</w:t>
            </w:r>
            <w:r w:rsidRPr="00C17F20">
              <w:rPr>
                <w:rFonts w:eastAsia="Century Gothic" w:cs="Century Gothic"/>
                <w:i/>
                <w:szCs w:val="21"/>
                <w:vertAlign w:val="subscript"/>
              </w:rPr>
              <w:t>H</w:t>
            </w:r>
            <w:r w:rsidRPr="00C17F20">
              <w:rPr>
                <w:rFonts w:eastAsia="Century Gothic" w:cs="Century Gothic"/>
                <w:szCs w:val="21"/>
              </w:rPr>
              <w:t>)</w:t>
            </w:r>
          </w:p>
        </w:tc>
        <w:tc>
          <w:tcPr>
            <w:tcW w:w="2745" w:type="dxa"/>
            <w:shd w:val="clear" w:color="auto" w:fill="F2F2F2"/>
          </w:tcPr>
          <w:p w14:paraId="00000284" w14:textId="77777777" w:rsidR="00471C28" w:rsidRPr="00C17F20" w:rsidRDefault="00471C28">
            <w:pPr>
              <w:spacing w:before="60" w:after="120"/>
              <w:rPr>
                <w:rFonts w:eastAsia="Century Gothic" w:cs="Century Gothic"/>
                <w:szCs w:val="21"/>
              </w:rPr>
            </w:pPr>
          </w:p>
        </w:tc>
      </w:tr>
      <w:tr w:rsidR="00471C28" w14:paraId="5F01E696" w14:textId="77777777">
        <w:trPr>
          <w:trHeight w:val="530"/>
        </w:trPr>
        <w:tc>
          <w:tcPr>
            <w:tcW w:w="2565" w:type="dxa"/>
            <w:shd w:val="clear" w:color="auto" w:fill="F2F2F2"/>
          </w:tcPr>
          <w:p w14:paraId="00000285"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Distance to Road</w:t>
            </w:r>
          </w:p>
        </w:tc>
        <w:tc>
          <w:tcPr>
            <w:tcW w:w="1020" w:type="dxa"/>
            <w:shd w:val="clear" w:color="auto" w:fill="F2F2F2"/>
          </w:tcPr>
          <w:p w14:paraId="00000286" w14:textId="77777777" w:rsidR="00471C28" w:rsidRPr="00C17F20" w:rsidRDefault="00CF15C9">
            <w:pPr>
              <w:spacing w:before="60" w:after="120"/>
              <w:rPr>
                <w:rFonts w:eastAsia="Century Gothic" w:cs="Century Gothic"/>
                <w:color w:val="404040"/>
                <w:szCs w:val="21"/>
              </w:rPr>
            </w:pPr>
            <w:r w:rsidRPr="00C17F20">
              <w:rPr>
                <w:rFonts w:eastAsia="Century Gothic" w:cs="Century Gothic"/>
                <w:i/>
                <w:szCs w:val="21"/>
              </w:rPr>
              <w:t>D</w:t>
            </w:r>
            <w:r w:rsidRPr="00C17F20">
              <w:rPr>
                <w:rFonts w:eastAsia="Century Gothic" w:cs="Century Gothic"/>
                <w:i/>
                <w:szCs w:val="21"/>
                <w:vertAlign w:val="subscript"/>
              </w:rPr>
              <w:t>R</w:t>
            </w:r>
          </w:p>
        </w:tc>
        <w:tc>
          <w:tcPr>
            <w:tcW w:w="3225" w:type="dxa"/>
            <w:shd w:val="clear" w:color="auto" w:fill="F2F2F2"/>
          </w:tcPr>
          <w:p w14:paraId="00000287"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Harvest cost (</w:t>
            </w:r>
            <w:r w:rsidRPr="00C17F20">
              <w:rPr>
                <w:rFonts w:eastAsia="Century Gothic" w:cs="Century Gothic"/>
                <w:i/>
                <w:szCs w:val="21"/>
              </w:rPr>
              <w:t>C</w:t>
            </w:r>
            <w:r w:rsidRPr="00C17F20">
              <w:rPr>
                <w:rFonts w:eastAsia="Century Gothic" w:cs="Century Gothic"/>
                <w:i/>
                <w:szCs w:val="21"/>
                <w:vertAlign w:val="subscript"/>
              </w:rPr>
              <w:t>H</w:t>
            </w:r>
            <w:r w:rsidRPr="00C17F20">
              <w:rPr>
                <w:rFonts w:eastAsia="Century Gothic" w:cs="Century Gothic"/>
                <w:szCs w:val="21"/>
              </w:rPr>
              <w:t>)</w:t>
            </w:r>
          </w:p>
        </w:tc>
        <w:tc>
          <w:tcPr>
            <w:tcW w:w="2745" w:type="dxa"/>
            <w:shd w:val="clear" w:color="auto" w:fill="F2F2F2"/>
          </w:tcPr>
          <w:p w14:paraId="00000288" w14:textId="77777777" w:rsidR="00471C28" w:rsidRPr="00C17F20" w:rsidRDefault="00CF15C9">
            <w:pPr>
              <w:spacing w:before="60" w:after="120"/>
              <w:rPr>
                <w:rFonts w:eastAsia="Century Gothic" w:cs="Century Gothic"/>
                <w:color w:val="404040"/>
                <w:szCs w:val="21"/>
              </w:rPr>
            </w:pPr>
            <w:proofErr w:type="spellStart"/>
            <w:r w:rsidRPr="00C17F20">
              <w:rPr>
                <w:rFonts w:eastAsia="Century Gothic" w:cs="Century Gothic"/>
                <w:szCs w:val="21"/>
              </w:rPr>
              <w:t>Prestemon</w:t>
            </w:r>
            <w:proofErr w:type="spellEnd"/>
            <w:r w:rsidRPr="00C17F20">
              <w:rPr>
                <w:rFonts w:eastAsia="Century Gothic" w:cs="Century Gothic"/>
                <w:szCs w:val="21"/>
              </w:rPr>
              <w:t xml:space="preserve"> &amp; Wear 2000</w:t>
            </w:r>
            <w:r w:rsidRPr="00C17F20">
              <w:rPr>
                <w:rFonts w:eastAsia="Century Gothic" w:cs="Century Gothic"/>
                <w:color w:val="404040"/>
                <w:szCs w:val="21"/>
              </w:rPr>
              <w:t>;</w:t>
            </w:r>
            <w:r w:rsidRPr="00C17F20">
              <w:rPr>
                <w:rFonts w:eastAsia="Century Gothic" w:cs="Century Gothic"/>
                <w:szCs w:val="21"/>
              </w:rPr>
              <w:t xml:space="preserve"> Pokharel &amp; </w:t>
            </w:r>
            <w:proofErr w:type="spellStart"/>
            <w:r w:rsidRPr="00C17F20">
              <w:rPr>
                <w:rFonts w:eastAsia="Century Gothic" w:cs="Century Gothic"/>
                <w:szCs w:val="21"/>
              </w:rPr>
              <w:t>Latta</w:t>
            </w:r>
            <w:proofErr w:type="spellEnd"/>
            <w:r w:rsidRPr="00C17F20">
              <w:rPr>
                <w:rFonts w:eastAsia="Century Gothic" w:cs="Century Gothic"/>
                <w:szCs w:val="21"/>
              </w:rPr>
              <w:t xml:space="preserve"> 2020</w:t>
            </w:r>
          </w:p>
        </w:tc>
      </w:tr>
      <w:tr w:rsidR="00471C28" w14:paraId="66F8041F" w14:textId="77777777">
        <w:trPr>
          <w:trHeight w:val="530"/>
        </w:trPr>
        <w:tc>
          <w:tcPr>
            <w:tcW w:w="2565" w:type="dxa"/>
            <w:shd w:val="clear" w:color="auto" w:fill="F2F2F2"/>
          </w:tcPr>
          <w:p w14:paraId="00000289"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Legally Prohibited</w:t>
            </w:r>
          </w:p>
        </w:tc>
        <w:tc>
          <w:tcPr>
            <w:tcW w:w="1020" w:type="dxa"/>
            <w:shd w:val="clear" w:color="auto" w:fill="F2F2F2"/>
          </w:tcPr>
          <w:p w14:paraId="0000028A" w14:textId="77777777" w:rsidR="00471C28" w:rsidRPr="00C17F20" w:rsidRDefault="00CF15C9">
            <w:pPr>
              <w:spacing w:before="60" w:after="120"/>
              <w:rPr>
                <w:rFonts w:eastAsia="Century Gothic" w:cs="Century Gothic"/>
                <w:i/>
                <w:szCs w:val="21"/>
                <w:vertAlign w:val="subscript"/>
              </w:rPr>
            </w:pPr>
            <w:r w:rsidRPr="00C17F20">
              <w:rPr>
                <w:rFonts w:eastAsia="Century Gothic" w:cs="Century Gothic"/>
                <w:i/>
                <w:szCs w:val="21"/>
              </w:rPr>
              <w:t>A</w:t>
            </w:r>
            <w:r w:rsidRPr="00C17F20">
              <w:rPr>
                <w:rFonts w:eastAsia="Century Gothic" w:cs="Century Gothic"/>
                <w:i/>
                <w:szCs w:val="21"/>
                <w:vertAlign w:val="subscript"/>
              </w:rPr>
              <w:t>X</w:t>
            </w:r>
          </w:p>
        </w:tc>
        <w:tc>
          <w:tcPr>
            <w:tcW w:w="3225" w:type="dxa"/>
            <w:shd w:val="clear" w:color="auto" w:fill="F2F2F2"/>
          </w:tcPr>
          <w:p w14:paraId="0000028B"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Group (</w:t>
            </w:r>
            <w:r w:rsidRPr="00C17F20">
              <w:rPr>
                <w:rFonts w:eastAsia="Century Gothic" w:cs="Century Gothic"/>
                <w:i/>
                <w:szCs w:val="21"/>
              </w:rPr>
              <w:t>G</w:t>
            </w:r>
            <w:r w:rsidRPr="00C17F20">
              <w:rPr>
                <w:rFonts w:eastAsia="Century Gothic" w:cs="Century Gothic"/>
                <w:szCs w:val="21"/>
              </w:rPr>
              <w:t>)</w:t>
            </w:r>
          </w:p>
        </w:tc>
        <w:tc>
          <w:tcPr>
            <w:tcW w:w="2745" w:type="dxa"/>
            <w:shd w:val="clear" w:color="auto" w:fill="F2F2F2"/>
          </w:tcPr>
          <w:p w14:paraId="0000028C" w14:textId="77777777" w:rsidR="00471C28" w:rsidRPr="00C17F20" w:rsidRDefault="00471C28">
            <w:pPr>
              <w:spacing w:before="60" w:after="120"/>
              <w:rPr>
                <w:rFonts w:eastAsia="Century Gothic" w:cs="Century Gothic"/>
                <w:szCs w:val="21"/>
              </w:rPr>
            </w:pPr>
          </w:p>
        </w:tc>
      </w:tr>
      <w:tr w:rsidR="00471C28" w14:paraId="53C30E39" w14:textId="77777777">
        <w:trPr>
          <w:trHeight w:val="530"/>
        </w:trPr>
        <w:tc>
          <w:tcPr>
            <w:tcW w:w="2565" w:type="dxa"/>
            <w:shd w:val="clear" w:color="auto" w:fill="F2F2F2"/>
          </w:tcPr>
          <w:p w14:paraId="0000028D" w14:textId="4E3A4133" w:rsidR="00471C28" w:rsidRPr="00C17F20" w:rsidRDefault="00CF15C9">
            <w:pPr>
              <w:spacing w:before="60" w:after="120"/>
              <w:rPr>
                <w:rFonts w:eastAsia="Century Gothic" w:cs="Century Gothic"/>
                <w:szCs w:val="21"/>
              </w:rPr>
            </w:pPr>
            <w:r w:rsidRPr="00C17F20">
              <w:rPr>
                <w:rFonts w:eastAsia="Century Gothic" w:cs="Century Gothic"/>
                <w:szCs w:val="21"/>
              </w:rPr>
              <w:lastRenderedPageBreak/>
              <w:t xml:space="preserve">State-level </w:t>
            </w:r>
            <w:proofErr w:type="gramStart"/>
            <w:r w:rsidRPr="00C17F20">
              <w:rPr>
                <w:rFonts w:eastAsia="Century Gothic" w:cs="Century Gothic"/>
                <w:szCs w:val="21"/>
              </w:rPr>
              <w:t>proportion  of</w:t>
            </w:r>
            <w:proofErr w:type="gramEnd"/>
            <w:r w:rsidRPr="00C17F20">
              <w:rPr>
                <w:rFonts w:eastAsia="Century Gothic" w:cs="Century Gothic"/>
                <w:szCs w:val="21"/>
              </w:rPr>
              <w:t xml:space="preserve"> forestland owned by people who have harvested, from </w:t>
            </w:r>
            <w:r w:rsidR="00F32900" w:rsidRPr="00C17F20">
              <w:rPr>
                <w:rFonts w:eastAsia="Century Gothic" w:cs="Century Gothic"/>
                <w:szCs w:val="21"/>
              </w:rPr>
              <w:t>US National Woodland Owner Survey (</w:t>
            </w:r>
            <w:r w:rsidRPr="00C17F20">
              <w:rPr>
                <w:rFonts w:eastAsia="Century Gothic" w:cs="Century Gothic"/>
                <w:szCs w:val="21"/>
              </w:rPr>
              <w:t>NWOS</w:t>
            </w:r>
            <w:r w:rsidR="00F32900" w:rsidRPr="00C17F20">
              <w:rPr>
                <w:rFonts w:eastAsia="Century Gothic" w:cs="Century Gothic"/>
                <w:szCs w:val="21"/>
              </w:rPr>
              <w:t>)</w:t>
            </w:r>
          </w:p>
          <w:p w14:paraId="0000028E" w14:textId="77777777" w:rsidR="00471C28" w:rsidRPr="00C17F20" w:rsidRDefault="00471C28">
            <w:pPr>
              <w:spacing w:before="60" w:after="120"/>
              <w:rPr>
                <w:rFonts w:eastAsia="Century Gothic" w:cs="Century Gothic"/>
                <w:szCs w:val="21"/>
              </w:rPr>
            </w:pPr>
          </w:p>
        </w:tc>
        <w:tc>
          <w:tcPr>
            <w:tcW w:w="1020" w:type="dxa"/>
            <w:shd w:val="clear" w:color="auto" w:fill="F2F2F2"/>
          </w:tcPr>
          <w:p w14:paraId="0000028F" w14:textId="77777777" w:rsidR="00471C28" w:rsidRPr="00C17F20" w:rsidRDefault="00CF15C9">
            <w:pPr>
              <w:spacing w:before="60" w:after="120"/>
              <w:rPr>
                <w:rFonts w:eastAsia="Century Gothic" w:cs="Century Gothic"/>
                <w:i/>
                <w:szCs w:val="21"/>
              </w:rPr>
            </w:pPr>
            <w:r w:rsidRPr="00C17F20">
              <w:rPr>
                <w:rFonts w:eastAsia="Century Gothic" w:cs="Century Gothic"/>
                <w:i/>
                <w:szCs w:val="21"/>
              </w:rPr>
              <w:t>NWOS</w:t>
            </w:r>
          </w:p>
        </w:tc>
        <w:tc>
          <w:tcPr>
            <w:tcW w:w="3225" w:type="dxa"/>
            <w:shd w:val="clear" w:color="auto" w:fill="F2F2F2"/>
          </w:tcPr>
          <w:p w14:paraId="00000290"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Group (</w:t>
            </w:r>
            <w:r w:rsidRPr="00C17F20">
              <w:rPr>
                <w:rFonts w:eastAsia="Century Gothic" w:cs="Century Gothic"/>
                <w:i/>
                <w:szCs w:val="21"/>
              </w:rPr>
              <w:t>G</w:t>
            </w:r>
            <w:r w:rsidRPr="00C17F20">
              <w:rPr>
                <w:rFonts w:eastAsia="Century Gothic" w:cs="Century Gothic"/>
                <w:szCs w:val="21"/>
              </w:rPr>
              <w:t>) [only applied to family forest owners]</w:t>
            </w:r>
          </w:p>
        </w:tc>
        <w:tc>
          <w:tcPr>
            <w:tcW w:w="2745" w:type="dxa"/>
            <w:shd w:val="clear" w:color="auto" w:fill="F2F2F2"/>
          </w:tcPr>
          <w:p w14:paraId="00000291"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Butler et al. 2020</w:t>
            </w:r>
          </w:p>
        </w:tc>
      </w:tr>
      <w:tr w:rsidR="00471C28" w14:paraId="7D058F4C" w14:textId="77777777">
        <w:trPr>
          <w:trHeight w:val="530"/>
        </w:trPr>
        <w:tc>
          <w:tcPr>
            <w:tcW w:w="2565" w:type="dxa"/>
            <w:shd w:val="clear" w:color="auto" w:fill="F2F2F2"/>
          </w:tcPr>
          <w:p w14:paraId="00000292"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Landowner Type</w:t>
            </w:r>
          </w:p>
        </w:tc>
        <w:tc>
          <w:tcPr>
            <w:tcW w:w="1020" w:type="dxa"/>
            <w:shd w:val="clear" w:color="auto" w:fill="F2F2F2"/>
          </w:tcPr>
          <w:p w14:paraId="00000293" w14:textId="77777777" w:rsidR="00471C28" w:rsidRPr="00C17F20" w:rsidRDefault="00CF15C9">
            <w:pPr>
              <w:spacing w:before="60" w:after="120"/>
              <w:rPr>
                <w:rFonts w:eastAsia="Century Gothic" w:cs="Century Gothic"/>
                <w:color w:val="404040"/>
                <w:szCs w:val="21"/>
              </w:rPr>
            </w:pPr>
            <w:r w:rsidRPr="00C17F20">
              <w:rPr>
                <w:rFonts w:eastAsia="Century Gothic" w:cs="Century Gothic"/>
                <w:i/>
                <w:szCs w:val="21"/>
              </w:rPr>
              <w:t>O</w:t>
            </w:r>
          </w:p>
        </w:tc>
        <w:tc>
          <w:tcPr>
            <w:tcW w:w="3225" w:type="dxa"/>
            <w:shd w:val="clear" w:color="auto" w:fill="F2F2F2"/>
          </w:tcPr>
          <w:p w14:paraId="00000294"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Group (</w:t>
            </w:r>
            <w:r w:rsidRPr="00C17F20">
              <w:rPr>
                <w:rFonts w:eastAsia="Century Gothic" w:cs="Century Gothic"/>
                <w:i/>
                <w:szCs w:val="21"/>
              </w:rPr>
              <w:t>G</w:t>
            </w:r>
            <w:r w:rsidRPr="00C17F20">
              <w:rPr>
                <w:rFonts w:eastAsia="Century Gothic" w:cs="Century Gothic"/>
                <w:szCs w:val="21"/>
              </w:rPr>
              <w:t>)</w:t>
            </w:r>
          </w:p>
        </w:tc>
        <w:tc>
          <w:tcPr>
            <w:tcW w:w="2745" w:type="dxa"/>
            <w:shd w:val="clear" w:color="auto" w:fill="F2F2F2"/>
          </w:tcPr>
          <w:p w14:paraId="00000295" w14:textId="77777777" w:rsidR="00471C28" w:rsidRPr="00C17F20" w:rsidRDefault="00CF15C9">
            <w:pPr>
              <w:spacing w:before="60" w:after="120"/>
              <w:rPr>
                <w:rFonts w:eastAsia="Century Gothic" w:cs="Century Gothic"/>
                <w:color w:val="404040"/>
                <w:szCs w:val="21"/>
              </w:rPr>
            </w:pPr>
            <w:r w:rsidRPr="00C17F20">
              <w:rPr>
                <w:rFonts w:eastAsia="Century Gothic" w:cs="Century Gothic"/>
                <w:szCs w:val="21"/>
              </w:rPr>
              <w:t>Sass et al. 2020</w:t>
            </w:r>
          </w:p>
        </w:tc>
      </w:tr>
      <w:tr w:rsidR="00471C28" w14:paraId="59575AB5" w14:textId="77777777">
        <w:trPr>
          <w:trHeight w:val="530"/>
        </w:trPr>
        <w:tc>
          <w:tcPr>
            <w:tcW w:w="2565" w:type="dxa"/>
            <w:shd w:val="clear" w:color="auto" w:fill="F2F2F2"/>
          </w:tcPr>
          <w:p w14:paraId="00000296"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Forest Type</w:t>
            </w:r>
          </w:p>
        </w:tc>
        <w:tc>
          <w:tcPr>
            <w:tcW w:w="1020" w:type="dxa"/>
            <w:shd w:val="clear" w:color="auto" w:fill="F2F2F2"/>
          </w:tcPr>
          <w:p w14:paraId="00000297" w14:textId="77777777" w:rsidR="00471C28" w:rsidRPr="00C17F20" w:rsidRDefault="00CF15C9">
            <w:pPr>
              <w:spacing w:before="60" w:after="120"/>
              <w:rPr>
                <w:rFonts w:eastAsia="Century Gothic" w:cs="Century Gothic"/>
                <w:i/>
                <w:szCs w:val="21"/>
              </w:rPr>
            </w:pPr>
            <w:r w:rsidRPr="00C17F20">
              <w:rPr>
                <w:rFonts w:eastAsia="Century Gothic" w:cs="Century Gothic"/>
                <w:i/>
                <w:szCs w:val="21"/>
              </w:rPr>
              <w:t>F</w:t>
            </w:r>
          </w:p>
        </w:tc>
        <w:tc>
          <w:tcPr>
            <w:tcW w:w="3225" w:type="dxa"/>
            <w:shd w:val="clear" w:color="auto" w:fill="F2F2F2"/>
          </w:tcPr>
          <w:p w14:paraId="00000298"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Group (</w:t>
            </w:r>
            <w:r w:rsidRPr="00C17F20">
              <w:rPr>
                <w:rFonts w:eastAsia="Century Gothic" w:cs="Century Gothic"/>
                <w:i/>
                <w:szCs w:val="21"/>
              </w:rPr>
              <w:t>G</w:t>
            </w:r>
            <w:r w:rsidRPr="00C17F20">
              <w:rPr>
                <w:rFonts w:eastAsia="Century Gothic" w:cs="Century Gothic"/>
                <w:szCs w:val="21"/>
              </w:rPr>
              <w:t>)</w:t>
            </w:r>
          </w:p>
        </w:tc>
        <w:tc>
          <w:tcPr>
            <w:tcW w:w="2745" w:type="dxa"/>
            <w:shd w:val="clear" w:color="auto" w:fill="F2F2F2"/>
          </w:tcPr>
          <w:p w14:paraId="00000299"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FIADB FLDTYPCD</w:t>
            </w:r>
          </w:p>
        </w:tc>
      </w:tr>
      <w:tr w:rsidR="00471C28" w14:paraId="073FB497" w14:textId="77777777">
        <w:trPr>
          <w:trHeight w:val="530"/>
        </w:trPr>
        <w:tc>
          <w:tcPr>
            <w:tcW w:w="2565" w:type="dxa"/>
            <w:shd w:val="clear" w:color="auto" w:fill="F2F2F2"/>
          </w:tcPr>
          <w:p w14:paraId="0000029A"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Forest Class (hardwood/softwood)</w:t>
            </w:r>
          </w:p>
        </w:tc>
        <w:tc>
          <w:tcPr>
            <w:tcW w:w="1020" w:type="dxa"/>
            <w:shd w:val="clear" w:color="auto" w:fill="F2F2F2"/>
          </w:tcPr>
          <w:p w14:paraId="0000029B" w14:textId="77777777" w:rsidR="00471C28" w:rsidRPr="00C17F20" w:rsidRDefault="00CF15C9">
            <w:pPr>
              <w:spacing w:before="60" w:after="120"/>
              <w:rPr>
                <w:rFonts w:eastAsia="Century Gothic" w:cs="Century Gothic"/>
                <w:i/>
                <w:szCs w:val="21"/>
              </w:rPr>
            </w:pPr>
            <w:r w:rsidRPr="00C17F20">
              <w:rPr>
                <w:rFonts w:eastAsia="Century Gothic" w:cs="Century Gothic"/>
                <w:i/>
                <w:szCs w:val="21"/>
              </w:rPr>
              <w:t>F</w:t>
            </w:r>
            <w:r w:rsidRPr="00C17F20">
              <w:rPr>
                <w:rFonts w:eastAsia="Century Gothic" w:cs="Century Gothic"/>
                <w:i/>
                <w:szCs w:val="21"/>
                <w:vertAlign w:val="subscript"/>
              </w:rPr>
              <w:t>C</w:t>
            </w:r>
          </w:p>
        </w:tc>
        <w:tc>
          <w:tcPr>
            <w:tcW w:w="3225" w:type="dxa"/>
            <w:shd w:val="clear" w:color="auto" w:fill="F2F2F2"/>
          </w:tcPr>
          <w:p w14:paraId="0000029C"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Group (</w:t>
            </w:r>
            <w:r w:rsidRPr="00C17F20">
              <w:rPr>
                <w:rFonts w:eastAsia="Century Gothic" w:cs="Century Gothic"/>
                <w:i/>
                <w:szCs w:val="21"/>
              </w:rPr>
              <w:t>G</w:t>
            </w:r>
            <w:r w:rsidRPr="00C17F20">
              <w:rPr>
                <w:rFonts w:eastAsia="Century Gothic" w:cs="Century Gothic"/>
                <w:szCs w:val="21"/>
              </w:rPr>
              <w:t>)</w:t>
            </w:r>
          </w:p>
        </w:tc>
        <w:tc>
          <w:tcPr>
            <w:tcW w:w="2745" w:type="dxa"/>
            <w:shd w:val="clear" w:color="auto" w:fill="F2F2F2"/>
          </w:tcPr>
          <w:p w14:paraId="0000029D" w14:textId="77777777" w:rsidR="00471C28" w:rsidRPr="00C17F20" w:rsidRDefault="00CF15C9">
            <w:pPr>
              <w:spacing w:before="60" w:after="120"/>
              <w:rPr>
                <w:rFonts w:eastAsia="Century Gothic" w:cs="Century Gothic"/>
                <w:szCs w:val="21"/>
              </w:rPr>
            </w:pPr>
            <w:r w:rsidRPr="00C17F20">
              <w:rPr>
                <w:rFonts w:eastAsia="Century Gothic" w:cs="Century Gothic"/>
                <w:szCs w:val="21"/>
              </w:rPr>
              <w:t>FIADB</w:t>
            </w:r>
          </w:p>
        </w:tc>
      </w:tr>
    </w:tbl>
    <w:p w14:paraId="0000029E" w14:textId="77777777" w:rsidR="00471C28" w:rsidRDefault="00CF15C9" w:rsidP="00C17F20">
      <w:pPr>
        <w:pStyle w:val="Heading2"/>
      </w:pPr>
      <w:bookmarkStart w:id="55" w:name="_Toc98322300"/>
      <w:r>
        <w:t>Model Inputs</w:t>
      </w:r>
      <w:bookmarkEnd w:id="55"/>
    </w:p>
    <w:p w14:paraId="0000029F" w14:textId="77777777" w:rsidR="00471C28" w:rsidRDefault="00CF15C9">
      <w:pPr>
        <w:numPr>
          <w:ilvl w:val="1"/>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Harvest Training Data</w:t>
      </w:r>
    </w:p>
    <w:p w14:paraId="000002A0"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The common practice harvest model was trained using FIA data, compiled following Appendix C.</w:t>
      </w:r>
    </w:p>
    <w:p w14:paraId="000002A1"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The common practice harvest model is a unified model of (1) probability of harvest; and (2) harvest intensity. Harvested plot conditions were defined as plot conditions where at least one tree has been designated as ‘harvested’ on remeasurement by the FIA sampling crew (change of STATUSCD 1 to 3; Thompson et al. 2017).  Harvest intensity was estimated as annualized change in stand value (as calculated above) and total carbon (metric tons) as estimated using the component ratio method (Woodall et al. 2011). </w:t>
      </w:r>
    </w:p>
    <w:p w14:paraId="000002A2" w14:textId="5ABA165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FIA data were processed into both plot-condition level estimates of harvest occurrence and intensity, as well as population level baselines using the </w:t>
      </w:r>
      <w:proofErr w:type="spellStart"/>
      <w:r w:rsidRPr="00C17F20">
        <w:rPr>
          <w:rFonts w:eastAsia="Century Gothic" w:cs="Century Gothic"/>
        </w:rPr>
        <w:t>rFIA</w:t>
      </w:r>
      <w:proofErr w:type="spellEnd"/>
      <w:r w:rsidRPr="00C17F20">
        <w:rPr>
          <w:rFonts w:eastAsia="Century Gothic" w:cs="Century Gothic"/>
        </w:rPr>
        <w:t xml:space="preserve"> package (</w:t>
      </w:r>
      <w:proofErr w:type="spellStart"/>
      <w:r w:rsidRPr="00C17F20">
        <w:rPr>
          <w:rFonts w:eastAsia="Century Gothic" w:cs="Century Gothic"/>
        </w:rPr>
        <w:t>Stanke</w:t>
      </w:r>
      <w:proofErr w:type="spellEnd"/>
      <w:r w:rsidRPr="00C17F20">
        <w:rPr>
          <w:rFonts w:eastAsia="Century Gothic" w:cs="Century Gothic"/>
        </w:rPr>
        <w:t xml:space="preserve"> et al. 2020). </w:t>
      </w:r>
      <w:r w:rsidR="00627253" w:rsidRPr="00C17F20">
        <w:rPr>
          <w:rFonts w:eastAsia="Century Gothic" w:cs="Century Gothic"/>
        </w:rPr>
        <w:t>These summaries reflect the statistically robust method of working with FIA data; comparably robust but different approaches would be warranted with National Forest Inventory or other datasets for use in other geographies.</w:t>
      </w:r>
    </w:p>
    <w:p w14:paraId="000002A3" w14:textId="77777777" w:rsidR="00471C28" w:rsidRDefault="00CF15C9">
      <w:pPr>
        <w:keepNext/>
        <w:pBdr>
          <w:top w:val="nil"/>
          <w:left w:val="nil"/>
          <w:bottom w:val="nil"/>
          <w:right w:val="nil"/>
          <w:between w:val="nil"/>
        </w:pBdr>
        <w:spacing w:before="60" w:after="120"/>
        <w:rPr>
          <w:rFonts w:ascii="Century Gothic" w:eastAsia="Century Gothic" w:hAnsi="Century Gothic" w:cs="Century Gothic"/>
          <w:b/>
          <w:color w:val="595959"/>
          <w:sz w:val="20"/>
          <w:szCs w:val="20"/>
        </w:rPr>
      </w:pPr>
      <w:bookmarkStart w:id="56" w:name="_heading=h.39kk8xu" w:colFirst="0" w:colLast="0"/>
      <w:bookmarkEnd w:id="56"/>
      <w:r>
        <w:rPr>
          <w:rFonts w:ascii="Century Gothic" w:eastAsia="Century Gothic" w:hAnsi="Century Gothic" w:cs="Century Gothic"/>
          <w:b/>
          <w:color w:val="595959"/>
          <w:sz w:val="20"/>
          <w:szCs w:val="20"/>
        </w:rPr>
        <w:t xml:space="preserve">Table 11-2: </w:t>
      </w:r>
      <w:r>
        <w:rPr>
          <w:rFonts w:ascii="Century Gothic" w:eastAsia="Century Gothic" w:hAnsi="Century Gothic" w:cs="Century Gothic"/>
          <w:b/>
          <w:color w:val="595959"/>
        </w:rPr>
        <w:t>Non-exhaustive List of Input Variables for General Harvest Risk Model Form</w:t>
      </w:r>
      <w:r>
        <w:rPr>
          <w:rFonts w:ascii="Century Gothic" w:eastAsia="Century Gothic" w:hAnsi="Century Gothic" w:cs="Century Gothic"/>
          <w:b/>
          <w:color w:val="595959"/>
          <w:vertAlign w:val="superscript"/>
        </w:rPr>
        <w:footnoteReference w:id="9"/>
      </w:r>
    </w:p>
    <w:tbl>
      <w:tblPr>
        <w:tblW w:w="10470" w:type="dxa"/>
        <w:tblInd w:w="1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00" w:firstRow="0" w:lastRow="0" w:firstColumn="0" w:lastColumn="0" w:noHBand="0" w:noVBand="1"/>
      </w:tblPr>
      <w:tblGrid>
        <w:gridCol w:w="2145"/>
        <w:gridCol w:w="1980"/>
        <w:gridCol w:w="2895"/>
        <w:gridCol w:w="3450"/>
      </w:tblGrid>
      <w:tr w:rsidR="00471C28" w:rsidRPr="00C17F20" w14:paraId="37EB2219" w14:textId="77777777">
        <w:trPr>
          <w:trHeight w:val="288"/>
        </w:trPr>
        <w:tc>
          <w:tcPr>
            <w:tcW w:w="2145" w:type="dxa"/>
            <w:shd w:val="clear" w:color="auto" w:fill="2B3957"/>
          </w:tcPr>
          <w:p w14:paraId="000002A4" w14:textId="77777777" w:rsidR="00471C28" w:rsidRPr="00C17F20" w:rsidRDefault="00CF15C9">
            <w:pPr>
              <w:spacing w:before="60" w:after="120"/>
              <w:jc w:val="center"/>
              <w:rPr>
                <w:rFonts w:eastAsia="Century Gothic" w:cs="Century Gothic"/>
                <w:b/>
                <w:color w:val="FFFFFF"/>
              </w:rPr>
            </w:pPr>
            <w:r w:rsidRPr="00C17F20">
              <w:rPr>
                <w:rFonts w:eastAsia="Century Gothic" w:cs="Century Gothic"/>
                <w:b/>
                <w:color w:val="FFFFFF"/>
              </w:rPr>
              <w:t>Variable</w:t>
            </w:r>
          </w:p>
        </w:tc>
        <w:tc>
          <w:tcPr>
            <w:tcW w:w="1980" w:type="dxa"/>
            <w:shd w:val="clear" w:color="auto" w:fill="2B3957"/>
          </w:tcPr>
          <w:p w14:paraId="000002A5" w14:textId="77777777" w:rsidR="00471C28" w:rsidRPr="00C17F20" w:rsidRDefault="00CF15C9">
            <w:pPr>
              <w:spacing w:before="60" w:after="120"/>
              <w:jc w:val="center"/>
              <w:rPr>
                <w:rFonts w:eastAsia="Century Gothic" w:cs="Century Gothic"/>
                <w:b/>
                <w:color w:val="FFFFFF"/>
              </w:rPr>
            </w:pPr>
            <w:r w:rsidRPr="00C17F20">
              <w:rPr>
                <w:rFonts w:eastAsia="Century Gothic" w:cs="Century Gothic"/>
                <w:b/>
                <w:color w:val="FFFFFF"/>
              </w:rPr>
              <w:t>General Harvest Model Term</w:t>
            </w:r>
          </w:p>
        </w:tc>
        <w:tc>
          <w:tcPr>
            <w:tcW w:w="2895" w:type="dxa"/>
            <w:shd w:val="clear" w:color="auto" w:fill="2B3957"/>
          </w:tcPr>
          <w:p w14:paraId="000002A6" w14:textId="77777777" w:rsidR="00471C28" w:rsidRPr="00C17F20" w:rsidRDefault="00CF15C9">
            <w:pPr>
              <w:spacing w:before="60" w:after="120"/>
              <w:jc w:val="center"/>
              <w:rPr>
                <w:rFonts w:eastAsia="Century Gothic" w:cs="Century Gothic"/>
                <w:b/>
                <w:color w:val="FFFFFF"/>
              </w:rPr>
            </w:pPr>
            <w:r w:rsidRPr="00C17F20">
              <w:rPr>
                <w:rFonts w:eastAsia="Century Gothic" w:cs="Century Gothic"/>
                <w:b/>
                <w:color w:val="FFFFFF"/>
              </w:rPr>
              <w:t>Citation (if applicable)</w:t>
            </w:r>
          </w:p>
        </w:tc>
        <w:tc>
          <w:tcPr>
            <w:tcW w:w="3450" w:type="dxa"/>
            <w:shd w:val="clear" w:color="auto" w:fill="2B3957"/>
          </w:tcPr>
          <w:p w14:paraId="000002A7" w14:textId="77777777" w:rsidR="00471C28" w:rsidRPr="00C17F20" w:rsidRDefault="00CF15C9">
            <w:pPr>
              <w:spacing w:before="60" w:after="120"/>
              <w:ind w:right="61"/>
              <w:jc w:val="center"/>
              <w:rPr>
                <w:rFonts w:eastAsia="Century Gothic" w:cs="Century Gothic"/>
                <w:b/>
                <w:color w:val="FFFFFF"/>
              </w:rPr>
            </w:pPr>
            <w:r w:rsidRPr="00C17F20">
              <w:rPr>
                <w:rFonts w:eastAsia="Century Gothic" w:cs="Century Gothic"/>
                <w:b/>
                <w:color w:val="FFFFFF"/>
              </w:rPr>
              <w:t>Example of variable inputs</w:t>
            </w:r>
          </w:p>
        </w:tc>
      </w:tr>
      <w:tr w:rsidR="00471C28" w:rsidRPr="00C17F20" w14:paraId="5287EDE6" w14:textId="77777777">
        <w:trPr>
          <w:trHeight w:val="548"/>
        </w:trPr>
        <w:tc>
          <w:tcPr>
            <w:tcW w:w="2145" w:type="dxa"/>
            <w:shd w:val="clear" w:color="auto" w:fill="F2F2F2"/>
          </w:tcPr>
          <w:p w14:paraId="000002A8" w14:textId="77777777" w:rsidR="00471C28" w:rsidRPr="00C17F20" w:rsidRDefault="00CF15C9">
            <w:pPr>
              <w:spacing w:before="60" w:after="120"/>
              <w:rPr>
                <w:rFonts w:eastAsia="Century Gothic" w:cs="Century Gothic"/>
                <w:color w:val="404040"/>
              </w:rPr>
            </w:pPr>
            <w:r w:rsidRPr="00C17F20">
              <w:rPr>
                <w:rFonts w:eastAsia="Century Gothic" w:cs="Century Gothic"/>
              </w:rPr>
              <w:lastRenderedPageBreak/>
              <w:t>Standing timber volume</w:t>
            </w:r>
          </w:p>
        </w:tc>
        <w:tc>
          <w:tcPr>
            <w:tcW w:w="1980" w:type="dxa"/>
            <w:shd w:val="clear" w:color="auto" w:fill="F2F2F2"/>
          </w:tcPr>
          <w:p w14:paraId="000002A9" w14:textId="77777777" w:rsidR="00471C28" w:rsidRPr="00C17F20" w:rsidRDefault="00CF15C9">
            <w:pPr>
              <w:spacing w:before="60" w:after="120"/>
              <w:rPr>
                <w:rFonts w:eastAsia="Century Gothic" w:cs="Century Gothic"/>
                <w:color w:val="404040"/>
              </w:rPr>
            </w:pPr>
            <w:r w:rsidRPr="00C17F20">
              <w:rPr>
                <w:rFonts w:eastAsia="Century Gothic" w:cs="Century Gothic"/>
              </w:rPr>
              <w:t>Non-timber value</w:t>
            </w:r>
          </w:p>
        </w:tc>
        <w:tc>
          <w:tcPr>
            <w:tcW w:w="2895" w:type="dxa"/>
            <w:shd w:val="clear" w:color="auto" w:fill="F2F2F2"/>
          </w:tcPr>
          <w:p w14:paraId="000002AA" w14:textId="77777777" w:rsidR="00471C28" w:rsidRPr="00C17F20" w:rsidRDefault="00CF15C9">
            <w:pPr>
              <w:spacing w:before="60" w:after="120"/>
              <w:rPr>
                <w:rFonts w:eastAsia="Century Gothic" w:cs="Century Gothic"/>
                <w:color w:val="404040"/>
              </w:rPr>
            </w:pPr>
            <w:proofErr w:type="spellStart"/>
            <w:r w:rsidRPr="00C17F20">
              <w:rPr>
                <w:rFonts w:eastAsia="Century Gothic" w:cs="Century Gothic"/>
              </w:rPr>
              <w:t>Prestemon</w:t>
            </w:r>
            <w:proofErr w:type="spellEnd"/>
            <w:r w:rsidRPr="00C17F20">
              <w:rPr>
                <w:rFonts w:eastAsia="Century Gothic" w:cs="Century Gothic"/>
              </w:rPr>
              <w:t xml:space="preserve"> &amp; Wear (2000)</w:t>
            </w:r>
          </w:p>
        </w:tc>
        <w:tc>
          <w:tcPr>
            <w:tcW w:w="3450" w:type="dxa"/>
            <w:shd w:val="clear" w:color="auto" w:fill="F2F2F2"/>
          </w:tcPr>
          <w:p w14:paraId="000002AB" w14:textId="77777777" w:rsidR="00471C28" w:rsidRPr="00C17F20" w:rsidRDefault="00CF15C9">
            <w:pPr>
              <w:spacing w:before="60" w:after="120"/>
              <w:rPr>
                <w:rFonts w:eastAsia="Century Gothic" w:cs="Century Gothic"/>
                <w:color w:val="404040"/>
              </w:rPr>
            </w:pPr>
            <w:r w:rsidRPr="00C17F20">
              <w:rPr>
                <w:rFonts w:eastAsia="Century Gothic" w:cs="Century Gothic"/>
              </w:rPr>
              <w:t>Inventory data</w:t>
            </w:r>
          </w:p>
        </w:tc>
      </w:tr>
      <w:tr w:rsidR="00471C28" w:rsidRPr="00C17F20" w14:paraId="43BE8212" w14:textId="77777777">
        <w:trPr>
          <w:trHeight w:val="620"/>
        </w:trPr>
        <w:tc>
          <w:tcPr>
            <w:tcW w:w="2145" w:type="dxa"/>
            <w:shd w:val="clear" w:color="auto" w:fill="F2F2F2"/>
          </w:tcPr>
          <w:p w14:paraId="000002AC" w14:textId="77777777" w:rsidR="00471C28" w:rsidRPr="00C17F20" w:rsidRDefault="00CF15C9">
            <w:pPr>
              <w:spacing w:before="60" w:after="120"/>
              <w:rPr>
                <w:rFonts w:eastAsia="Century Gothic" w:cs="Century Gothic"/>
                <w:color w:val="404040"/>
              </w:rPr>
            </w:pPr>
            <w:r w:rsidRPr="00C17F20">
              <w:rPr>
                <w:rFonts w:eastAsia="Century Gothic" w:cs="Century Gothic"/>
              </w:rPr>
              <w:t>Present standing timber value</w:t>
            </w:r>
          </w:p>
        </w:tc>
        <w:tc>
          <w:tcPr>
            <w:tcW w:w="1980" w:type="dxa"/>
            <w:shd w:val="clear" w:color="auto" w:fill="F2F2F2"/>
          </w:tcPr>
          <w:p w14:paraId="000002AD" w14:textId="77777777" w:rsidR="00471C28" w:rsidRPr="00C17F20" w:rsidRDefault="00CF15C9">
            <w:pPr>
              <w:spacing w:before="60" w:after="120"/>
              <w:rPr>
                <w:rFonts w:eastAsia="Century Gothic" w:cs="Century Gothic"/>
                <w:color w:val="404040"/>
              </w:rPr>
            </w:pPr>
            <w:r w:rsidRPr="00C17F20">
              <w:rPr>
                <w:rFonts w:eastAsia="Century Gothic" w:cs="Century Gothic"/>
              </w:rPr>
              <w:t>Timber value</w:t>
            </w:r>
          </w:p>
        </w:tc>
        <w:tc>
          <w:tcPr>
            <w:tcW w:w="2895" w:type="dxa"/>
            <w:shd w:val="clear" w:color="auto" w:fill="F2F2F2"/>
          </w:tcPr>
          <w:p w14:paraId="000002AE" w14:textId="77777777" w:rsidR="00471C28" w:rsidRPr="00C17F20" w:rsidRDefault="00CF15C9">
            <w:pPr>
              <w:spacing w:before="60" w:after="120"/>
              <w:rPr>
                <w:rFonts w:eastAsia="Century Gothic" w:cs="Century Gothic"/>
                <w:color w:val="404040"/>
              </w:rPr>
            </w:pPr>
            <w:proofErr w:type="spellStart"/>
            <w:r w:rsidRPr="00C17F20">
              <w:rPr>
                <w:rFonts w:eastAsia="Century Gothic" w:cs="Century Gothic"/>
              </w:rPr>
              <w:t>Prestemon</w:t>
            </w:r>
            <w:proofErr w:type="spellEnd"/>
            <w:r w:rsidRPr="00C17F20">
              <w:rPr>
                <w:rFonts w:eastAsia="Century Gothic" w:cs="Century Gothic"/>
              </w:rPr>
              <w:t xml:space="preserve"> &amp; Wear (2000)</w:t>
            </w:r>
          </w:p>
        </w:tc>
        <w:tc>
          <w:tcPr>
            <w:tcW w:w="3450" w:type="dxa"/>
            <w:shd w:val="clear" w:color="auto" w:fill="F2F2F2"/>
          </w:tcPr>
          <w:p w14:paraId="000002AF" w14:textId="77777777" w:rsidR="00471C28" w:rsidRPr="00C17F20" w:rsidRDefault="00CF15C9">
            <w:pPr>
              <w:spacing w:before="60" w:after="120"/>
              <w:rPr>
                <w:rFonts w:eastAsia="Century Gothic" w:cs="Century Gothic"/>
                <w:color w:val="404040"/>
              </w:rPr>
            </w:pPr>
            <w:r w:rsidRPr="00C17F20">
              <w:rPr>
                <w:rFonts w:eastAsia="Century Gothic" w:cs="Century Gothic"/>
              </w:rPr>
              <w:t>Inventory data, Pricing data (</w:t>
            </w:r>
            <w:proofErr w:type="gramStart"/>
            <w:r w:rsidRPr="00C17F20">
              <w:rPr>
                <w:rFonts w:eastAsia="Century Gothic" w:cs="Century Gothic"/>
              </w:rPr>
              <w:t>e.g.</w:t>
            </w:r>
            <w:proofErr w:type="gramEnd"/>
            <w:r w:rsidRPr="00C17F20">
              <w:rPr>
                <w:rFonts w:eastAsia="Century Gothic" w:cs="Century Gothic"/>
              </w:rPr>
              <w:t xml:space="preserve"> published public stumpage values, price indices, Timber-Mart South data)</w:t>
            </w:r>
          </w:p>
        </w:tc>
      </w:tr>
      <w:tr w:rsidR="00471C28" w:rsidRPr="00C17F20" w14:paraId="7E90CD7E" w14:textId="77777777">
        <w:trPr>
          <w:trHeight w:val="530"/>
        </w:trPr>
        <w:tc>
          <w:tcPr>
            <w:tcW w:w="2145" w:type="dxa"/>
            <w:shd w:val="clear" w:color="auto" w:fill="F2F2F2"/>
          </w:tcPr>
          <w:p w14:paraId="000002B0" w14:textId="77777777" w:rsidR="00471C28" w:rsidRPr="00C17F20" w:rsidRDefault="00CF15C9">
            <w:pPr>
              <w:spacing w:before="60" w:after="120"/>
              <w:rPr>
                <w:rFonts w:eastAsia="Century Gothic" w:cs="Century Gothic"/>
                <w:color w:val="404040"/>
              </w:rPr>
            </w:pPr>
            <w:r w:rsidRPr="00C17F20">
              <w:rPr>
                <w:rFonts w:eastAsia="Century Gothic" w:cs="Century Gothic"/>
              </w:rPr>
              <w:t>Discounted future standing timber value</w:t>
            </w:r>
          </w:p>
        </w:tc>
        <w:tc>
          <w:tcPr>
            <w:tcW w:w="1980" w:type="dxa"/>
            <w:shd w:val="clear" w:color="auto" w:fill="F2F2F2"/>
          </w:tcPr>
          <w:p w14:paraId="000002B1" w14:textId="77777777" w:rsidR="00471C28" w:rsidRPr="00C17F20" w:rsidRDefault="00CF15C9">
            <w:pPr>
              <w:spacing w:before="60" w:after="120"/>
              <w:rPr>
                <w:rFonts w:eastAsia="Century Gothic" w:cs="Century Gothic"/>
                <w:color w:val="404040"/>
              </w:rPr>
            </w:pPr>
            <w:r w:rsidRPr="00C17F20">
              <w:rPr>
                <w:rFonts w:eastAsia="Century Gothic" w:cs="Century Gothic"/>
              </w:rPr>
              <w:t>Timber value</w:t>
            </w:r>
          </w:p>
        </w:tc>
        <w:tc>
          <w:tcPr>
            <w:tcW w:w="2895" w:type="dxa"/>
            <w:shd w:val="clear" w:color="auto" w:fill="F2F2F2"/>
          </w:tcPr>
          <w:p w14:paraId="000002B2" w14:textId="77777777" w:rsidR="00471C28" w:rsidRPr="00C17F20" w:rsidRDefault="00CF15C9">
            <w:pPr>
              <w:spacing w:before="60" w:after="120"/>
              <w:rPr>
                <w:rFonts w:eastAsia="Century Gothic" w:cs="Century Gothic"/>
                <w:color w:val="404040"/>
              </w:rPr>
            </w:pPr>
            <w:proofErr w:type="spellStart"/>
            <w:r w:rsidRPr="00C17F20">
              <w:rPr>
                <w:rFonts w:eastAsia="Century Gothic" w:cs="Century Gothic"/>
              </w:rPr>
              <w:t>Prestemon</w:t>
            </w:r>
            <w:proofErr w:type="spellEnd"/>
            <w:r w:rsidRPr="00C17F20">
              <w:rPr>
                <w:rFonts w:eastAsia="Century Gothic" w:cs="Century Gothic"/>
              </w:rPr>
              <w:t xml:space="preserve"> &amp; Wear (2000)</w:t>
            </w:r>
          </w:p>
        </w:tc>
        <w:tc>
          <w:tcPr>
            <w:tcW w:w="3450" w:type="dxa"/>
            <w:shd w:val="clear" w:color="auto" w:fill="F2F2F2"/>
          </w:tcPr>
          <w:p w14:paraId="000002B3" w14:textId="77777777" w:rsidR="00471C28" w:rsidRPr="00C17F20" w:rsidRDefault="00CF15C9">
            <w:pPr>
              <w:spacing w:before="60" w:after="120"/>
              <w:rPr>
                <w:rFonts w:eastAsia="Century Gothic" w:cs="Century Gothic"/>
                <w:color w:val="404040"/>
              </w:rPr>
            </w:pPr>
            <w:r w:rsidRPr="00C17F20">
              <w:rPr>
                <w:rFonts w:eastAsia="Century Gothic" w:cs="Century Gothic"/>
              </w:rPr>
              <w:t>Inventory data, pricing data (</w:t>
            </w:r>
            <w:proofErr w:type="gramStart"/>
            <w:r w:rsidRPr="00C17F20">
              <w:rPr>
                <w:rFonts w:eastAsia="Century Gothic" w:cs="Century Gothic"/>
              </w:rPr>
              <w:t>e.g.</w:t>
            </w:r>
            <w:proofErr w:type="gramEnd"/>
            <w:r w:rsidRPr="00C17F20">
              <w:rPr>
                <w:rFonts w:eastAsia="Century Gothic" w:cs="Century Gothic"/>
              </w:rPr>
              <w:t xml:space="preserve"> published public stumpage values, price indices, Timber-Mart South data)</w:t>
            </w:r>
          </w:p>
        </w:tc>
      </w:tr>
      <w:tr w:rsidR="00471C28" w:rsidRPr="00C17F20" w14:paraId="14285CA1" w14:textId="77777777">
        <w:trPr>
          <w:trHeight w:val="530"/>
        </w:trPr>
        <w:tc>
          <w:tcPr>
            <w:tcW w:w="2145" w:type="dxa"/>
            <w:shd w:val="clear" w:color="auto" w:fill="F2F2F2"/>
          </w:tcPr>
          <w:p w14:paraId="000002B4" w14:textId="77777777" w:rsidR="00471C28" w:rsidRPr="00C17F20" w:rsidRDefault="00CF15C9">
            <w:pPr>
              <w:spacing w:before="60" w:after="120"/>
              <w:rPr>
                <w:rFonts w:eastAsia="Century Gothic" w:cs="Century Gothic"/>
                <w:color w:val="404040"/>
              </w:rPr>
            </w:pPr>
            <w:r w:rsidRPr="00C17F20">
              <w:rPr>
                <w:rFonts w:eastAsia="Century Gothic" w:cs="Century Gothic"/>
              </w:rPr>
              <w:t>Proximity to roads (road construction cost)</w:t>
            </w:r>
          </w:p>
        </w:tc>
        <w:tc>
          <w:tcPr>
            <w:tcW w:w="1980" w:type="dxa"/>
            <w:shd w:val="clear" w:color="auto" w:fill="F2F2F2"/>
          </w:tcPr>
          <w:p w14:paraId="000002B5" w14:textId="77777777" w:rsidR="00471C28" w:rsidRPr="00C17F20" w:rsidRDefault="00CF15C9">
            <w:pPr>
              <w:spacing w:before="60" w:after="120"/>
              <w:rPr>
                <w:rFonts w:eastAsia="Century Gothic" w:cs="Century Gothic"/>
                <w:color w:val="404040"/>
              </w:rPr>
            </w:pPr>
            <w:r w:rsidRPr="00C17F20">
              <w:rPr>
                <w:rFonts w:eastAsia="Century Gothic" w:cs="Century Gothic"/>
              </w:rPr>
              <w:t>Cost of harvest</w:t>
            </w:r>
          </w:p>
        </w:tc>
        <w:tc>
          <w:tcPr>
            <w:tcW w:w="2895" w:type="dxa"/>
            <w:shd w:val="clear" w:color="auto" w:fill="F2F2F2"/>
          </w:tcPr>
          <w:p w14:paraId="000002B6" w14:textId="77777777" w:rsidR="00471C28" w:rsidRPr="00C17F20" w:rsidRDefault="00CF15C9">
            <w:pPr>
              <w:spacing w:before="60" w:after="120"/>
              <w:rPr>
                <w:rFonts w:eastAsia="Century Gothic" w:cs="Century Gothic"/>
                <w:color w:val="404040"/>
              </w:rPr>
            </w:pPr>
            <w:proofErr w:type="spellStart"/>
            <w:r w:rsidRPr="00C17F20">
              <w:rPr>
                <w:rFonts w:eastAsia="Century Gothic" w:cs="Century Gothic"/>
              </w:rPr>
              <w:t>Prestemon</w:t>
            </w:r>
            <w:proofErr w:type="spellEnd"/>
            <w:r w:rsidRPr="00C17F20">
              <w:rPr>
                <w:rFonts w:eastAsia="Century Gothic" w:cs="Century Gothic"/>
              </w:rPr>
              <w:t xml:space="preserve"> &amp; Wear (2000); </w:t>
            </w:r>
            <w:r w:rsidRPr="00C17F20">
              <w:rPr>
                <w:rFonts w:eastAsia="Century Gothic" w:cs="Century Gothic"/>
                <w:color w:val="404040"/>
              </w:rPr>
              <w:t xml:space="preserve">Pokharel &amp; </w:t>
            </w:r>
            <w:proofErr w:type="spellStart"/>
            <w:r w:rsidRPr="00C17F20">
              <w:rPr>
                <w:rFonts w:eastAsia="Century Gothic" w:cs="Century Gothic"/>
                <w:color w:val="404040"/>
              </w:rPr>
              <w:t>Latta</w:t>
            </w:r>
            <w:proofErr w:type="spellEnd"/>
            <w:r w:rsidRPr="00C17F20">
              <w:rPr>
                <w:rFonts w:eastAsia="Century Gothic" w:cs="Century Gothic"/>
                <w:color w:val="404040"/>
              </w:rPr>
              <w:t xml:space="preserve"> (2020)</w:t>
            </w:r>
          </w:p>
        </w:tc>
        <w:tc>
          <w:tcPr>
            <w:tcW w:w="3450" w:type="dxa"/>
            <w:shd w:val="clear" w:color="auto" w:fill="F2F2F2"/>
          </w:tcPr>
          <w:p w14:paraId="000002B7" w14:textId="77777777" w:rsidR="00471C28" w:rsidRPr="00C17F20" w:rsidRDefault="00CF15C9">
            <w:pPr>
              <w:spacing w:before="60" w:after="120"/>
              <w:rPr>
                <w:rFonts w:eastAsia="Century Gothic" w:cs="Century Gothic"/>
                <w:color w:val="404040"/>
              </w:rPr>
            </w:pPr>
            <w:r w:rsidRPr="00C17F20">
              <w:rPr>
                <w:rFonts w:eastAsia="Century Gothic" w:cs="Century Gothic"/>
              </w:rPr>
              <w:t>Public geospatial data</w:t>
            </w:r>
          </w:p>
        </w:tc>
      </w:tr>
      <w:tr w:rsidR="00471C28" w:rsidRPr="00C17F20" w14:paraId="6B7637B8" w14:textId="77777777">
        <w:trPr>
          <w:trHeight w:val="530"/>
        </w:trPr>
        <w:tc>
          <w:tcPr>
            <w:tcW w:w="2145" w:type="dxa"/>
            <w:shd w:val="clear" w:color="auto" w:fill="F2F2F2"/>
          </w:tcPr>
          <w:p w14:paraId="000002B8" w14:textId="77777777" w:rsidR="00471C28" w:rsidRPr="00C17F20" w:rsidRDefault="00CF15C9">
            <w:pPr>
              <w:spacing w:before="60" w:after="120"/>
              <w:rPr>
                <w:rFonts w:eastAsia="Century Gothic" w:cs="Century Gothic"/>
                <w:color w:val="404040"/>
              </w:rPr>
            </w:pPr>
            <w:r w:rsidRPr="00C17F20">
              <w:rPr>
                <w:rFonts w:eastAsia="Century Gothic" w:cs="Century Gothic"/>
              </w:rPr>
              <w:t>Proximity to mills (transportation cost)</w:t>
            </w:r>
          </w:p>
        </w:tc>
        <w:tc>
          <w:tcPr>
            <w:tcW w:w="1980" w:type="dxa"/>
            <w:shd w:val="clear" w:color="auto" w:fill="F2F2F2"/>
          </w:tcPr>
          <w:p w14:paraId="000002B9" w14:textId="77777777" w:rsidR="00471C28" w:rsidRPr="00C17F20" w:rsidRDefault="00CF15C9">
            <w:pPr>
              <w:spacing w:before="60" w:after="120"/>
              <w:rPr>
                <w:rFonts w:eastAsia="Century Gothic" w:cs="Century Gothic"/>
                <w:color w:val="404040"/>
              </w:rPr>
            </w:pPr>
            <w:r w:rsidRPr="00C17F20">
              <w:rPr>
                <w:rFonts w:eastAsia="Century Gothic" w:cs="Century Gothic"/>
              </w:rPr>
              <w:t>Cost of harvest</w:t>
            </w:r>
          </w:p>
        </w:tc>
        <w:tc>
          <w:tcPr>
            <w:tcW w:w="2895" w:type="dxa"/>
            <w:shd w:val="clear" w:color="auto" w:fill="F2F2F2"/>
          </w:tcPr>
          <w:p w14:paraId="000002BA" w14:textId="77777777" w:rsidR="00471C28" w:rsidRPr="00C17F20" w:rsidRDefault="00CF15C9">
            <w:pPr>
              <w:spacing w:before="60" w:after="120"/>
              <w:rPr>
                <w:rFonts w:eastAsia="Century Gothic" w:cs="Century Gothic"/>
                <w:color w:val="404040"/>
              </w:rPr>
            </w:pPr>
            <w:r w:rsidRPr="00C17F20">
              <w:rPr>
                <w:rFonts w:eastAsia="Century Gothic" w:cs="Century Gothic"/>
                <w:color w:val="404040"/>
              </w:rPr>
              <w:t xml:space="preserve">Pokharel &amp; </w:t>
            </w:r>
            <w:proofErr w:type="spellStart"/>
            <w:r w:rsidRPr="00C17F20">
              <w:rPr>
                <w:rFonts w:eastAsia="Century Gothic" w:cs="Century Gothic"/>
                <w:color w:val="404040"/>
              </w:rPr>
              <w:t>Latta</w:t>
            </w:r>
            <w:proofErr w:type="spellEnd"/>
            <w:r w:rsidRPr="00C17F20">
              <w:rPr>
                <w:rFonts w:eastAsia="Century Gothic" w:cs="Century Gothic"/>
                <w:color w:val="404040"/>
              </w:rPr>
              <w:t xml:space="preserve"> (2020)</w:t>
            </w:r>
          </w:p>
        </w:tc>
        <w:tc>
          <w:tcPr>
            <w:tcW w:w="3450" w:type="dxa"/>
            <w:shd w:val="clear" w:color="auto" w:fill="F2F2F2"/>
          </w:tcPr>
          <w:p w14:paraId="000002BB" w14:textId="77777777" w:rsidR="00471C28" w:rsidRPr="00C17F20" w:rsidRDefault="00CF15C9">
            <w:pPr>
              <w:spacing w:before="60" w:after="120"/>
              <w:rPr>
                <w:rFonts w:eastAsia="Century Gothic" w:cs="Century Gothic"/>
                <w:color w:val="404040"/>
              </w:rPr>
            </w:pPr>
            <w:r w:rsidRPr="00C17F20">
              <w:rPr>
                <w:rFonts w:eastAsia="Century Gothic" w:cs="Century Gothic"/>
              </w:rPr>
              <w:t>Public or private dataset (</w:t>
            </w:r>
            <w:proofErr w:type="gramStart"/>
            <w:r w:rsidRPr="00C17F20">
              <w:rPr>
                <w:rFonts w:eastAsia="Century Gothic" w:cs="Century Gothic"/>
              </w:rPr>
              <w:t>e.g.</w:t>
            </w:r>
            <w:proofErr w:type="gramEnd"/>
            <w:r w:rsidRPr="00C17F20">
              <w:rPr>
                <w:rFonts w:eastAsia="Century Gothic" w:cs="Century Gothic"/>
              </w:rPr>
              <w:t xml:space="preserve"> </w:t>
            </w:r>
            <w:proofErr w:type="spellStart"/>
            <w:r w:rsidRPr="00C17F20">
              <w:rPr>
                <w:rFonts w:eastAsia="Century Gothic" w:cs="Century Gothic"/>
              </w:rPr>
              <w:t>Forisk</w:t>
            </w:r>
            <w:proofErr w:type="spellEnd"/>
            <w:r w:rsidRPr="00C17F20">
              <w:rPr>
                <w:rFonts w:eastAsia="Century Gothic" w:cs="Century Gothic"/>
              </w:rPr>
              <w:t xml:space="preserve"> Mills Database, </w:t>
            </w:r>
            <w:proofErr w:type="spellStart"/>
            <w:r w:rsidRPr="00C17F20">
              <w:rPr>
                <w:rFonts w:eastAsia="Century Gothic" w:cs="Century Gothic"/>
              </w:rPr>
              <w:t>Latta</w:t>
            </w:r>
            <w:proofErr w:type="spellEnd"/>
            <w:r w:rsidRPr="00C17F20">
              <w:rPr>
                <w:rFonts w:eastAsia="Century Gothic" w:cs="Century Gothic"/>
              </w:rPr>
              <w:t xml:space="preserve"> et al. 2018 database)</w:t>
            </w:r>
          </w:p>
        </w:tc>
      </w:tr>
      <w:tr w:rsidR="00471C28" w:rsidRPr="00C17F20" w14:paraId="314486A1" w14:textId="77777777">
        <w:trPr>
          <w:trHeight w:val="530"/>
        </w:trPr>
        <w:tc>
          <w:tcPr>
            <w:tcW w:w="2145" w:type="dxa"/>
            <w:shd w:val="clear" w:color="auto" w:fill="F2F2F2"/>
          </w:tcPr>
          <w:p w14:paraId="000002BC" w14:textId="77777777" w:rsidR="00471C28" w:rsidRPr="00C17F20" w:rsidRDefault="00CF15C9">
            <w:pPr>
              <w:spacing w:before="60" w:after="120"/>
              <w:rPr>
                <w:rFonts w:eastAsia="Century Gothic" w:cs="Century Gothic"/>
                <w:color w:val="404040"/>
              </w:rPr>
            </w:pPr>
            <w:r w:rsidRPr="00C17F20">
              <w:rPr>
                <w:rFonts w:eastAsia="Century Gothic" w:cs="Century Gothic"/>
              </w:rPr>
              <w:t>Stand slope</w:t>
            </w:r>
          </w:p>
        </w:tc>
        <w:tc>
          <w:tcPr>
            <w:tcW w:w="1980" w:type="dxa"/>
            <w:shd w:val="clear" w:color="auto" w:fill="F2F2F2"/>
          </w:tcPr>
          <w:p w14:paraId="000002BD" w14:textId="77777777" w:rsidR="00471C28" w:rsidRPr="00C17F20" w:rsidRDefault="00CF15C9">
            <w:pPr>
              <w:spacing w:before="60" w:after="120"/>
              <w:rPr>
                <w:rFonts w:eastAsia="Century Gothic" w:cs="Century Gothic"/>
                <w:color w:val="404040"/>
              </w:rPr>
            </w:pPr>
            <w:r w:rsidRPr="00C17F20">
              <w:rPr>
                <w:rFonts w:eastAsia="Century Gothic" w:cs="Century Gothic"/>
              </w:rPr>
              <w:t>Cost of harvest</w:t>
            </w:r>
          </w:p>
        </w:tc>
        <w:tc>
          <w:tcPr>
            <w:tcW w:w="2895" w:type="dxa"/>
            <w:shd w:val="clear" w:color="auto" w:fill="F2F2F2"/>
          </w:tcPr>
          <w:p w14:paraId="000002BE" w14:textId="77777777" w:rsidR="00471C28" w:rsidRPr="00C17F20" w:rsidRDefault="00471C28">
            <w:pPr>
              <w:spacing w:before="60" w:after="120"/>
              <w:rPr>
                <w:rFonts w:eastAsia="Century Gothic" w:cs="Century Gothic"/>
                <w:color w:val="404040"/>
              </w:rPr>
            </w:pPr>
          </w:p>
        </w:tc>
        <w:tc>
          <w:tcPr>
            <w:tcW w:w="3450" w:type="dxa"/>
            <w:shd w:val="clear" w:color="auto" w:fill="F2F2F2"/>
          </w:tcPr>
          <w:p w14:paraId="000002BF" w14:textId="77777777" w:rsidR="00471C28" w:rsidRPr="00C17F20" w:rsidRDefault="00CF15C9">
            <w:pPr>
              <w:spacing w:before="60" w:after="120"/>
              <w:rPr>
                <w:rFonts w:eastAsia="Century Gothic" w:cs="Century Gothic"/>
                <w:color w:val="404040"/>
              </w:rPr>
            </w:pPr>
            <w:r w:rsidRPr="00C17F20">
              <w:rPr>
                <w:rFonts w:eastAsia="Century Gothic" w:cs="Century Gothic"/>
              </w:rPr>
              <w:t>public geospatial data</w:t>
            </w:r>
          </w:p>
        </w:tc>
      </w:tr>
      <w:tr w:rsidR="00471C28" w:rsidRPr="00C17F20" w14:paraId="2CEDA0D6" w14:textId="77777777">
        <w:trPr>
          <w:trHeight w:val="530"/>
        </w:trPr>
        <w:tc>
          <w:tcPr>
            <w:tcW w:w="2145" w:type="dxa"/>
            <w:shd w:val="clear" w:color="auto" w:fill="F2F2F2"/>
          </w:tcPr>
          <w:p w14:paraId="000002C0" w14:textId="77777777" w:rsidR="00471C28" w:rsidRPr="00C17F20" w:rsidRDefault="00CF15C9">
            <w:pPr>
              <w:spacing w:before="60" w:after="120"/>
              <w:rPr>
                <w:rFonts w:eastAsia="Century Gothic" w:cs="Century Gothic"/>
                <w:color w:val="404040"/>
              </w:rPr>
            </w:pPr>
            <w:r w:rsidRPr="00C17F20">
              <w:rPr>
                <w:rFonts w:eastAsia="Century Gothic" w:cs="Century Gothic"/>
              </w:rPr>
              <w:t>Historical harvest and disturbance information</w:t>
            </w:r>
          </w:p>
        </w:tc>
        <w:tc>
          <w:tcPr>
            <w:tcW w:w="1980" w:type="dxa"/>
            <w:shd w:val="clear" w:color="auto" w:fill="F2F2F2"/>
          </w:tcPr>
          <w:p w14:paraId="000002C1" w14:textId="77777777" w:rsidR="00471C28" w:rsidRPr="00C17F20" w:rsidRDefault="00CF15C9">
            <w:pPr>
              <w:spacing w:before="60" w:after="120"/>
              <w:rPr>
                <w:rFonts w:eastAsia="Century Gothic" w:cs="Century Gothic"/>
                <w:color w:val="404040"/>
              </w:rPr>
            </w:pPr>
            <w:r w:rsidRPr="00C17F20">
              <w:rPr>
                <w:rFonts w:eastAsia="Century Gothic" w:cs="Century Gothic"/>
              </w:rPr>
              <w:t>Group</w:t>
            </w:r>
          </w:p>
        </w:tc>
        <w:tc>
          <w:tcPr>
            <w:tcW w:w="2895" w:type="dxa"/>
            <w:shd w:val="clear" w:color="auto" w:fill="F2F2F2"/>
          </w:tcPr>
          <w:p w14:paraId="000002C2" w14:textId="77777777" w:rsidR="00471C28" w:rsidRPr="00C17F20" w:rsidRDefault="00471C28">
            <w:pPr>
              <w:spacing w:before="60" w:after="120"/>
              <w:rPr>
                <w:rFonts w:eastAsia="Century Gothic" w:cs="Century Gothic"/>
                <w:color w:val="404040"/>
              </w:rPr>
            </w:pPr>
          </w:p>
        </w:tc>
        <w:tc>
          <w:tcPr>
            <w:tcW w:w="3450" w:type="dxa"/>
            <w:shd w:val="clear" w:color="auto" w:fill="F2F2F2"/>
          </w:tcPr>
          <w:p w14:paraId="000002C3" w14:textId="77777777" w:rsidR="00471C28" w:rsidRPr="00C17F20" w:rsidRDefault="00CF15C9">
            <w:pPr>
              <w:spacing w:before="60" w:after="120"/>
              <w:rPr>
                <w:rFonts w:eastAsia="Century Gothic" w:cs="Century Gothic"/>
                <w:color w:val="404040"/>
              </w:rPr>
            </w:pPr>
            <w:r w:rsidRPr="00C17F20">
              <w:rPr>
                <w:rFonts w:eastAsia="Century Gothic" w:cs="Century Gothic"/>
              </w:rPr>
              <w:t>USFS FIA</w:t>
            </w:r>
          </w:p>
        </w:tc>
      </w:tr>
      <w:tr w:rsidR="00471C28" w:rsidRPr="00C17F20" w14:paraId="333FFD1F" w14:textId="77777777">
        <w:trPr>
          <w:trHeight w:val="530"/>
        </w:trPr>
        <w:tc>
          <w:tcPr>
            <w:tcW w:w="2145" w:type="dxa"/>
            <w:shd w:val="clear" w:color="auto" w:fill="F2F2F2"/>
          </w:tcPr>
          <w:p w14:paraId="000002C4" w14:textId="77777777" w:rsidR="00471C28" w:rsidRPr="00C17F20" w:rsidRDefault="00CF15C9">
            <w:pPr>
              <w:spacing w:before="60" w:after="120"/>
              <w:rPr>
                <w:rFonts w:eastAsia="Century Gothic" w:cs="Century Gothic"/>
                <w:color w:val="404040"/>
              </w:rPr>
            </w:pPr>
            <w:r w:rsidRPr="00C17F20">
              <w:rPr>
                <w:rFonts w:eastAsia="Century Gothic" w:cs="Century Gothic"/>
              </w:rPr>
              <w:t>Ownership type</w:t>
            </w:r>
          </w:p>
        </w:tc>
        <w:tc>
          <w:tcPr>
            <w:tcW w:w="1980" w:type="dxa"/>
            <w:shd w:val="clear" w:color="auto" w:fill="F2F2F2"/>
          </w:tcPr>
          <w:p w14:paraId="000002C5" w14:textId="77777777" w:rsidR="00471C28" w:rsidRPr="00C17F20" w:rsidRDefault="00CF15C9">
            <w:pPr>
              <w:spacing w:before="60" w:after="120"/>
              <w:rPr>
                <w:rFonts w:eastAsia="Century Gothic" w:cs="Century Gothic"/>
                <w:color w:val="404040"/>
              </w:rPr>
            </w:pPr>
            <w:r w:rsidRPr="00C17F20">
              <w:rPr>
                <w:rFonts w:eastAsia="Century Gothic" w:cs="Century Gothic"/>
              </w:rPr>
              <w:t>Group</w:t>
            </w:r>
          </w:p>
        </w:tc>
        <w:tc>
          <w:tcPr>
            <w:tcW w:w="2895" w:type="dxa"/>
            <w:shd w:val="clear" w:color="auto" w:fill="F2F2F2"/>
          </w:tcPr>
          <w:p w14:paraId="000002C6" w14:textId="77777777" w:rsidR="00471C28" w:rsidRPr="00C17F20" w:rsidRDefault="00CF15C9">
            <w:pPr>
              <w:spacing w:before="60" w:after="120"/>
              <w:rPr>
                <w:rFonts w:eastAsia="Century Gothic" w:cs="Century Gothic"/>
                <w:color w:val="404040"/>
              </w:rPr>
            </w:pPr>
            <w:proofErr w:type="spellStart"/>
            <w:r w:rsidRPr="00C17F20">
              <w:rPr>
                <w:rFonts w:eastAsia="Century Gothic" w:cs="Century Gothic"/>
              </w:rPr>
              <w:t>Prestemon</w:t>
            </w:r>
            <w:proofErr w:type="spellEnd"/>
            <w:r w:rsidRPr="00C17F20">
              <w:rPr>
                <w:rFonts w:eastAsia="Century Gothic" w:cs="Century Gothic"/>
              </w:rPr>
              <w:t xml:space="preserve"> &amp; Wear (2000); Zhang et al (2015)</w:t>
            </w:r>
          </w:p>
        </w:tc>
        <w:tc>
          <w:tcPr>
            <w:tcW w:w="3450" w:type="dxa"/>
            <w:shd w:val="clear" w:color="auto" w:fill="F2F2F2"/>
          </w:tcPr>
          <w:p w14:paraId="000002C7" w14:textId="77777777" w:rsidR="00471C28" w:rsidRPr="00C17F20" w:rsidRDefault="00CF15C9">
            <w:pPr>
              <w:spacing w:before="60" w:after="120"/>
              <w:rPr>
                <w:rFonts w:eastAsia="Century Gothic" w:cs="Century Gothic"/>
                <w:color w:val="404040"/>
              </w:rPr>
            </w:pPr>
            <w:r w:rsidRPr="00C17F20">
              <w:rPr>
                <w:rFonts w:eastAsia="Century Gothic" w:cs="Century Gothic"/>
              </w:rPr>
              <w:t>USFS FIA</w:t>
            </w:r>
          </w:p>
        </w:tc>
      </w:tr>
      <w:tr w:rsidR="00471C28" w:rsidRPr="00C17F20" w14:paraId="38DE5DC3" w14:textId="77777777">
        <w:trPr>
          <w:trHeight w:val="530"/>
        </w:trPr>
        <w:tc>
          <w:tcPr>
            <w:tcW w:w="2145" w:type="dxa"/>
            <w:shd w:val="clear" w:color="auto" w:fill="F2F2F2"/>
          </w:tcPr>
          <w:p w14:paraId="000002C8" w14:textId="77777777" w:rsidR="00471C28" w:rsidRPr="00C17F20" w:rsidRDefault="00CF15C9">
            <w:pPr>
              <w:spacing w:before="60" w:after="120"/>
              <w:rPr>
                <w:rFonts w:eastAsia="Century Gothic" w:cs="Century Gothic"/>
                <w:color w:val="404040"/>
              </w:rPr>
            </w:pPr>
            <w:r w:rsidRPr="00C17F20">
              <w:rPr>
                <w:rFonts w:eastAsia="Century Gothic" w:cs="Century Gothic"/>
              </w:rPr>
              <w:t>Landowner attributes (</w:t>
            </w:r>
            <w:proofErr w:type="gramStart"/>
            <w:r w:rsidRPr="00C17F20">
              <w:rPr>
                <w:rFonts w:eastAsia="Century Gothic" w:cs="Century Gothic"/>
              </w:rPr>
              <w:t>e.g.</w:t>
            </w:r>
            <w:proofErr w:type="gramEnd"/>
            <w:r w:rsidRPr="00C17F20">
              <w:rPr>
                <w:rFonts w:eastAsia="Century Gothic" w:cs="Century Gothic"/>
              </w:rPr>
              <w:t xml:space="preserve"> size of property)</w:t>
            </w:r>
          </w:p>
        </w:tc>
        <w:tc>
          <w:tcPr>
            <w:tcW w:w="1980" w:type="dxa"/>
            <w:shd w:val="clear" w:color="auto" w:fill="F2F2F2"/>
          </w:tcPr>
          <w:p w14:paraId="000002C9" w14:textId="77777777" w:rsidR="00471C28" w:rsidRPr="00C17F20" w:rsidRDefault="00CF15C9">
            <w:pPr>
              <w:spacing w:before="60" w:after="120"/>
              <w:rPr>
                <w:rFonts w:eastAsia="Century Gothic" w:cs="Century Gothic"/>
                <w:color w:val="404040"/>
              </w:rPr>
            </w:pPr>
            <w:r w:rsidRPr="00C17F20">
              <w:rPr>
                <w:rFonts w:eastAsia="Century Gothic" w:cs="Century Gothic"/>
              </w:rPr>
              <w:t>Non-timber value, Group</w:t>
            </w:r>
          </w:p>
        </w:tc>
        <w:tc>
          <w:tcPr>
            <w:tcW w:w="2895" w:type="dxa"/>
            <w:shd w:val="clear" w:color="auto" w:fill="F2F2F2"/>
          </w:tcPr>
          <w:p w14:paraId="000002CA" w14:textId="77777777" w:rsidR="00471C28" w:rsidRPr="00C17F20" w:rsidRDefault="00CF15C9">
            <w:pPr>
              <w:spacing w:before="60" w:after="120"/>
              <w:rPr>
                <w:rFonts w:eastAsia="Century Gothic" w:cs="Century Gothic"/>
                <w:color w:val="404040"/>
              </w:rPr>
            </w:pPr>
            <w:r w:rsidRPr="00C17F20">
              <w:rPr>
                <w:rFonts w:eastAsia="Century Gothic" w:cs="Century Gothic"/>
              </w:rPr>
              <w:t>Butler et al (2020)</w:t>
            </w:r>
          </w:p>
        </w:tc>
        <w:tc>
          <w:tcPr>
            <w:tcW w:w="3450" w:type="dxa"/>
            <w:shd w:val="clear" w:color="auto" w:fill="F2F2F2"/>
          </w:tcPr>
          <w:p w14:paraId="000002CB" w14:textId="77777777" w:rsidR="00471C28" w:rsidRPr="00C17F20" w:rsidRDefault="00CF15C9">
            <w:pPr>
              <w:spacing w:before="60" w:after="120"/>
              <w:rPr>
                <w:rFonts w:eastAsia="Century Gothic" w:cs="Century Gothic"/>
                <w:color w:val="404040"/>
              </w:rPr>
            </w:pPr>
            <w:r w:rsidRPr="00C17F20">
              <w:rPr>
                <w:rFonts w:eastAsia="Century Gothic" w:cs="Century Gothic"/>
              </w:rPr>
              <w:t>NWOS</w:t>
            </w:r>
          </w:p>
        </w:tc>
      </w:tr>
    </w:tbl>
    <w:p w14:paraId="000002CC" w14:textId="77777777" w:rsidR="00471C28" w:rsidRDefault="00CF15C9">
      <w:pPr>
        <w:numPr>
          <w:ilvl w:val="1"/>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Grouping Variables</w:t>
      </w:r>
    </w:p>
    <w:p w14:paraId="000002CD"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Landowner Type</w:t>
      </w:r>
    </w:p>
    <w:p w14:paraId="000002CE"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Non-private landowner type was retrieved from the OWNCD variable in the FIADB Condition Table. To ensure the confidential nature of FIA plot locations and private ownerships, the specific type of private owner (FFO, TIMO, REIT, NGO, etc.) is not reported in the FIADB. </w:t>
      </w:r>
    </w:p>
    <w:p w14:paraId="000002CF"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Private landowner types were retrieved from a raster of </w:t>
      </w:r>
      <w:proofErr w:type="spellStart"/>
      <w:r w:rsidRPr="00C17F20">
        <w:rPr>
          <w:rFonts w:eastAsia="Century Gothic" w:cs="Century Gothic"/>
        </w:rPr>
        <w:t>modeled</w:t>
      </w:r>
      <w:proofErr w:type="spellEnd"/>
      <w:r w:rsidRPr="00C17F20">
        <w:rPr>
          <w:rFonts w:eastAsia="Century Gothic" w:cs="Century Gothic"/>
        </w:rPr>
        <w:t xml:space="preserve"> ownership class generated by FIA researchers (Sass et al. 2020). For all FIA plots on private lands the most common private landowner type within a 1 km radius of the published plot coordinates was used to retrieve a private landowner type from the Sass dataset. Extracted landowner type within 1 km was not </w:t>
      </w:r>
      <w:r w:rsidRPr="00C17F20">
        <w:rPr>
          <w:rFonts w:eastAsia="Century Gothic" w:cs="Century Gothic"/>
        </w:rPr>
        <w:lastRenderedPageBreak/>
        <w:t>available for some FIA plots due to no data values in the Sass dataset at the fuzzed-and-swapped public FIA plot coordinates of FIA data. For plots where the Sass dataset did not have a 1 km private-landowner type prediction, we used the most common private landowner type within a 10 km radius of the published, public plot coordinates.</w:t>
      </w:r>
    </w:p>
    <w:p w14:paraId="000002D0"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Legally Excluded Areas</w:t>
      </w:r>
    </w:p>
    <w:p w14:paraId="000002D1" w14:textId="456FC44F"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Project </w:t>
      </w:r>
      <w:r w:rsidR="00571CCF">
        <w:rPr>
          <w:rFonts w:eastAsia="Century Gothic" w:cs="Century Gothic"/>
        </w:rPr>
        <w:t>hectarage</w:t>
      </w:r>
      <w:r w:rsidR="00571CCF" w:rsidRPr="00C17F20">
        <w:rPr>
          <w:rFonts w:eastAsia="Century Gothic" w:cs="Century Gothic"/>
        </w:rPr>
        <w:t xml:space="preserve"> </w:t>
      </w:r>
      <w:r w:rsidRPr="00C17F20">
        <w:rPr>
          <w:rFonts w:eastAsia="Century Gothic" w:cs="Century Gothic"/>
        </w:rPr>
        <w:t>that is legally restricted from harvest is given a harvest probability of 0. Legal restrictions are determined through exclusion of any areas that fall within protected areas defined as GAP Status 1 or 2 in the Protected Area Database of the United States (PADUS) (US Geological Survey 2021).</w:t>
      </w:r>
      <w:r w:rsidR="00C93DAE" w:rsidRPr="00C17F20">
        <w:rPr>
          <w:rFonts w:eastAsia="Century Gothic" w:cs="Century Gothic"/>
        </w:rPr>
        <w:t xml:space="preserve"> </w:t>
      </w:r>
      <w:r w:rsidR="00356DC7" w:rsidRPr="00C17F20">
        <w:rPr>
          <w:rFonts w:eastAsia="Century Gothic" w:cs="Century Gothic"/>
        </w:rPr>
        <w:t>In case of discrepancies between GAP Status codes and landowner understanding of restrictions and exclusions, l</w:t>
      </w:r>
      <w:r w:rsidR="00C93DAE" w:rsidRPr="00C17F20">
        <w:rPr>
          <w:rFonts w:eastAsia="Century Gothic" w:cs="Century Gothic"/>
        </w:rPr>
        <w:t xml:space="preserve">andowners may attest and provide evidence that identified protected areas do not prohibit timber harvest activity, in the form of legal agreements made with the project developer and/or documentation about specific programs in which a property is enrolled. </w:t>
      </w:r>
    </w:p>
    <w:p w14:paraId="000002D2"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National Woodland Owner Survey</w:t>
      </w:r>
    </w:p>
    <w:p w14:paraId="000002D3" w14:textId="3507A906" w:rsidR="00471C28" w:rsidRPr="00C17F20" w:rsidRDefault="00CF15C9">
      <w:pPr>
        <w:spacing w:before="60" w:after="120" w:line="288" w:lineRule="auto"/>
        <w:ind w:left="720"/>
        <w:rPr>
          <w:rFonts w:eastAsia="Century Gothic" w:cs="Century Gothic"/>
          <w:color w:val="3C4043"/>
          <w:highlight w:val="white"/>
        </w:rPr>
      </w:pPr>
      <w:r w:rsidRPr="00C17F20">
        <w:rPr>
          <w:rFonts w:eastAsia="Century Gothic" w:cs="Century Gothic"/>
        </w:rPr>
        <w:t xml:space="preserve">We </w:t>
      </w:r>
      <w:r w:rsidRPr="00C17F20">
        <w:rPr>
          <w:rFonts w:eastAsia="Century Gothic" w:cs="Century Gothic"/>
          <w:color w:val="3C4043"/>
          <w:highlight w:val="white"/>
        </w:rPr>
        <w:t xml:space="preserve">used the state level proportion of </w:t>
      </w:r>
      <w:r w:rsidR="008B1E5A" w:rsidRPr="00C17F20">
        <w:rPr>
          <w:rFonts w:eastAsia="Century Gothic" w:cs="Century Gothic"/>
          <w:color w:val="3C4043"/>
          <w:highlight w:val="white"/>
        </w:rPr>
        <w:t xml:space="preserve">area </w:t>
      </w:r>
      <w:r w:rsidRPr="00C17F20">
        <w:rPr>
          <w:rFonts w:eastAsia="Century Gothic" w:cs="Century Gothic"/>
          <w:color w:val="3C4043"/>
          <w:highlight w:val="white"/>
        </w:rPr>
        <w:t xml:space="preserve">harvested, summarized from </w:t>
      </w:r>
      <w:r w:rsidRPr="00C17F20">
        <w:rPr>
          <w:rFonts w:eastAsia="Century Gothic" w:cs="Century Gothic"/>
        </w:rPr>
        <w:t xml:space="preserve">National Woodland Owner Survey data, </w:t>
      </w:r>
      <w:r w:rsidRPr="00C17F20">
        <w:rPr>
          <w:rFonts w:eastAsia="Century Gothic" w:cs="Century Gothic"/>
          <w:color w:val="3C4043"/>
          <w:highlight w:val="white"/>
        </w:rPr>
        <w:t>to capture spatial heterogeneity in harvest rates.</w:t>
      </w:r>
      <w:r w:rsidR="008B1E5A" w:rsidRPr="00C17F20">
        <w:rPr>
          <w:rFonts w:eastAsia="Century Gothic" w:cs="Century Gothic"/>
          <w:color w:val="3C4043"/>
          <w:highlight w:val="white"/>
        </w:rPr>
        <w:t xml:space="preserve"> </w:t>
      </w:r>
      <w:r w:rsidRPr="00C17F20">
        <w:rPr>
          <w:rFonts w:eastAsia="Century Gothic" w:cs="Century Gothic"/>
        </w:rPr>
        <w:t>A custom query to obtain the aggregate NWOS response (respondents of “Yes” to at least 1 of the 4 questions listed above; see also Figure 4 and Table 4), with associated standard error estimates, was conducted in September 2021(Butler, personal communication, 2021). The query and raw results are reproduced in Appendix B. Responses were summarized and reported by state; see table below for an example of summarized results for Alabama (Butler et al. 2021).</w:t>
      </w:r>
    </w:p>
    <w:p w14:paraId="000002D4" w14:textId="77777777" w:rsidR="00471C28" w:rsidRDefault="00CF15C9">
      <w:pPr>
        <w:numPr>
          <w:ilvl w:val="1"/>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Covariate Data Sources</w:t>
      </w:r>
    </w:p>
    <w:p w14:paraId="000002D5"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Total Volume</w:t>
      </w:r>
    </w:p>
    <w:p w14:paraId="000002D6"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Total stand carbon (expressed as aboveground carbon in tons) was calculated on a per acre basis as the sum of tree-level aboveground biomass, multiplied by a correction factor of 0.5 (Woodall et al. 2011; see also Forest Inventory and Analysis Database: Database Description and User Guide for Phase 2 (version 8.0), revision: 10.2018):</w:t>
      </w:r>
    </w:p>
    <w:p w14:paraId="000002D7"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CARBON_AG = 0.5 * (DRYBIO_BOLE + DRYBIO_STUMP + DRYBIO_TOP + DRYBIO_SAPLING + DRYBIO_WDLD_SPP), all variables in the TREE table</w:t>
      </w:r>
    </w:p>
    <w:p w14:paraId="000002D8"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Merchantable Volume</w:t>
      </w:r>
    </w:p>
    <w:p w14:paraId="000002D9"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Timber value was computed using recent pricing information, and merchantable volume by product. For each FIA inventoried tree, merchantable volume is taken from the columns VOLCFNET, VOLCSNET, and VOLBFNET in the TREE table. These values respectively represent total merchantable volume (m</w:t>
      </w:r>
      <w:r w:rsidRPr="00C17F20">
        <w:rPr>
          <w:rFonts w:eastAsia="Century Gothic" w:cs="Century Gothic"/>
          <w:vertAlign w:val="superscript"/>
        </w:rPr>
        <w:t>3</w:t>
      </w:r>
      <w:r w:rsidRPr="00C17F20">
        <w:rPr>
          <w:rFonts w:eastAsia="Century Gothic" w:cs="Century Gothic"/>
        </w:rPr>
        <w:t>) to a 4” stopper, saw timber volume (m</w:t>
      </w:r>
      <w:r w:rsidRPr="00C17F20">
        <w:rPr>
          <w:rFonts w:eastAsia="Century Gothic" w:cs="Century Gothic"/>
          <w:vertAlign w:val="superscript"/>
        </w:rPr>
        <w:t>3</w:t>
      </w:r>
      <w:r w:rsidRPr="00C17F20">
        <w:rPr>
          <w:rFonts w:eastAsia="Century Gothic" w:cs="Century Gothic"/>
        </w:rPr>
        <w:t>) with a variable stopper height based on hardwood/softwood, and saw timber volume (</w:t>
      </w:r>
      <w:proofErr w:type="spellStart"/>
      <w:r w:rsidRPr="00C17F20">
        <w:rPr>
          <w:rFonts w:eastAsia="Century Gothic" w:cs="Century Gothic"/>
        </w:rPr>
        <w:t>bdft</w:t>
      </w:r>
      <w:proofErr w:type="spellEnd"/>
      <w:r w:rsidRPr="00C17F20">
        <w:rPr>
          <w:rFonts w:eastAsia="Century Gothic" w:cs="Century Gothic"/>
        </w:rPr>
        <w:t>) with the same stopper heights as sawtimber volume in m</w:t>
      </w:r>
      <w:r w:rsidRPr="00C17F20">
        <w:rPr>
          <w:rFonts w:eastAsia="Century Gothic" w:cs="Century Gothic"/>
          <w:vertAlign w:val="superscript"/>
        </w:rPr>
        <w:t>3</w:t>
      </w:r>
      <w:r w:rsidRPr="00C17F20">
        <w:rPr>
          <w:rFonts w:eastAsia="Century Gothic" w:cs="Century Gothic"/>
        </w:rPr>
        <w:t xml:space="preserve">. </w:t>
      </w:r>
      <w:proofErr w:type="gramStart"/>
      <w:r w:rsidRPr="00C17F20">
        <w:rPr>
          <w:rFonts w:eastAsia="Century Gothic" w:cs="Century Gothic"/>
        </w:rPr>
        <w:t>All of</w:t>
      </w:r>
      <w:proofErr w:type="gramEnd"/>
      <w:r w:rsidRPr="00C17F20">
        <w:rPr>
          <w:rFonts w:eastAsia="Century Gothic" w:cs="Century Gothic"/>
        </w:rPr>
        <w:t xml:space="preserve"> these volume estimates incorporate deductions for rot, missingness, and form. Sawtimber volume was taken directly from these variables, and pulp volume (m</w:t>
      </w:r>
      <w:r w:rsidRPr="00C17F20">
        <w:rPr>
          <w:rFonts w:eastAsia="Century Gothic" w:cs="Century Gothic"/>
          <w:vertAlign w:val="superscript"/>
        </w:rPr>
        <w:t>3</w:t>
      </w:r>
      <w:r w:rsidRPr="00C17F20">
        <w:rPr>
          <w:rFonts w:eastAsia="Century Gothic" w:cs="Century Gothic"/>
        </w:rPr>
        <w:t xml:space="preserve">) was calculated as </w:t>
      </w:r>
    </w:p>
    <w:p w14:paraId="000002DA"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lastRenderedPageBreak/>
        <w:t>VOLCFNET - VOLCSNET. Pulp volume was converted to green tons using species-level conversion factors found in the FIADB reference species table (REF_SPECIES). Tree-level merchantable volumes are joined with prices on both species and product.</w:t>
      </w:r>
    </w:p>
    <w:p w14:paraId="000002DB"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Product Pricing</w:t>
      </w:r>
    </w:p>
    <w:p w14:paraId="000002DC" w14:textId="01EC2A1E" w:rsidR="00471C28" w:rsidRPr="00C17F20" w:rsidRDefault="00CF15C9">
      <w:pPr>
        <w:spacing w:before="60" w:after="120" w:line="288" w:lineRule="auto"/>
        <w:ind w:left="720"/>
        <w:rPr>
          <w:rFonts w:eastAsia="Century Gothic" w:cs="Century Gothic"/>
        </w:rPr>
      </w:pPr>
      <w:r w:rsidRPr="00C17F20">
        <w:rPr>
          <w:rFonts w:eastAsia="Century Gothic" w:cs="Century Gothic"/>
        </w:rPr>
        <w:t>Product prices were taken from a combination of publicly published data and private aggregators</w:t>
      </w:r>
      <w:r w:rsidR="00196A1F" w:rsidRPr="00C17F20">
        <w:rPr>
          <w:rFonts w:eastAsia="Century Gothic" w:cs="Century Gothic"/>
        </w:rPr>
        <w:t xml:space="preserve">. </w:t>
      </w:r>
      <w:r w:rsidRPr="00C17F20">
        <w:rPr>
          <w:rFonts w:eastAsia="Century Gothic" w:cs="Century Gothic"/>
        </w:rPr>
        <w:t>These timber prices are reported at the county or aggregated-county level by species and species group. Species were grouped by density class (hardwood, softwood) and mean prices were calculated at the L3 ecoregion level</w:t>
      </w:r>
      <w:r w:rsidRPr="00C17F20">
        <w:rPr>
          <w:rFonts w:eastAsia="Century Gothic" w:cs="Century Gothic"/>
          <w:vertAlign w:val="superscript"/>
        </w:rPr>
        <w:footnoteReference w:id="10"/>
      </w:r>
      <w:r w:rsidRPr="00C17F20">
        <w:rPr>
          <w:rFonts w:eastAsia="Century Gothic" w:cs="Century Gothic"/>
        </w:rPr>
        <w:t xml:space="preserve"> and used to fill missing county-level data. If an L3 ecoregion did not have any available pricing information, prices were estimated from geographical </w:t>
      </w:r>
      <w:proofErr w:type="spellStart"/>
      <w:r w:rsidRPr="00C17F20">
        <w:rPr>
          <w:rFonts w:eastAsia="Century Gothic" w:cs="Century Gothic"/>
        </w:rPr>
        <w:t>neighbor</w:t>
      </w:r>
      <w:proofErr w:type="spellEnd"/>
      <w:r w:rsidRPr="00C17F20">
        <w:rPr>
          <w:rFonts w:eastAsia="Century Gothic" w:cs="Century Gothic"/>
        </w:rPr>
        <w:t xml:space="preserve"> L3 ecoregions. Within a product and class combination (</w:t>
      </w:r>
      <w:proofErr w:type="gramStart"/>
      <w:r w:rsidRPr="00C17F20">
        <w:rPr>
          <w:rFonts w:eastAsia="Century Gothic" w:cs="Century Gothic"/>
        </w:rPr>
        <w:t>e.g.</w:t>
      </w:r>
      <w:proofErr w:type="gramEnd"/>
      <w:r w:rsidRPr="00C17F20">
        <w:rPr>
          <w:rFonts w:eastAsia="Century Gothic" w:cs="Century Gothic"/>
        </w:rPr>
        <w:t xml:space="preserve"> hardwood sawtimber) the distribution of prices was examined and if necessary, some species were placed in a ‘high value’ subgroup, with a separate mean price. </w:t>
      </w:r>
    </w:p>
    <w:p w14:paraId="000002DD"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We adjusted 2020 stumpage prices using data on exported timber prices published by the United Nations Economic Commission for Europe Food and Agriculture Organization (FAO, 2021). The FAO dataset reports export prices by country and product class (e.g., hardwood sawtimber) and are reported in nominal values annually. We used the US Bureau of </w:t>
      </w:r>
      <w:proofErr w:type="spellStart"/>
      <w:r w:rsidRPr="00C17F20">
        <w:rPr>
          <w:rFonts w:eastAsia="Century Gothic" w:cs="Century Gothic"/>
        </w:rPr>
        <w:t>Labor</w:t>
      </w:r>
      <w:proofErr w:type="spellEnd"/>
      <w:r w:rsidRPr="00C17F20">
        <w:rPr>
          <w:rFonts w:eastAsia="Century Gothic" w:cs="Century Gothic"/>
        </w:rPr>
        <w:t xml:space="preserve"> Statistic’s Producer’s Price Index (PPI) for ‘Logs, bolts, timber, pulpwood, and wood chips’ (US Bureau of </w:t>
      </w:r>
      <w:proofErr w:type="spellStart"/>
      <w:r w:rsidRPr="00C17F20">
        <w:rPr>
          <w:rFonts w:eastAsia="Century Gothic" w:cs="Century Gothic"/>
        </w:rPr>
        <w:t>Labor</w:t>
      </w:r>
      <w:proofErr w:type="spellEnd"/>
      <w:r w:rsidRPr="00C17F20">
        <w:rPr>
          <w:rFonts w:eastAsia="Century Gothic" w:cs="Century Gothic"/>
        </w:rPr>
        <w:t xml:space="preserve"> Statistics, 2021) to adjust all FAO export values to present day prices. Using the present-day FAO export prices, we created an index time series expressing exported timber price relative to 2020 exported timber prices. Stumpage prices from 2020 (Table 5) were adjusted to the FIA-recorded year of harvest using the derived FAO index. Both T</w:t>
      </w:r>
      <w:r w:rsidRPr="00C17F20">
        <w:rPr>
          <w:rFonts w:eastAsia="Century Gothic" w:cs="Century Gothic"/>
          <w:vertAlign w:val="subscript"/>
        </w:rPr>
        <w:t>0</w:t>
      </w:r>
      <w:r w:rsidRPr="00C17F20">
        <w:rPr>
          <w:rFonts w:eastAsia="Century Gothic" w:cs="Century Gothic"/>
        </w:rPr>
        <w:t xml:space="preserve"> and T</w:t>
      </w:r>
      <w:r w:rsidRPr="00C17F20">
        <w:rPr>
          <w:rFonts w:eastAsia="Century Gothic" w:cs="Century Gothic"/>
          <w:vertAlign w:val="subscript"/>
        </w:rPr>
        <w:t>1</w:t>
      </w:r>
      <w:r w:rsidRPr="00C17F20">
        <w:rPr>
          <w:rFonts w:eastAsia="Century Gothic" w:cs="Century Gothic"/>
        </w:rPr>
        <w:t xml:space="preserve"> timber values were adjusted using the T</w:t>
      </w:r>
      <w:r w:rsidRPr="00C17F20">
        <w:rPr>
          <w:rFonts w:eastAsia="Century Gothic" w:cs="Century Gothic"/>
          <w:vertAlign w:val="subscript"/>
        </w:rPr>
        <w:t>0</w:t>
      </w:r>
      <w:r w:rsidRPr="00C17F20">
        <w:rPr>
          <w:rFonts w:eastAsia="Century Gothic" w:cs="Century Gothic"/>
        </w:rPr>
        <w:t xml:space="preserve"> index value.</w:t>
      </w:r>
    </w:p>
    <w:p w14:paraId="000002DE"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Plot-condition-level value estimates were calculated by summing the per-acre tree-level values and treated as individual ‘</w:t>
      </w:r>
      <w:proofErr w:type="gramStart"/>
      <w:r w:rsidRPr="00C17F20">
        <w:rPr>
          <w:rFonts w:eastAsia="Century Gothic" w:cs="Century Gothic"/>
        </w:rPr>
        <w:t>stands’</w:t>
      </w:r>
      <w:proofErr w:type="gramEnd"/>
      <w:r w:rsidRPr="00C17F20">
        <w:rPr>
          <w:rFonts w:eastAsia="Century Gothic" w:cs="Century Gothic"/>
        </w:rPr>
        <w:t xml:space="preserve">. The median of all FIA ‘stand’ values within an L3 ecoregion was calculated from FIA plot summaries. This median was used as the divisor to consistently rescale all values in an L3 ecoregion. Local scaling of timber prices allows for more direct comparison of forest valuation across broad geographic and ecological ranges without the need for an explicit forest-type or geographic location term. </w:t>
      </w:r>
      <w:proofErr w:type="gramStart"/>
      <w:r w:rsidRPr="00C17F20">
        <w:rPr>
          <w:rFonts w:eastAsia="Century Gothic" w:cs="Century Gothic"/>
        </w:rPr>
        <w:t>Locally-scaled</w:t>
      </w:r>
      <w:proofErr w:type="gramEnd"/>
      <w:r w:rsidRPr="00C17F20">
        <w:rPr>
          <w:rFonts w:eastAsia="Century Gothic" w:cs="Century Gothic"/>
        </w:rPr>
        <w:t xml:space="preserve"> timber prices were further adjusted using the information under A1.3.3.6.</w:t>
      </w:r>
    </w:p>
    <w:p w14:paraId="000002DF"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Slope</w:t>
      </w:r>
    </w:p>
    <w:p w14:paraId="000002E0"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The topographic slope present on harvested and unharvested conditions was taken directly from the FIADB for the harvest training data.</w:t>
      </w:r>
    </w:p>
    <w:p w14:paraId="000002E1"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Distance to Road</w:t>
      </w:r>
    </w:p>
    <w:p w14:paraId="000002E2"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We developed a 60m resolution raster of the Euclidean distance to road from OpenStreetMap data using the following road types:  "motorway", "trunk", "primary", "secondary", "tertiary", "unclassified", "residential", "service", "track", “</w:t>
      </w:r>
      <w:proofErr w:type="spellStart"/>
      <w:r w:rsidRPr="00C17F20">
        <w:rPr>
          <w:rFonts w:eastAsia="Century Gothic" w:cs="Century Gothic"/>
        </w:rPr>
        <w:t>living_street</w:t>
      </w:r>
      <w:proofErr w:type="spellEnd"/>
      <w:r w:rsidRPr="00C17F20">
        <w:rPr>
          <w:rFonts w:eastAsia="Century Gothic" w:cs="Century Gothic"/>
        </w:rPr>
        <w:t xml:space="preserve">” (OpenStreetMap contributors </w:t>
      </w:r>
      <w:r w:rsidRPr="00C17F20">
        <w:rPr>
          <w:rFonts w:eastAsia="Century Gothic" w:cs="Century Gothic"/>
        </w:rPr>
        <w:lastRenderedPageBreak/>
        <w:t xml:space="preserve">2021). FIA published points were then intersected with this raster layer using a 1 km focal mean to produce continuous distance-to-road estimates.  </w:t>
      </w:r>
    </w:p>
    <w:p w14:paraId="000002E3"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Proximity to Mill</w:t>
      </w:r>
    </w:p>
    <w:p w14:paraId="000002E4"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Using sawtimber and </w:t>
      </w:r>
      <w:proofErr w:type="spellStart"/>
      <w:r w:rsidRPr="00C17F20">
        <w:rPr>
          <w:rFonts w:eastAsia="Century Gothic" w:cs="Century Gothic"/>
        </w:rPr>
        <w:t>fiber</w:t>
      </w:r>
      <w:proofErr w:type="spellEnd"/>
      <w:r w:rsidRPr="00C17F20">
        <w:rPr>
          <w:rFonts w:eastAsia="Century Gothic" w:cs="Century Gothic"/>
        </w:rPr>
        <w:t>-fed pulp mill locations (</w:t>
      </w:r>
      <w:proofErr w:type="spellStart"/>
      <w:r w:rsidRPr="00C17F20">
        <w:rPr>
          <w:rFonts w:eastAsia="Century Gothic" w:cs="Century Gothic"/>
        </w:rPr>
        <w:t>Forisk</w:t>
      </w:r>
      <w:proofErr w:type="spellEnd"/>
      <w:r w:rsidRPr="00C17F20">
        <w:rPr>
          <w:rFonts w:eastAsia="Century Gothic" w:cs="Century Gothic"/>
        </w:rPr>
        <w:t xml:space="preserve"> Consulting), we calculated a merchantability index (MI) for each product class (A1.2.1.2), following the methods of Pokharel and </w:t>
      </w:r>
      <w:proofErr w:type="spellStart"/>
      <w:r w:rsidRPr="00C17F20">
        <w:rPr>
          <w:rFonts w:eastAsia="Century Gothic" w:cs="Century Gothic"/>
        </w:rPr>
        <w:t>Latta</w:t>
      </w:r>
      <w:proofErr w:type="spellEnd"/>
      <w:r w:rsidRPr="00C17F20">
        <w:rPr>
          <w:rFonts w:eastAsia="Century Gothic" w:cs="Century Gothic"/>
        </w:rPr>
        <w:t xml:space="preserve"> (2020). A categorized rather than continuous surface for was used for each set of haul distances (Raju Pokharel, personal communication, 2020). This approach determines a maximum profitable haul time for different products. Haul times are a function of delivered wood price, transport cost, trucking capacity, travel speed, and load/unload times. Using set long and short haul time thresholds for pulp and saw timber and the </w:t>
      </w:r>
      <w:proofErr w:type="spellStart"/>
      <w:r w:rsidRPr="00C17F20">
        <w:rPr>
          <w:rFonts w:eastAsia="Century Gothic" w:cs="Century Gothic"/>
        </w:rPr>
        <w:t>OpenStreetMaps</w:t>
      </w:r>
      <w:proofErr w:type="spellEnd"/>
      <w:r w:rsidRPr="00C17F20">
        <w:rPr>
          <w:rFonts w:eastAsia="Century Gothic" w:cs="Century Gothic"/>
        </w:rPr>
        <w:t xml:space="preserve"> road network, haul ranges were mapped for each product from each mill location.</w:t>
      </w:r>
    </w:p>
    <w:p w14:paraId="000002E5"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Each haul range was given a fixed merchantability index and then all haul ranges were stacked and summed into a single raster representing cumulative merchantable index (CMI) over a 250 m resolution raster, and a 1 km resolution focal mean was applied before joining with FIA plots. To account for regional differences, we scaled all CMI estimates by the 99th percentile CMI within L2 ecoregions. These scaled values were multiplied with the </w:t>
      </w:r>
      <w:proofErr w:type="gramStart"/>
      <w:r w:rsidRPr="00C17F20">
        <w:rPr>
          <w:rFonts w:eastAsia="Century Gothic" w:cs="Century Gothic"/>
        </w:rPr>
        <w:t>locally-scaled</w:t>
      </w:r>
      <w:proofErr w:type="gramEnd"/>
      <w:r w:rsidRPr="00C17F20">
        <w:rPr>
          <w:rFonts w:eastAsia="Century Gothic" w:cs="Century Gothic"/>
        </w:rPr>
        <w:t xml:space="preserve"> stumpage prices. A CMI of zero indicates that there is no commercial timber market available.</w:t>
      </w:r>
    </w:p>
    <w:p w14:paraId="000002E6" w14:textId="77777777" w:rsidR="00471C28" w:rsidRDefault="00CF15C9">
      <w:pPr>
        <w:numPr>
          <w:ilvl w:val="1"/>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Ancillary Values</w:t>
      </w:r>
    </w:p>
    <w:p w14:paraId="000002E7"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Growth rates</w:t>
      </w:r>
    </w:p>
    <w:p w14:paraId="000002E8"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Growth rates were calculated by forest type on a percent basis for total value and volume using model-based population-level estimates derived from FIA data with appropriate strata-weighing. Species-level growth rates were estimated for forest type groups (TYPGRPCD; see Appendix D of the FIA Phase 2 user guide) using the model-based estimators described in </w:t>
      </w:r>
      <w:proofErr w:type="spellStart"/>
      <w:r w:rsidRPr="00C17F20">
        <w:rPr>
          <w:rFonts w:eastAsia="Century Gothic" w:cs="Century Gothic"/>
        </w:rPr>
        <w:t>Stanke</w:t>
      </w:r>
      <w:proofErr w:type="spellEnd"/>
      <w:r w:rsidRPr="00C17F20">
        <w:rPr>
          <w:rFonts w:eastAsia="Century Gothic" w:cs="Century Gothic"/>
        </w:rPr>
        <w:t xml:space="preserve"> et al. (2021). </w:t>
      </w:r>
    </w:p>
    <w:p w14:paraId="000002E9" w14:textId="77777777" w:rsidR="00471C28" w:rsidRPr="00C17F20" w:rsidRDefault="00CF15C9">
      <w:pPr>
        <w:spacing w:before="60" w:after="120" w:line="288" w:lineRule="auto"/>
        <w:ind w:left="720"/>
        <w:rPr>
          <w:rFonts w:eastAsia="Century Gothic" w:cs="Century Gothic"/>
        </w:rPr>
      </w:pPr>
      <w:r w:rsidRPr="00C17F20">
        <w:rPr>
          <w:rFonts w:eastAsia="Century Gothic" w:cs="Century Gothic"/>
        </w:rPr>
        <w:t xml:space="preserve">These growth rates are used in the BAU estimation process in two ways: (1) to project T1 volume for harvested trees; and (2) to project T0 measurements for the purpose of estimating T1 value assuming no harvest. </w:t>
      </w:r>
    </w:p>
    <w:p w14:paraId="000002EA" w14:textId="77777777" w:rsidR="00471C28" w:rsidRDefault="00CF15C9">
      <w:pPr>
        <w:numPr>
          <w:ilvl w:val="2"/>
          <w:numId w:val="6"/>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Removal Rates</w:t>
      </w:r>
    </w:p>
    <w:p w14:paraId="2F7B8660" w14:textId="1415A6E3" w:rsidR="54A671BE" w:rsidRPr="00C17F20" w:rsidRDefault="00CF15C9" w:rsidP="00C17F20">
      <w:pPr>
        <w:spacing w:before="60" w:after="120" w:line="288" w:lineRule="auto"/>
        <w:ind w:left="720"/>
        <w:rPr>
          <w:rFonts w:eastAsia="Century Gothic" w:cs="Century Gothic"/>
        </w:rPr>
      </w:pPr>
      <w:r w:rsidRPr="00C17F20">
        <w:rPr>
          <w:rFonts w:eastAsia="Century Gothic" w:cs="Century Gothic"/>
        </w:rPr>
        <w:t>Removal rates were calculated from the FIA observational dataset for harvested conditions. For this implementation, harvests were encoded based on whether at least one tree has been designated as ‘harvested’ on remeasurement by the FIA sampling crew (change of STATUSCD 1 to 3; Thompson et al. 2017). Percent of carbon removed was calculated as observed standing carbon at T1 minus the product of standing carbon at T0 and the appropriate growth rate from above.</w:t>
      </w:r>
      <w:r w:rsidR="0092750F" w:rsidRPr="00C17F20">
        <w:rPr>
          <w:rFonts w:eastAsia="Century Gothic" w:cs="Century Gothic"/>
        </w:rPr>
        <w:t xml:space="preserve"> </w:t>
      </w:r>
    </w:p>
    <w:p w14:paraId="3D6B33A3" w14:textId="58F4BCF1" w:rsidR="0092750F" w:rsidRPr="00C17F20" w:rsidRDefault="0092750F" w:rsidP="00C17F20">
      <w:pPr>
        <w:pStyle w:val="Heading2"/>
      </w:pPr>
      <w:bookmarkStart w:id="57" w:name="_Toc98322301"/>
      <w:r>
        <w:t xml:space="preserve">Upper bounds on </w:t>
      </w:r>
      <w:r w:rsidRPr="00C17F20">
        <w:t>Carbon</w:t>
      </w:r>
      <w:r>
        <w:t xml:space="preserve"> at Risk</w:t>
      </w:r>
      <w:bookmarkEnd w:id="57"/>
    </w:p>
    <w:p w14:paraId="2C451D73" w14:textId="0DAB31EA" w:rsidR="0092750F" w:rsidRPr="00C17F20" w:rsidRDefault="0092750F" w:rsidP="0092750F">
      <w:pPr>
        <w:spacing w:line="288" w:lineRule="auto"/>
        <w:rPr>
          <w:rFonts w:eastAsia="Century Gothic" w:cs="Century Gothic"/>
        </w:rPr>
      </w:pPr>
      <w:r w:rsidRPr="00C17F20">
        <w:rPr>
          <w:rFonts w:eastAsia="Century Gothic" w:cs="Century Gothic"/>
        </w:rPr>
        <w:t xml:space="preserve">When a written management plan is not available, a percentile adjustment that is a function of property size can be applied to transition from single-forest-condition harvest risk to property-level harvest risk. </w:t>
      </w:r>
      <w:r w:rsidRPr="00C17F20">
        <w:rPr>
          <w:rFonts w:eastAsia="Century Gothic" w:cs="Century Gothic"/>
        </w:rPr>
        <w:lastRenderedPageBreak/>
        <w:t xml:space="preserve">Abbas and </w:t>
      </w:r>
      <w:proofErr w:type="spellStart"/>
      <w:r w:rsidRPr="00C17F20">
        <w:rPr>
          <w:rFonts w:eastAsia="Century Gothic" w:cs="Century Gothic"/>
        </w:rPr>
        <w:t>Clatterbuck</w:t>
      </w:r>
      <w:proofErr w:type="spellEnd"/>
      <w:r w:rsidRPr="00C17F20">
        <w:rPr>
          <w:rFonts w:eastAsia="Century Gothic" w:cs="Century Gothic"/>
        </w:rPr>
        <w:t xml:space="preserve"> (2015) and </w:t>
      </w:r>
      <w:proofErr w:type="spellStart"/>
      <w:r w:rsidRPr="00C17F20">
        <w:rPr>
          <w:rFonts w:eastAsia="Century Gothic" w:cs="Century Gothic"/>
        </w:rPr>
        <w:t>Milauskas</w:t>
      </w:r>
      <w:proofErr w:type="spellEnd"/>
      <w:r w:rsidRPr="00C17F20">
        <w:rPr>
          <w:rFonts w:eastAsia="Century Gothic" w:cs="Century Gothic"/>
        </w:rPr>
        <w:t xml:space="preserve"> and Wang (2006) report total annual harvested acres from survey results of logging firms in West Virginia and Tennessee, respectively. The mean annual harvested area for logging firms from those papers was 355 acres.  </w:t>
      </w:r>
    </w:p>
    <w:p w14:paraId="7287843D" w14:textId="77777777" w:rsidR="0092750F" w:rsidRPr="00C17F20" w:rsidRDefault="0092750F" w:rsidP="0092750F">
      <w:pPr>
        <w:spacing w:line="288" w:lineRule="auto"/>
        <w:rPr>
          <w:rFonts w:eastAsia="Century Gothic" w:cs="Century Gothic"/>
        </w:rPr>
      </w:pPr>
      <w:r w:rsidRPr="00C17F20">
        <w:rPr>
          <w:rFonts w:eastAsia="Century Gothic" w:cs="Century Gothic"/>
          <w:b/>
        </w:rPr>
        <w:t>In this implementation</w:t>
      </w:r>
      <w:r w:rsidRPr="00C17F20">
        <w:rPr>
          <w:rFonts w:eastAsia="Century Gothic" w:cs="Century Gothic"/>
        </w:rPr>
        <w:t xml:space="preserve"> we defined an upper limit for property size that could reasonably be entirely harvested within a single year. For properties up to 355 acres, property-level harvest risk is simply the sum of all forest-condition harvest risks on the property. Above 355 acres, property-level harvest risk is the sum of all forest-condition harvest risks times the ratio of 355 to the property area in acres (Equation 2).</w:t>
      </w:r>
    </w:p>
    <w:p w14:paraId="53E91298" w14:textId="77777777" w:rsidR="0092750F" w:rsidRDefault="0092750F" w:rsidP="0092750F">
      <w:pPr>
        <w:spacing w:line="288" w:lineRule="auto"/>
        <w:rPr>
          <w:rFonts w:ascii="Century Gothic" w:eastAsia="Century Gothic" w:hAnsi="Century Gothic" w:cs="Century Gothic"/>
        </w:rPr>
      </w:pPr>
    </w:p>
    <w:p w14:paraId="2F7B2391" w14:textId="77777777" w:rsidR="0092750F" w:rsidRDefault="0092750F" w:rsidP="0092750F">
      <w:pPr>
        <w:spacing w:line="288" w:lineRule="auto"/>
        <w:jc w:val="center"/>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78DC6375" wp14:editId="39E06C86">
            <wp:extent cx="3343275" cy="6026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21"/>
                    <a:srcRect/>
                    <a:stretch>
                      <a:fillRect/>
                    </a:stretch>
                  </pic:blipFill>
                  <pic:spPr>
                    <a:xfrm>
                      <a:off x="0" y="0"/>
                      <a:ext cx="3343275" cy="602615"/>
                    </a:xfrm>
                    <a:prstGeom prst="rect">
                      <a:avLst/>
                    </a:prstGeom>
                    <a:ln/>
                  </pic:spPr>
                </pic:pic>
              </a:graphicData>
            </a:graphic>
          </wp:inline>
        </w:drawing>
      </w:r>
    </w:p>
    <w:p w14:paraId="22103D0E" w14:textId="18645110" w:rsidR="0092750F" w:rsidRPr="00C17F20" w:rsidRDefault="002419A3" w:rsidP="0092750F">
      <w:pPr>
        <w:spacing w:line="288" w:lineRule="auto"/>
        <w:ind w:left="7200" w:firstLine="720"/>
        <w:jc w:val="right"/>
        <w:rPr>
          <w:rFonts w:eastAsia="Century Gothic" w:cs="Century Gothic"/>
        </w:rPr>
      </w:pPr>
      <w:r w:rsidRPr="00C17F20">
        <w:rPr>
          <w:rFonts w:eastAsia="Century Gothic" w:cs="Century Gothic"/>
        </w:rPr>
        <w:t>(19)</w:t>
      </w:r>
    </w:p>
    <w:p w14:paraId="64031195" w14:textId="72B20A95" w:rsidR="0092750F" w:rsidRPr="00C17F20" w:rsidRDefault="0092750F" w:rsidP="0092750F">
      <w:pPr>
        <w:spacing w:line="288" w:lineRule="auto"/>
        <w:rPr>
          <w:rFonts w:eastAsia="Century Gothic" w:cs="Century Gothic"/>
        </w:rPr>
      </w:pPr>
      <w:r w:rsidRPr="00C17F20">
        <w:rPr>
          <w:rFonts w:eastAsia="Century Gothic" w:cs="Century Gothic"/>
        </w:rPr>
        <w:t xml:space="preserve">Where </w:t>
      </w:r>
      <w:proofErr w:type="spellStart"/>
      <w:r w:rsidRPr="00C17F20">
        <w:rPr>
          <w:rFonts w:eastAsia="Century Gothic" w:cs="Century Gothic"/>
          <w:i/>
        </w:rPr>
        <w:t>r</w:t>
      </w:r>
      <w:r w:rsidRPr="00C17F20">
        <w:rPr>
          <w:rFonts w:eastAsia="Century Gothic" w:cs="Century Gothic"/>
          <w:i/>
          <w:vertAlign w:val="subscript"/>
        </w:rPr>
        <w:t>adj</w:t>
      </w:r>
      <w:proofErr w:type="spellEnd"/>
      <w:r w:rsidRPr="00C17F20">
        <w:rPr>
          <w:rFonts w:eastAsia="Century Gothic" w:cs="Century Gothic"/>
        </w:rPr>
        <w:t xml:space="preserve"> is the harvest risk adjustment factor and </w:t>
      </w:r>
      <w:r w:rsidRPr="00C17F20">
        <w:rPr>
          <w:rFonts w:eastAsia="Century Gothic" w:cs="Century Gothic"/>
          <w:i/>
        </w:rPr>
        <w:t>A</w:t>
      </w:r>
      <w:r w:rsidRPr="00C17F20">
        <w:rPr>
          <w:rFonts w:eastAsia="Century Gothic" w:cs="Century Gothic"/>
          <w:i/>
          <w:vertAlign w:val="subscript"/>
        </w:rPr>
        <w:t>P</w:t>
      </w:r>
      <w:r w:rsidRPr="00C17F20">
        <w:rPr>
          <w:rFonts w:eastAsia="Century Gothic" w:cs="Century Gothic"/>
          <w:vertAlign w:val="subscript"/>
        </w:rPr>
        <w:t xml:space="preserve"> </w:t>
      </w:r>
      <w:r w:rsidRPr="00C17F20">
        <w:rPr>
          <w:rFonts w:eastAsia="Century Gothic" w:cs="Century Gothic"/>
        </w:rPr>
        <w:t>is project area in acres.</w:t>
      </w:r>
    </w:p>
    <w:p w14:paraId="64C6769D" w14:textId="77777777" w:rsidR="0092750F" w:rsidRPr="00C17F20" w:rsidRDefault="0092750F" w:rsidP="0092750F">
      <w:pPr>
        <w:spacing w:line="288" w:lineRule="auto"/>
        <w:rPr>
          <w:rFonts w:eastAsia="Century Gothic" w:cs="Century Gothic"/>
        </w:rPr>
      </w:pPr>
    </w:p>
    <w:p w14:paraId="2CC15E0C" w14:textId="77777777" w:rsidR="0092750F" w:rsidRPr="00C17F20" w:rsidRDefault="0092750F" w:rsidP="0092750F">
      <w:pPr>
        <w:spacing w:line="288" w:lineRule="auto"/>
        <w:rPr>
          <w:rFonts w:eastAsia="Century Gothic" w:cs="Century Gothic"/>
        </w:rPr>
      </w:pPr>
      <w:r w:rsidRPr="00C17F20">
        <w:rPr>
          <w:rFonts w:eastAsia="Century Gothic" w:cs="Century Gothic"/>
        </w:rPr>
        <w:t xml:space="preserve">This results in a geometric decline in adjustment value as property size doubles (Figure 2). We set a lower bound for the adjustment value that represents forest-type-specific even-flow management. This lower bound for adjustment value is determined from SEC filings and published management plans for institutional private landowners. The lower bound averages 6% of at-risk-carbon harvested each year, which corresponds to approximately a </w:t>
      </w:r>
      <w:proofErr w:type="gramStart"/>
      <w:r w:rsidRPr="00C17F20">
        <w:rPr>
          <w:rFonts w:eastAsia="Century Gothic" w:cs="Century Gothic"/>
        </w:rPr>
        <w:t>6000 acre</w:t>
      </w:r>
      <w:proofErr w:type="gramEnd"/>
      <w:r w:rsidRPr="00C17F20">
        <w:rPr>
          <w:rFonts w:eastAsia="Century Gothic" w:cs="Century Gothic"/>
        </w:rPr>
        <w:t xml:space="preserve"> property.</w:t>
      </w:r>
    </w:p>
    <w:p w14:paraId="1141B340" w14:textId="77777777" w:rsidR="0092750F" w:rsidRPr="00C17F20" w:rsidRDefault="0092750F" w:rsidP="0092750F">
      <w:pPr>
        <w:spacing w:line="288" w:lineRule="auto"/>
        <w:rPr>
          <w:rFonts w:eastAsia="Century Gothic" w:cs="Century Gothic"/>
        </w:rPr>
      </w:pPr>
    </w:p>
    <w:p w14:paraId="20865D44" w14:textId="77777777" w:rsidR="0092750F" w:rsidRDefault="0092750F" w:rsidP="0092750F">
      <w:pPr>
        <w:spacing w:line="288" w:lineRule="auto"/>
        <w:jc w:val="center"/>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71B0359B" wp14:editId="10056EDA">
            <wp:extent cx="5943600" cy="29718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22"/>
                    <a:srcRect/>
                    <a:stretch>
                      <a:fillRect/>
                    </a:stretch>
                  </pic:blipFill>
                  <pic:spPr>
                    <a:xfrm>
                      <a:off x="0" y="0"/>
                      <a:ext cx="5943600" cy="2971800"/>
                    </a:xfrm>
                    <a:prstGeom prst="rect">
                      <a:avLst/>
                    </a:prstGeom>
                    <a:ln/>
                  </pic:spPr>
                </pic:pic>
              </a:graphicData>
            </a:graphic>
          </wp:inline>
        </w:drawing>
      </w:r>
    </w:p>
    <w:p w14:paraId="5DB4CA53" w14:textId="77777777" w:rsidR="0092750F" w:rsidRDefault="0092750F" w:rsidP="00C17F20">
      <w:pPr>
        <w:pStyle w:val="TableText"/>
      </w:pPr>
      <w:r>
        <w:lastRenderedPageBreak/>
        <w:t>Figure 2: Property-level harvest risk is adjusted to account for operational harvest limits. We set a maximum annual harvested area of 355 acres, derived from logging firm survey results. Carbon-at-risk for properties larger than 355 acres were adjusted by the ratio of 355 to property area (acres).</w:t>
      </w:r>
    </w:p>
    <w:p w14:paraId="000002EC" w14:textId="77777777" w:rsidR="00471C28" w:rsidRDefault="00471C28" w:rsidP="00C17F20">
      <w:pPr>
        <w:spacing w:before="60" w:after="120" w:line="288" w:lineRule="auto"/>
        <w:rPr>
          <w:rFonts w:ascii="Century Gothic" w:eastAsia="Century Gothic" w:hAnsi="Century Gothic" w:cs="Century Gothic"/>
        </w:rPr>
      </w:pPr>
    </w:p>
    <w:p w14:paraId="000002ED" w14:textId="77777777" w:rsidR="00471C28" w:rsidRDefault="00CF15C9" w:rsidP="00C17F20">
      <w:pPr>
        <w:pStyle w:val="Heading2"/>
      </w:pPr>
      <w:bookmarkStart w:id="58" w:name="_Toc98322302"/>
      <w:r>
        <w:t xml:space="preserve">References Used in Baseline </w:t>
      </w:r>
      <w:r w:rsidRPr="00C17F20">
        <w:t>Model</w:t>
      </w:r>
      <w:r>
        <w:t xml:space="preserve"> Development</w:t>
      </w:r>
      <w:bookmarkEnd w:id="58"/>
    </w:p>
    <w:p w14:paraId="000002EE"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themeColor="text1"/>
        </w:rPr>
        <w:t xml:space="preserve">Abbas, D., </w:t>
      </w:r>
      <w:proofErr w:type="spellStart"/>
      <w:r w:rsidRPr="00C17F20">
        <w:rPr>
          <w:rFonts w:eastAsia="Century Gothic" w:cs="Century Gothic"/>
          <w:color w:val="000000" w:themeColor="text1"/>
        </w:rPr>
        <w:t>Clatterbuck</w:t>
      </w:r>
      <w:proofErr w:type="spellEnd"/>
      <w:r w:rsidRPr="00C17F20">
        <w:rPr>
          <w:rFonts w:eastAsia="Century Gothic" w:cs="Century Gothic"/>
          <w:color w:val="000000" w:themeColor="text1"/>
        </w:rPr>
        <w:t>, W., 2015. A Survey Analysis of Harvesting Logistics in Tennessee. European Journal of Forest Engineering 1, 84–92.</w:t>
      </w:r>
    </w:p>
    <w:p w14:paraId="000002EF"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Belair, E.P., </w:t>
      </w:r>
      <w:proofErr w:type="spellStart"/>
      <w:r w:rsidRPr="00C17F20">
        <w:rPr>
          <w:rFonts w:eastAsia="Century Gothic" w:cs="Century Gothic"/>
          <w:color w:val="000000"/>
        </w:rPr>
        <w:t>Ducey</w:t>
      </w:r>
      <w:proofErr w:type="spellEnd"/>
      <w:r w:rsidRPr="00C17F20">
        <w:rPr>
          <w:rFonts w:eastAsia="Century Gothic" w:cs="Century Gothic"/>
          <w:color w:val="000000"/>
        </w:rPr>
        <w:t>, M.J., 2018. Patterns in Forest Harvesting in New England and New York: Using FIA Data to Evaluate Silvicultural Outcomes. Journal of Forestry 116, 273–282. https://doi.org/10.1093/jofore/fvx019</w:t>
      </w:r>
    </w:p>
    <w:p w14:paraId="000002F0"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Bechtold, W.A. and Patterson, P.L., 2005. The enhanced forest inventory and analysis program--national sampling design and estimation procedures (Vol. 80). USDA Forest Service, Southern Research Station.</w:t>
      </w:r>
    </w:p>
    <w:p w14:paraId="000002F1"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Butler, Brett J. 2021. America’s family forest owners. Society of American Foresters, Washington, D.C.</w:t>
      </w:r>
    </w:p>
    <w:p w14:paraId="000002F2"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Butler, B.J., Butler, S.M., Caputo, J., Dias, J., Robillard, A., Sass, E.M., 2021. Family Forest Ownerships of the United States, 2018: Results from the USDA Forest Service, National Woodland Owner Survey (No. GTR-199). USDA Forest Service.</w:t>
      </w:r>
    </w:p>
    <w:p w14:paraId="000002F3"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Butler, B.J., Caputo, J., 2021. Weighting for the USDA Forest Service, National Woodland Owner Survey (No. NRS-GTR-198). U.S. Department of Agriculture, Forest Service, Northern Research Station, Madison, WI. https://doi.org/10.2737/NRS-GTR-198</w:t>
      </w:r>
    </w:p>
    <w:p w14:paraId="000002F4"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Canham</w:t>
      </w:r>
      <w:proofErr w:type="spellEnd"/>
      <w:r w:rsidRPr="00C17F20">
        <w:rPr>
          <w:rFonts w:eastAsia="Century Gothic" w:cs="Century Gothic"/>
          <w:color w:val="000000"/>
        </w:rPr>
        <w:t xml:space="preserve">, C.D., Rogers, N., Buchholz, T., 2013. Regional variation in forest harvest regimes in the </w:t>
      </w:r>
      <w:proofErr w:type="spellStart"/>
      <w:r w:rsidRPr="00C17F20">
        <w:rPr>
          <w:rFonts w:eastAsia="Century Gothic" w:cs="Century Gothic"/>
          <w:color w:val="000000"/>
        </w:rPr>
        <w:t>northeastern</w:t>
      </w:r>
      <w:proofErr w:type="spellEnd"/>
      <w:r w:rsidRPr="00C17F20">
        <w:rPr>
          <w:rFonts w:eastAsia="Century Gothic" w:cs="Century Gothic"/>
          <w:color w:val="000000"/>
        </w:rPr>
        <w:t xml:space="preserve"> United States. Ecological Applications 23, 515–522. https://doi.org/10.1890/12-0180.1</w:t>
      </w:r>
    </w:p>
    <w:p w14:paraId="000002F5"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FAO, 2021. Historical Timber Product Export Prices. UNECE FAO.</w:t>
      </w:r>
    </w:p>
    <w:p w14:paraId="000002F6"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Faustmann</w:t>
      </w:r>
      <w:proofErr w:type="spellEnd"/>
      <w:r w:rsidRPr="00C17F20">
        <w:rPr>
          <w:rFonts w:eastAsia="Century Gothic" w:cs="Century Gothic"/>
          <w:color w:val="000000"/>
        </w:rPr>
        <w:t xml:space="preserve">, M. 1849. Calculation of the Value Which Forest Land and Immature Stands Possess for Forestry. Allgemeine </w:t>
      </w:r>
      <w:proofErr w:type="spellStart"/>
      <w:r w:rsidRPr="00C17F20">
        <w:rPr>
          <w:rFonts w:eastAsia="Century Gothic" w:cs="Century Gothic"/>
          <w:color w:val="000000"/>
        </w:rPr>
        <w:t>Forstund</w:t>
      </w:r>
      <w:proofErr w:type="spellEnd"/>
      <w:r w:rsidRPr="00C17F20">
        <w:rPr>
          <w:rFonts w:eastAsia="Century Gothic" w:cs="Century Gothic"/>
          <w:color w:val="000000"/>
        </w:rPr>
        <w:t xml:space="preserve"> </w:t>
      </w:r>
      <w:proofErr w:type="spellStart"/>
      <w:r w:rsidRPr="00C17F20">
        <w:rPr>
          <w:rFonts w:eastAsia="Century Gothic" w:cs="Century Gothic"/>
          <w:color w:val="000000"/>
        </w:rPr>
        <w:t>Jagdzeitung</w:t>
      </w:r>
      <w:proofErr w:type="spellEnd"/>
      <w:r w:rsidRPr="00C17F20">
        <w:rPr>
          <w:rFonts w:eastAsia="Century Gothic" w:cs="Century Gothic"/>
          <w:color w:val="000000"/>
        </w:rPr>
        <w:t>, 15:441-55.</w:t>
      </w:r>
    </w:p>
    <w:p w14:paraId="000002F7"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Gray, A. N., Brandeis, T. J., Shaw, J. D., McWilliams, W. H., &amp; Miles, P. 2012. Forest inventory and analysis database of the United States of America (FIA). In: </w:t>
      </w:r>
      <w:proofErr w:type="spellStart"/>
      <w:r w:rsidRPr="00C17F20">
        <w:rPr>
          <w:rFonts w:eastAsia="Century Gothic" w:cs="Century Gothic"/>
          <w:color w:val="000000"/>
        </w:rPr>
        <w:t>Dengler</w:t>
      </w:r>
      <w:proofErr w:type="spellEnd"/>
      <w:r w:rsidRPr="00C17F20">
        <w:rPr>
          <w:rFonts w:eastAsia="Century Gothic" w:cs="Century Gothic"/>
          <w:color w:val="000000"/>
        </w:rPr>
        <w:t xml:space="preserve">, J.; </w:t>
      </w:r>
      <w:proofErr w:type="spellStart"/>
      <w:r w:rsidRPr="00C17F20">
        <w:rPr>
          <w:rFonts w:eastAsia="Century Gothic" w:cs="Century Gothic"/>
          <w:color w:val="000000"/>
        </w:rPr>
        <w:t>Oldeland</w:t>
      </w:r>
      <w:proofErr w:type="spellEnd"/>
      <w:r w:rsidRPr="00C17F20">
        <w:rPr>
          <w:rFonts w:eastAsia="Century Gothic" w:cs="Century Gothic"/>
          <w:color w:val="000000"/>
        </w:rPr>
        <w:t xml:space="preserve">, J.; Jansen, F.; </w:t>
      </w:r>
      <w:proofErr w:type="spellStart"/>
      <w:r w:rsidRPr="00C17F20">
        <w:rPr>
          <w:rFonts w:eastAsia="Century Gothic" w:cs="Century Gothic"/>
          <w:color w:val="000000"/>
        </w:rPr>
        <w:t>Chytry</w:t>
      </w:r>
      <w:proofErr w:type="spellEnd"/>
      <w:r w:rsidRPr="00C17F20">
        <w:rPr>
          <w:rFonts w:eastAsia="Century Gothic" w:cs="Century Gothic"/>
          <w:color w:val="000000"/>
        </w:rPr>
        <w:t xml:space="preserve">, M.; Ewald, J., </w:t>
      </w:r>
      <w:proofErr w:type="spellStart"/>
      <w:r w:rsidRPr="00C17F20">
        <w:rPr>
          <w:rFonts w:eastAsia="Century Gothic" w:cs="Century Gothic"/>
          <w:color w:val="000000"/>
        </w:rPr>
        <w:t>Finckh</w:t>
      </w:r>
      <w:proofErr w:type="spellEnd"/>
      <w:r w:rsidRPr="00C17F20">
        <w:rPr>
          <w:rFonts w:eastAsia="Century Gothic" w:cs="Century Gothic"/>
          <w:color w:val="000000"/>
        </w:rPr>
        <w:t xml:space="preserve">, M.; </w:t>
      </w:r>
      <w:proofErr w:type="spellStart"/>
      <w:r w:rsidRPr="00C17F20">
        <w:rPr>
          <w:rFonts w:eastAsia="Century Gothic" w:cs="Century Gothic"/>
          <w:color w:val="000000"/>
        </w:rPr>
        <w:t>Glockler</w:t>
      </w:r>
      <w:proofErr w:type="spellEnd"/>
      <w:r w:rsidRPr="00C17F20">
        <w:rPr>
          <w:rFonts w:eastAsia="Century Gothic" w:cs="Century Gothic"/>
          <w:color w:val="000000"/>
        </w:rPr>
        <w:t xml:space="preserve">, F.; Lopez-Gonzalez, G.; Peet, RK; </w:t>
      </w:r>
      <w:proofErr w:type="spellStart"/>
      <w:r w:rsidRPr="00C17F20">
        <w:rPr>
          <w:rFonts w:eastAsia="Century Gothic" w:cs="Century Gothic"/>
          <w:color w:val="000000"/>
        </w:rPr>
        <w:t>Schaminee</w:t>
      </w:r>
      <w:proofErr w:type="spellEnd"/>
      <w:r w:rsidRPr="00C17F20">
        <w:rPr>
          <w:rFonts w:eastAsia="Century Gothic" w:cs="Century Gothic"/>
          <w:color w:val="000000"/>
        </w:rPr>
        <w:t>, J. HJ, eds. Vegetation databases for the 21st century. Biodiversity and Ecology. 4: 225-231., 225-231.</w:t>
      </w:r>
    </w:p>
    <w:p w14:paraId="000002F8"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Hiraishi</w:t>
      </w:r>
      <w:proofErr w:type="spellEnd"/>
      <w:r w:rsidRPr="00C17F20">
        <w:rPr>
          <w:rFonts w:eastAsia="Century Gothic" w:cs="Century Gothic"/>
          <w:color w:val="000000"/>
        </w:rPr>
        <w:t xml:space="preserve">, Taka, </w:t>
      </w:r>
      <w:proofErr w:type="spellStart"/>
      <w:r w:rsidRPr="00C17F20">
        <w:rPr>
          <w:rFonts w:eastAsia="Century Gothic" w:cs="Century Gothic"/>
          <w:color w:val="000000"/>
        </w:rPr>
        <w:t>Buruhani</w:t>
      </w:r>
      <w:proofErr w:type="spellEnd"/>
      <w:r w:rsidRPr="00C17F20">
        <w:rPr>
          <w:rFonts w:eastAsia="Century Gothic" w:cs="Century Gothic"/>
          <w:color w:val="000000"/>
        </w:rPr>
        <w:t xml:space="preserve"> </w:t>
      </w:r>
      <w:proofErr w:type="spellStart"/>
      <w:r w:rsidRPr="00C17F20">
        <w:rPr>
          <w:rFonts w:eastAsia="Century Gothic" w:cs="Century Gothic"/>
          <w:color w:val="000000"/>
        </w:rPr>
        <w:t>Nyenzi</w:t>
      </w:r>
      <w:proofErr w:type="spellEnd"/>
      <w:r w:rsidRPr="00C17F20">
        <w:rPr>
          <w:rFonts w:eastAsia="Century Gothic" w:cs="Century Gothic"/>
          <w:color w:val="000000"/>
        </w:rPr>
        <w:t xml:space="preserve">, Ian </w:t>
      </w:r>
      <w:proofErr w:type="spellStart"/>
      <w:r w:rsidRPr="00C17F20">
        <w:rPr>
          <w:rFonts w:eastAsia="Century Gothic" w:cs="Century Gothic"/>
          <w:color w:val="000000"/>
        </w:rPr>
        <w:t>Galbally</w:t>
      </w:r>
      <w:proofErr w:type="spellEnd"/>
      <w:r w:rsidRPr="00C17F20">
        <w:rPr>
          <w:rFonts w:eastAsia="Century Gothic" w:cs="Century Gothic"/>
          <w:color w:val="000000"/>
        </w:rPr>
        <w:t xml:space="preserve">, et al. “Annex 1 - CONCEPTUAL BASIS FOR UNCERTAINTY ANALYSIS.” IPCC Good Practice Guidance and Uncertainty Management in National Greenhouse Gas Inventories, edited by Richard </w:t>
      </w:r>
      <w:proofErr w:type="spellStart"/>
      <w:r w:rsidRPr="00C17F20">
        <w:rPr>
          <w:rFonts w:eastAsia="Century Gothic" w:cs="Century Gothic"/>
          <w:color w:val="000000"/>
        </w:rPr>
        <w:t>Odingo</w:t>
      </w:r>
      <w:proofErr w:type="spellEnd"/>
      <w:r w:rsidRPr="00C17F20">
        <w:rPr>
          <w:rFonts w:eastAsia="Century Gothic" w:cs="Century Gothic"/>
          <w:color w:val="000000"/>
        </w:rPr>
        <w:t>, IPCC, 2000, p. 22.</w:t>
      </w:r>
    </w:p>
    <w:p w14:paraId="000002F9"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lastRenderedPageBreak/>
        <w:t>Hiraishi</w:t>
      </w:r>
      <w:proofErr w:type="spellEnd"/>
      <w:r w:rsidRPr="00C17F20">
        <w:rPr>
          <w:rFonts w:eastAsia="Century Gothic" w:cs="Century Gothic"/>
          <w:color w:val="000000"/>
        </w:rPr>
        <w:t xml:space="preserve">, Taka, </w:t>
      </w:r>
      <w:proofErr w:type="spellStart"/>
      <w:r w:rsidRPr="00C17F20">
        <w:rPr>
          <w:rFonts w:eastAsia="Century Gothic" w:cs="Century Gothic"/>
          <w:color w:val="000000"/>
        </w:rPr>
        <w:t>Buruhani</w:t>
      </w:r>
      <w:proofErr w:type="spellEnd"/>
      <w:r w:rsidRPr="00C17F20">
        <w:rPr>
          <w:rFonts w:eastAsia="Century Gothic" w:cs="Century Gothic"/>
          <w:color w:val="000000"/>
        </w:rPr>
        <w:t xml:space="preserve"> </w:t>
      </w:r>
      <w:proofErr w:type="spellStart"/>
      <w:r w:rsidRPr="00C17F20">
        <w:rPr>
          <w:rFonts w:eastAsia="Century Gothic" w:cs="Century Gothic"/>
          <w:color w:val="000000"/>
        </w:rPr>
        <w:t>Nyenzi</w:t>
      </w:r>
      <w:proofErr w:type="spellEnd"/>
      <w:r w:rsidRPr="00C17F20">
        <w:rPr>
          <w:rFonts w:eastAsia="Century Gothic" w:cs="Century Gothic"/>
          <w:color w:val="000000"/>
        </w:rPr>
        <w:t xml:space="preserve">, Jim Penman, et al. “Chapter 6 - QUANTIFYING UNCERTAINTIES IN PRACTICE.” IPCC Good Practice Guidance and Uncertainty Management in National Greenhouse Gas Inventories, edited by Richard </w:t>
      </w:r>
      <w:proofErr w:type="spellStart"/>
      <w:r w:rsidRPr="00C17F20">
        <w:rPr>
          <w:rFonts w:eastAsia="Century Gothic" w:cs="Century Gothic"/>
          <w:color w:val="000000"/>
        </w:rPr>
        <w:t>Odingo</w:t>
      </w:r>
      <w:proofErr w:type="spellEnd"/>
      <w:r w:rsidRPr="00C17F20">
        <w:rPr>
          <w:rFonts w:eastAsia="Century Gothic" w:cs="Century Gothic"/>
          <w:color w:val="000000"/>
        </w:rPr>
        <w:t>, IPCC, 2000, p. 22.</w:t>
      </w:r>
    </w:p>
    <w:p w14:paraId="000002FA"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Luppold</w:t>
      </w:r>
      <w:proofErr w:type="spellEnd"/>
      <w:r w:rsidRPr="00C17F20">
        <w:rPr>
          <w:rFonts w:eastAsia="Century Gothic" w:cs="Century Gothic"/>
          <w:color w:val="000000"/>
        </w:rPr>
        <w:t>, W., Bumgardner, M.S., 2018. TIMBER HARVESTING PATTERNS FOR MAJOR STATES IN THE CENTRAL, NORTHERN, AND MID-ATLANTIC HARDWOOD REGIONS. W&amp;FS 50, 143–153. https://doi.org/10.22382/wfs-2018-016</w:t>
      </w:r>
    </w:p>
    <w:p w14:paraId="000002FB"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McMahon, G., </w:t>
      </w:r>
      <w:proofErr w:type="spellStart"/>
      <w:r w:rsidRPr="00C17F20">
        <w:rPr>
          <w:rFonts w:eastAsia="Century Gothic" w:cs="Century Gothic"/>
          <w:color w:val="000000"/>
        </w:rPr>
        <w:t>Gregonis</w:t>
      </w:r>
      <w:proofErr w:type="spellEnd"/>
      <w:r w:rsidRPr="00C17F20">
        <w:rPr>
          <w:rFonts w:eastAsia="Century Gothic" w:cs="Century Gothic"/>
          <w:color w:val="000000"/>
        </w:rPr>
        <w:t xml:space="preserve">, S.M., Waltman, S.W., </w:t>
      </w:r>
      <w:proofErr w:type="spellStart"/>
      <w:r w:rsidRPr="00C17F20">
        <w:rPr>
          <w:rFonts w:eastAsia="Century Gothic" w:cs="Century Gothic"/>
          <w:color w:val="000000"/>
        </w:rPr>
        <w:t>Omernik</w:t>
      </w:r>
      <w:proofErr w:type="spellEnd"/>
      <w:r w:rsidRPr="00C17F20">
        <w:rPr>
          <w:rFonts w:eastAsia="Century Gothic" w:cs="Century Gothic"/>
          <w:color w:val="000000"/>
        </w:rPr>
        <w:t xml:space="preserve">, J.M., Thorson, T.D., </w:t>
      </w:r>
      <w:proofErr w:type="spellStart"/>
      <w:r w:rsidRPr="00C17F20">
        <w:rPr>
          <w:rFonts w:eastAsia="Century Gothic" w:cs="Century Gothic"/>
          <w:color w:val="000000"/>
        </w:rPr>
        <w:t>Freeouf</w:t>
      </w:r>
      <w:proofErr w:type="spellEnd"/>
      <w:r w:rsidRPr="00C17F20">
        <w:rPr>
          <w:rFonts w:eastAsia="Century Gothic" w:cs="Century Gothic"/>
          <w:color w:val="000000"/>
        </w:rPr>
        <w:t xml:space="preserve">, J.A., </w:t>
      </w:r>
      <w:proofErr w:type="spellStart"/>
      <w:r w:rsidRPr="00C17F20">
        <w:rPr>
          <w:rFonts w:eastAsia="Century Gothic" w:cs="Century Gothic"/>
          <w:color w:val="000000"/>
        </w:rPr>
        <w:t>Rorick</w:t>
      </w:r>
      <w:proofErr w:type="spellEnd"/>
      <w:r w:rsidRPr="00C17F20">
        <w:rPr>
          <w:rFonts w:eastAsia="Century Gothic" w:cs="Century Gothic"/>
          <w:color w:val="000000"/>
        </w:rPr>
        <w:t>, A.H. and Keys, J.E., 2001. Developing a spatial framework of common ecological regions for the conterminous United States. Environmental Management, 28(3), pp.293-316.</w:t>
      </w:r>
    </w:p>
    <w:p w14:paraId="000002FC"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Milauskas</w:t>
      </w:r>
      <w:proofErr w:type="spellEnd"/>
      <w:r w:rsidRPr="00C17F20">
        <w:rPr>
          <w:rFonts w:eastAsia="Century Gothic" w:cs="Century Gothic"/>
          <w:color w:val="000000"/>
        </w:rPr>
        <w:t>, S.J., Wang, J., 2006. West Virginia logger characteristics. Forest Products Journal 56, 6.</w:t>
      </w:r>
    </w:p>
    <w:p w14:paraId="000002FD" w14:textId="2D71AB2D"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OpenStreetMap contributors. North America OSM Data Extract. </w:t>
      </w:r>
      <w:proofErr w:type="spellStart"/>
      <w:r w:rsidRPr="00C17F20">
        <w:rPr>
          <w:rFonts w:eastAsia="Century Gothic" w:cs="Century Gothic"/>
          <w:color w:val="000000"/>
        </w:rPr>
        <w:t>Geofabrik</w:t>
      </w:r>
      <w:proofErr w:type="spellEnd"/>
      <w:r w:rsidRPr="00C17F20">
        <w:rPr>
          <w:rFonts w:eastAsia="Century Gothic" w:cs="Century Gothic"/>
          <w:color w:val="000000"/>
        </w:rPr>
        <w:t xml:space="preserve"> GmbH, Aug. 2021, </w:t>
      </w:r>
      <w:hyperlink r:id="rId23">
        <w:r w:rsidRPr="00C17F20">
          <w:rPr>
            <w:rFonts w:eastAsia="Century Gothic" w:cs="Century Gothic"/>
            <w:color w:val="000000"/>
            <w:u w:val="single"/>
          </w:rPr>
          <w:t>https://www.openstreetmap.org</w:t>
        </w:r>
      </w:hyperlink>
      <w:r w:rsidRPr="00C17F20">
        <w:rPr>
          <w:rFonts w:eastAsia="Century Gothic" w:cs="Century Gothic"/>
          <w:color w:val="000000"/>
        </w:rPr>
        <w:t>.</w:t>
      </w:r>
    </w:p>
    <w:p w14:paraId="000002FE" w14:textId="7CC0A101"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lang w:val="es-MX"/>
        </w:rPr>
        <w:t xml:space="preserve">Ospina, R., Ferrari, S.L.P., 2010. </w:t>
      </w:r>
      <w:r w:rsidRPr="00C17F20">
        <w:rPr>
          <w:rFonts w:eastAsia="Century Gothic" w:cs="Century Gothic"/>
          <w:color w:val="000000"/>
        </w:rPr>
        <w:t xml:space="preserve">Inflated Beta Distributions. Stat Papers 51, 111–126. </w:t>
      </w:r>
      <w:hyperlink r:id="rId24">
        <w:r w:rsidRPr="00C17F20">
          <w:rPr>
            <w:rFonts w:eastAsia="Century Gothic" w:cs="Century Gothic"/>
            <w:color w:val="1155CC"/>
            <w:u w:val="single"/>
          </w:rPr>
          <w:t>https://doi.org/10.1007/s00362-008-0125-4</w:t>
        </w:r>
      </w:hyperlink>
    </w:p>
    <w:p w14:paraId="000002FF" w14:textId="77777777" w:rsidR="00471C28" w:rsidRPr="00C17F20" w:rsidRDefault="00CF15C9" w:rsidP="00C17F20">
      <w:pPr>
        <w:pBdr>
          <w:top w:val="nil"/>
          <w:left w:val="nil"/>
          <w:bottom w:val="nil"/>
          <w:right w:val="nil"/>
          <w:between w:val="nil"/>
        </w:pBdr>
        <w:spacing w:before="60" w:after="120"/>
        <w:ind w:left="360"/>
        <w:rPr>
          <w:rFonts w:eastAsia="Century Gothic" w:cs="Century Gothic"/>
        </w:rPr>
      </w:pPr>
      <w:r w:rsidRPr="00C17F20">
        <w:rPr>
          <w:rFonts w:eastAsia="Century Gothic" w:cs="Century Gothic"/>
        </w:rPr>
        <w:t xml:space="preserve">Pokharel, R. and </w:t>
      </w:r>
      <w:proofErr w:type="spellStart"/>
      <w:r w:rsidRPr="00C17F20">
        <w:rPr>
          <w:rFonts w:eastAsia="Century Gothic" w:cs="Century Gothic"/>
        </w:rPr>
        <w:t>Latta</w:t>
      </w:r>
      <w:proofErr w:type="spellEnd"/>
      <w:r w:rsidRPr="00C17F20">
        <w:rPr>
          <w:rFonts w:eastAsia="Century Gothic" w:cs="Century Gothic"/>
        </w:rPr>
        <w:t>, G.S., 2020. A network analysis to identify forest merchantability limitations across the United States. Forest Policy and Economics, 116, p.102181</w:t>
      </w:r>
    </w:p>
    <w:p w14:paraId="00000300"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Polyakov, M., Wear, D.N., Huggett, R.N., 2010. Harvest Choice and Timber Supply Models for Forest Forecasting. Forest Science 56, 344–355.</w:t>
      </w:r>
    </w:p>
    <w:p w14:paraId="00000301"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Prestemon</w:t>
      </w:r>
      <w:proofErr w:type="spellEnd"/>
      <w:r w:rsidRPr="00C17F20">
        <w:rPr>
          <w:rFonts w:eastAsia="Century Gothic" w:cs="Century Gothic"/>
          <w:color w:val="000000"/>
        </w:rPr>
        <w:t>, J.P. and Wear, D.N., 2000. Linking harvest choices to timber supply. Forest Science, 46(3), pp.377-389.</w:t>
      </w:r>
    </w:p>
    <w:p w14:paraId="00000302"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Pugh, Scott A.; Turner, Jeffery A.; Burrill, Elizabeth A.; David, Winnie. 2018. The Forest Inventory and Analysis Database: population estimation user guide (Edition: </w:t>
      </w:r>
      <w:proofErr w:type="gramStart"/>
      <w:r w:rsidRPr="00C17F20">
        <w:rPr>
          <w:rFonts w:eastAsia="Century Gothic" w:cs="Century Gothic"/>
          <w:color w:val="000000"/>
        </w:rPr>
        <w:t>November,</w:t>
      </w:r>
      <w:proofErr w:type="gramEnd"/>
      <w:r w:rsidRPr="00C17F20">
        <w:rPr>
          <w:rFonts w:eastAsia="Century Gothic" w:cs="Century Gothic"/>
          <w:color w:val="000000"/>
        </w:rPr>
        <w:t xml:space="preserve"> 2018). U.S. Department of Agriculture, Forest Service. 166 p. [Online]. Available at web address:</w:t>
      </w:r>
    </w:p>
    <w:p w14:paraId="00000303"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http://www.fia.fs.fed.us/library/database-documentation/</w:t>
      </w:r>
    </w:p>
    <w:p w14:paraId="00000304"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lang w:val="es-MX"/>
        </w:rPr>
        <w:t xml:space="preserve">Roesch, F.A., Van Deusen, P.C., 2012. </w:t>
      </w:r>
      <w:r w:rsidRPr="00C17F20">
        <w:rPr>
          <w:rFonts w:eastAsia="Century Gothic" w:cs="Century Gothic"/>
          <w:color w:val="000000"/>
        </w:rPr>
        <w:t>Monitoring forest/non-forest land use conversion rates with annual inventory data. Forestry 85, 391–398. https://doi.org/10.1093/forestry/cps037</w:t>
      </w:r>
    </w:p>
    <w:p w14:paraId="00000305"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Sass, E.M., Butler, B.J. and </w:t>
      </w:r>
      <w:proofErr w:type="spellStart"/>
      <w:r w:rsidRPr="00C17F20">
        <w:rPr>
          <w:rFonts w:eastAsia="Century Gothic" w:cs="Century Gothic"/>
          <w:color w:val="000000"/>
        </w:rPr>
        <w:t>Markowski</w:t>
      </w:r>
      <w:proofErr w:type="spellEnd"/>
      <w:r w:rsidRPr="00C17F20">
        <w:rPr>
          <w:rFonts w:eastAsia="Century Gothic" w:cs="Century Gothic"/>
          <w:color w:val="000000"/>
        </w:rPr>
        <w:t>-Lindsay, M., 2020. Distribution of forest ownerships across the conterminous United States, 2017. Res. Map NRS-11. Madison, WI: US Department of Agriculture, Forest Service, Northern Research Station, 11.</w:t>
      </w:r>
    </w:p>
    <w:p w14:paraId="00000306"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Stanke</w:t>
      </w:r>
      <w:proofErr w:type="spellEnd"/>
      <w:r w:rsidRPr="00C17F20">
        <w:rPr>
          <w:rFonts w:eastAsia="Century Gothic" w:cs="Century Gothic"/>
          <w:color w:val="000000"/>
        </w:rPr>
        <w:t xml:space="preserve">, H., Finley, A.O., Weed, A.S., Walters, B.F., </w:t>
      </w:r>
      <w:proofErr w:type="spellStart"/>
      <w:r w:rsidRPr="00C17F20">
        <w:rPr>
          <w:rFonts w:eastAsia="Century Gothic" w:cs="Century Gothic"/>
          <w:color w:val="000000"/>
        </w:rPr>
        <w:t>Domke</w:t>
      </w:r>
      <w:proofErr w:type="spellEnd"/>
      <w:r w:rsidRPr="00C17F20">
        <w:rPr>
          <w:rFonts w:eastAsia="Century Gothic" w:cs="Century Gothic"/>
          <w:color w:val="000000"/>
        </w:rPr>
        <w:t xml:space="preserve">, G.M., 2020. </w:t>
      </w:r>
      <w:proofErr w:type="spellStart"/>
      <w:r w:rsidRPr="00C17F20">
        <w:rPr>
          <w:rFonts w:eastAsia="Century Gothic" w:cs="Century Gothic"/>
          <w:color w:val="000000"/>
        </w:rPr>
        <w:t>rFIA</w:t>
      </w:r>
      <w:proofErr w:type="spellEnd"/>
      <w:r w:rsidRPr="00C17F20">
        <w:rPr>
          <w:rFonts w:eastAsia="Century Gothic" w:cs="Century Gothic"/>
          <w:color w:val="000000"/>
        </w:rPr>
        <w:t>: An R package for estimation of forest attributes with the US Forest Inventory and Analysis database. Environmental Modelling &amp; Software 127, 104664. https://doi.org/10.1016/j.envsoft.2020.104664</w:t>
      </w:r>
    </w:p>
    <w:p w14:paraId="00000307"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proofErr w:type="spellStart"/>
      <w:r w:rsidRPr="00C17F20">
        <w:rPr>
          <w:rFonts w:eastAsia="Century Gothic" w:cs="Century Gothic"/>
          <w:color w:val="000000"/>
        </w:rPr>
        <w:t>Stanke</w:t>
      </w:r>
      <w:proofErr w:type="spellEnd"/>
      <w:r w:rsidRPr="00C17F20">
        <w:rPr>
          <w:rFonts w:eastAsia="Century Gothic" w:cs="Century Gothic"/>
          <w:color w:val="000000"/>
        </w:rPr>
        <w:t xml:space="preserve">, H., Finley, A. O., &amp; </w:t>
      </w:r>
      <w:proofErr w:type="spellStart"/>
      <w:r w:rsidRPr="00C17F20">
        <w:rPr>
          <w:rFonts w:eastAsia="Century Gothic" w:cs="Century Gothic"/>
          <w:color w:val="000000"/>
        </w:rPr>
        <w:t>Domke</w:t>
      </w:r>
      <w:proofErr w:type="spellEnd"/>
      <w:r w:rsidRPr="00C17F20">
        <w:rPr>
          <w:rFonts w:eastAsia="Century Gothic" w:cs="Century Gothic"/>
          <w:color w:val="000000"/>
        </w:rPr>
        <w:t xml:space="preserve">, G. M. 2021. Simplifying small area estimation with </w:t>
      </w:r>
      <w:proofErr w:type="spellStart"/>
      <w:r w:rsidRPr="00C17F20">
        <w:rPr>
          <w:rFonts w:eastAsia="Century Gothic" w:cs="Century Gothic"/>
          <w:color w:val="000000"/>
        </w:rPr>
        <w:t>rFIA</w:t>
      </w:r>
      <w:proofErr w:type="spellEnd"/>
      <w:r w:rsidRPr="00C17F20">
        <w:rPr>
          <w:rFonts w:eastAsia="Century Gothic" w:cs="Century Gothic"/>
          <w:color w:val="000000"/>
        </w:rPr>
        <w:t xml:space="preserve">: a demonstration of tools and techniques. </w:t>
      </w:r>
      <w:proofErr w:type="spellStart"/>
      <w:r w:rsidRPr="00C17F20">
        <w:rPr>
          <w:rFonts w:eastAsia="Century Gothic" w:cs="Century Gothic"/>
          <w:color w:val="000000"/>
        </w:rPr>
        <w:t>arXiv</w:t>
      </w:r>
      <w:proofErr w:type="spellEnd"/>
      <w:r w:rsidRPr="00C17F20">
        <w:rPr>
          <w:rFonts w:eastAsia="Century Gothic" w:cs="Century Gothic"/>
          <w:color w:val="000000"/>
        </w:rPr>
        <w:t xml:space="preserve"> preprint arXiv:2109.03863.</w:t>
      </w:r>
    </w:p>
    <w:p w14:paraId="00000308"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lastRenderedPageBreak/>
        <w:t xml:space="preserve">Thompson, J.R., </w:t>
      </w:r>
      <w:proofErr w:type="spellStart"/>
      <w:r w:rsidRPr="00C17F20">
        <w:rPr>
          <w:rFonts w:eastAsia="Century Gothic" w:cs="Century Gothic"/>
          <w:color w:val="000000"/>
        </w:rPr>
        <w:t>Canham</w:t>
      </w:r>
      <w:proofErr w:type="spellEnd"/>
      <w:r w:rsidRPr="00C17F20">
        <w:rPr>
          <w:rFonts w:eastAsia="Century Gothic" w:cs="Century Gothic"/>
          <w:color w:val="000000"/>
        </w:rPr>
        <w:t xml:space="preserve">, C.D., </w:t>
      </w:r>
      <w:proofErr w:type="spellStart"/>
      <w:r w:rsidRPr="00C17F20">
        <w:rPr>
          <w:rFonts w:eastAsia="Century Gothic" w:cs="Century Gothic"/>
          <w:color w:val="000000"/>
        </w:rPr>
        <w:t>Morreale</w:t>
      </w:r>
      <w:proofErr w:type="spellEnd"/>
      <w:r w:rsidRPr="00C17F20">
        <w:rPr>
          <w:rFonts w:eastAsia="Century Gothic" w:cs="Century Gothic"/>
          <w:color w:val="000000"/>
        </w:rPr>
        <w:t>, L., Kittredge, D.B. and Butler, B., 2017. Social and biophysical variation in regional timber harvest regimes. Ecological Applications, 27(3), pp.942-955.</w:t>
      </w:r>
    </w:p>
    <w:p w14:paraId="00000309"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US Bureau of </w:t>
      </w:r>
      <w:proofErr w:type="spellStart"/>
      <w:r w:rsidRPr="00C17F20">
        <w:rPr>
          <w:rFonts w:eastAsia="Century Gothic" w:cs="Century Gothic"/>
          <w:color w:val="000000"/>
        </w:rPr>
        <w:t>Labor</w:t>
      </w:r>
      <w:proofErr w:type="spellEnd"/>
      <w:r w:rsidRPr="00C17F20">
        <w:rPr>
          <w:rFonts w:eastAsia="Century Gothic" w:cs="Century Gothic"/>
          <w:color w:val="000000"/>
        </w:rPr>
        <w:t xml:space="preserve"> Statistics, 2021. PPI Commodity data for Lumber and wood products-Logs, bolts, timber, </w:t>
      </w:r>
      <w:proofErr w:type="gramStart"/>
      <w:r w:rsidRPr="00C17F20">
        <w:rPr>
          <w:rFonts w:eastAsia="Century Gothic" w:cs="Century Gothic"/>
          <w:color w:val="000000"/>
        </w:rPr>
        <w:t>pulpwood</w:t>
      </w:r>
      <w:proofErr w:type="gramEnd"/>
      <w:r w:rsidRPr="00C17F20">
        <w:rPr>
          <w:rFonts w:eastAsia="Century Gothic" w:cs="Century Gothic"/>
          <w:color w:val="000000"/>
        </w:rPr>
        <w:t xml:space="preserve"> and wood chips, not seasonally adjusted (No. WPU085). United States Department of </w:t>
      </w:r>
      <w:proofErr w:type="spellStart"/>
      <w:r w:rsidRPr="00C17F20">
        <w:rPr>
          <w:rFonts w:eastAsia="Century Gothic" w:cs="Century Gothic"/>
          <w:color w:val="000000"/>
        </w:rPr>
        <w:t>Labor</w:t>
      </w:r>
      <w:proofErr w:type="spellEnd"/>
      <w:r w:rsidRPr="00C17F20">
        <w:rPr>
          <w:rFonts w:eastAsia="Century Gothic" w:cs="Century Gothic"/>
          <w:color w:val="000000"/>
        </w:rPr>
        <w:t>.</w:t>
      </w:r>
    </w:p>
    <w:p w14:paraId="0000030A" w14:textId="04EDA465"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U.S. Geological Survey (USGS) Gap Analysis Project (GAP), 2021, Protected Areas Database of the United States (PAD-US) 2.1 Summary Statistics by GAP Status Code: U.S. Geological Survey data release, </w:t>
      </w:r>
      <w:hyperlink r:id="rId25">
        <w:r w:rsidRPr="00C17F20">
          <w:rPr>
            <w:rFonts w:eastAsia="Century Gothic" w:cs="Century Gothic"/>
            <w:color w:val="000000"/>
            <w:u w:val="single"/>
          </w:rPr>
          <w:t>https://doi.org/10.5066/P9KJLB3Q</w:t>
        </w:r>
      </w:hyperlink>
      <w:r w:rsidRPr="00C17F20">
        <w:rPr>
          <w:rFonts w:eastAsia="Century Gothic" w:cs="Century Gothic"/>
          <w:color w:val="000000"/>
        </w:rPr>
        <w:t>.</w:t>
      </w:r>
    </w:p>
    <w:p w14:paraId="0000030B" w14:textId="77777777" w:rsidR="00471C28" w:rsidRPr="00C17F20" w:rsidRDefault="00CF15C9" w:rsidP="00C17F20">
      <w:pPr>
        <w:pBdr>
          <w:top w:val="nil"/>
          <w:left w:val="nil"/>
          <w:bottom w:val="nil"/>
          <w:right w:val="nil"/>
          <w:between w:val="nil"/>
        </w:pBdr>
        <w:spacing w:before="60" w:after="120"/>
        <w:ind w:left="360"/>
        <w:rPr>
          <w:rFonts w:eastAsia="Century Gothic" w:cs="Century Gothic"/>
          <w:color w:val="000000"/>
        </w:rPr>
      </w:pPr>
      <w:r w:rsidRPr="00C17F20">
        <w:rPr>
          <w:rFonts w:eastAsia="Century Gothic" w:cs="Century Gothic"/>
          <w:color w:val="000000"/>
        </w:rPr>
        <w:t xml:space="preserve">Woodall, C.W., Heath, L.S., </w:t>
      </w:r>
      <w:proofErr w:type="spellStart"/>
      <w:r w:rsidRPr="00C17F20">
        <w:rPr>
          <w:rFonts w:eastAsia="Century Gothic" w:cs="Century Gothic"/>
          <w:color w:val="000000"/>
        </w:rPr>
        <w:t>Domke</w:t>
      </w:r>
      <w:proofErr w:type="spellEnd"/>
      <w:r w:rsidRPr="00C17F20">
        <w:rPr>
          <w:rFonts w:eastAsia="Century Gothic" w:cs="Century Gothic"/>
          <w:color w:val="000000"/>
        </w:rPr>
        <w:t>, G.M. and Nichols, M.C., 2011. Methods and equations for estimating aboveground volume, biomass, and carbon for trees in the US forest inventory, 2010.</w:t>
      </w:r>
    </w:p>
    <w:p w14:paraId="0000030C" w14:textId="045221F7" w:rsidR="00471C28" w:rsidRDefault="00CF15C9" w:rsidP="00C17F20">
      <w:pPr>
        <w:pBdr>
          <w:top w:val="nil"/>
          <w:left w:val="nil"/>
          <w:bottom w:val="nil"/>
          <w:right w:val="nil"/>
          <w:between w:val="nil"/>
        </w:pBdr>
        <w:spacing w:before="60" w:after="120"/>
        <w:ind w:left="360"/>
        <w:rPr>
          <w:rFonts w:ascii="Century Gothic" w:eastAsia="Century Gothic" w:hAnsi="Century Gothic" w:cs="Century Gothic"/>
          <w:color w:val="000000"/>
        </w:rPr>
      </w:pPr>
      <w:r w:rsidRPr="00C17F20">
        <w:rPr>
          <w:rFonts w:eastAsia="Century Gothic" w:cs="Century Gothic"/>
          <w:color w:val="000000"/>
        </w:rPr>
        <w:t xml:space="preserve">Zhang, D., Sun, X., Butler, B.J. and </w:t>
      </w:r>
      <w:proofErr w:type="spellStart"/>
      <w:r w:rsidRPr="00C17F20">
        <w:rPr>
          <w:rFonts w:eastAsia="Century Gothic" w:cs="Century Gothic"/>
          <w:color w:val="000000"/>
        </w:rPr>
        <w:t>Prestemon</w:t>
      </w:r>
      <w:proofErr w:type="spellEnd"/>
      <w:r w:rsidRPr="00C17F20">
        <w:rPr>
          <w:rFonts w:eastAsia="Century Gothic" w:cs="Century Gothic"/>
          <w:color w:val="000000"/>
        </w:rPr>
        <w:t xml:space="preserve">, J.P., 2015. Harvesting choices and timber supply among landowners in the Southern United States. Canadian Journal of Agricultural Economics/Revue </w:t>
      </w:r>
      <w:proofErr w:type="spellStart"/>
      <w:r w:rsidRPr="00C17F20">
        <w:rPr>
          <w:rFonts w:eastAsia="Century Gothic" w:cs="Century Gothic"/>
          <w:color w:val="000000"/>
        </w:rPr>
        <w:t>canadienne</w:t>
      </w:r>
      <w:proofErr w:type="spellEnd"/>
      <w:r w:rsidRPr="00C17F20">
        <w:rPr>
          <w:rFonts w:eastAsia="Century Gothic" w:cs="Century Gothic"/>
          <w:color w:val="000000"/>
        </w:rPr>
        <w:t xml:space="preserve"> </w:t>
      </w:r>
      <w:proofErr w:type="spellStart"/>
      <w:r w:rsidRPr="00C17F20">
        <w:rPr>
          <w:rFonts w:eastAsia="Century Gothic" w:cs="Century Gothic"/>
          <w:color w:val="000000"/>
        </w:rPr>
        <w:t>d'agroeconomie</w:t>
      </w:r>
      <w:proofErr w:type="spellEnd"/>
      <w:r w:rsidRPr="00C17F20">
        <w:rPr>
          <w:rFonts w:eastAsia="Century Gothic" w:cs="Century Gothic"/>
          <w:color w:val="000000"/>
        </w:rPr>
        <w:t>, 63(3), pp.409-429</w:t>
      </w:r>
      <w:r>
        <w:rPr>
          <w:rFonts w:ascii="Century Gothic" w:eastAsia="Century Gothic" w:hAnsi="Century Gothic" w:cs="Century Gothic"/>
          <w:color w:val="000000"/>
        </w:rPr>
        <w:t>.</w:t>
      </w:r>
    </w:p>
    <w:p w14:paraId="5DEDAE36" w14:textId="77777777" w:rsidR="00D670F6" w:rsidRDefault="00D670F6" w:rsidP="00271926">
      <w:pPr>
        <w:pBdr>
          <w:top w:val="nil"/>
          <w:left w:val="nil"/>
          <w:bottom w:val="nil"/>
          <w:right w:val="nil"/>
          <w:between w:val="nil"/>
        </w:pBdr>
        <w:spacing w:before="60" w:after="120"/>
        <w:ind w:left="720"/>
        <w:rPr>
          <w:rFonts w:ascii="Century Gothic" w:eastAsia="Century Gothic" w:hAnsi="Century Gothic" w:cs="Century Gothic"/>
          <w:color w:val="000000"/>
        </w:rPr>
      </w:pPr>
    </w:p>
    <w:p w14:paraId="0000035D" w14:textId="39C5324F" w:rsidR="00471C28" w:rsidRDefault="00CF15C9" w:rsidP="00C17F20">
      <w:pPr>
        <w:pStyle w:val="Heading1"/>
      </w:pPr>
      <w:bookmarkStart w:id="59" w:name="_Toc97556460"/>
      <w:bookmarkStart w:id="60" w:name="_Toc97556461"/>
      <w:bookmarkStart w:id="61" w:name="_Toc97556462"/>
      <w:bookmarkStart w:id="62" w:name="_Toc97556463"/>
      <w:bookmarkStart w:id="63" w:name="_Toc97556464"/>
      <w:bookmarkStart w:id="64" w:name="_Toc97556465"/>
      <w:bookmarkStart w:id="65" w:name="_Toc97556466"/>
      <w:bookmarkStart w:id="66" w:name="_Toc97556467"/>
      <w:bookmarkStart w:id="67" w:name="_Toc97556468"/>
      <w:bookmarkStart w:id="68" w:name="_Toc97556469"/>
      <w:bookmarkStart w:id="69" w:name="_Toc97556470"/>
      <w:bookmarkStart w:id="70" w:name="_Toc97556471"/>
      <w:bookmarkStart w:id="71" w:name="_Toc97556472"/>
      <w:bookmarkStart w:id="72" w:name="_Toc97556473"/>
      <w:bookmarkStart w:id="73" w:name="_Toc97556474"/>
      <w:bookmarkStart w:id="74" w:name="_Toc97556475"/>
      <w:bookmarkStart w:id="75" w:name="_Toc97556476"/>
      <w:bookmarkStart w:id="76" w:name="_Toc97556477"/>
      <w:bookmarkStart w:id="77" w:name="_Toc97556478"/>
      <w:bookmarkStart w:id="78" w:name="_heading=h.3mzq4wv" w:colFirst="0" w:colLast="0"/>
      <w:bookmarkStart w:id="79" w:name="_Toc97556479"/>
      <w:bookmarkStart w:id="80" w:name="_Toc97556480"/>
      <w:bookmarkStart w:id="81" w:name="_Toc97556481"/>
      <w:bookmarkStart w:id="82" w:name="_Toc97556482"/>
      <w:bookmarkStart w:id="83" w:name="_Toc97556483"/>
      <w:bookmarkStart w:id="84" w:name="_Toc97556484"/>
      <w:bookmarkStart w:id="85" w:name="_Toc97556485"/>
      <w:bookmarkStart w:id="86" w:name="_Toc97556486"/>
      <w:bookmarkStart w:id="87" w:name="_Toc97556487"/>
      <w:bookmarkStart w:id="88" w:name="_Toc97556488"/>
      <w:bookmarkStart w:id="89" w:name="_Toc97556489"/>
      <w:bookmarkStart w:id="90" w:name="_Toc97556490"/>
      <w:bookmarkStart w:id="91" w:name="_Toc97556491"/>
      <w:bookmarkStart w:id="92" w:name="_Toc97556492"/>
      <w:bookmarkStart w:id="93" w:name="_Toc97556493"/>
      <w:bookmarkStart w:id="94" w:name="_Toc97556494"/>
      <w:bookmarkStart w:id="95" w:name="_Toc97556495"/>
      <w:bookmarkStart w:id="96" w:name="_Toc97556496"/>
      <w:bookmarkStart w:id="97" w:name="_Toc97556497"/>
      <w:bookmarkStart w:id="98" w:name="_Toc97556498"/>
      <w:bookmarkStart w:id="99" w:name="_Toc97556499"/>
      <w:bookmarkStart w:id="100" w:name="_Toc97556500"/>
      <w:bookmarkStart w:id="101" w:name="_Toc97556501"/>
      <w:bookmarkStart w:id="102" w:name="_Toc97556502"/>
      <w:bookmarkStart w:id="103" w:name="_Toc97556503"/>
      <w:bookmarkStart w:id="104" w:name="_Toc97556504"/>
      <w:bookmarkStart w:id="105" w:name="_Toc97556505"/>
      <w:bookmarkStart w:id="106" w:name="_Toc97556506"/>
      <w:bookmarkStart w:id="107" w:name="_Toc97556511"/>
      <w:bookmarkStart w:id="108" w:name="_Toc97556528"/>
      <w:bookmarkStart w:id="109" w:name="_Toc9832230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t xml:space="preserve">Appendix </w:t>
      </w:r>
      <w:r w:rsidR="00D670F6">
        <w:t>B</w:t>
      </w:r>
      <w:r>
        <w:t xml:space="preserve">: </w:t>
      </w:r>
      <w:r w:rsidRPr="00C17F20">
        <w:t>Baseline</w:t>
      </w:r>
      <w:r>
        <w:t xml:space="preserve"> Model Fitting Dataset Compilation</w:t>
      </w:r>
      <w:bookmarkEnd w:id="109"/>
    </w:p>
    <w:p w14:paraId="0000035E" w14:textId="77777777" w:rsidR="00471C28" w:rsidRDefault="00CF15C9" w:rsidP="00C17F20">
      <w:pPr>
        <w:pStyle w:val="Heading2"/>
      </w:pPr>
      <w:bookmarkStart w:id="110" w:name="_Toc98322304"/>
      <w:r>
        <w:t>Baseline Model Training and Validation Dataset</w:t>
      </w:r>
      <w:bookmarkEnd w:id="110"/>
    </w:p>
    <w:p w14:paraId="0000035F" w14:textId="77777777" w:rsidR="00471C28" w:rsidRPr="00C17F20" w:rsidRDefault="00CF15C9">
      <w:pPr>
        <w:spacing w:before="60" w:after="120"/>
        <w:ind w:left="720"/>
        <w:rPr>
          <w:rFonts w:eastAsia="Century Gothic" w:cs="Century Gothic"/>
        </w:rPr>
      </w:pPr>
      <w:r w:rsidRPr="00C17F20">
        <w:rPr>
          <w:rFonts w:eastAsia="Century Gothic" w:cs="Century Gothic"/>
        </w:rPr>
        <w:t>A model-based approach to setting a dynamic baseline requires a standardized dataset for model training and validation to ensure equitable performance across projects and project proponents. National forest inventories (</w:t>
      </w:r>
      <w:proofErr w:type="gramStart"/>
      <w:r w:rsidRPr="00C17F20">
        <w:rPr>
          <w:rFonts w:eastAsia="Century Gothic" w:cs="Century Gothic"/>
        </w:rPr>
        <w:t>e.g.</w:t>
      </w:r>
      <w:proofErr w:type="gramEnd"/>
      <w:r w:rsidRPr="00C17F20">
        <w:rPr>
          <w:rFonts w:eastAsia="Century Gothic" w:cs="Century Gothic"/>
        </w:rPr>
        <w:t xml:space="preserve"> the USFS Forest Inventory and Analysis program) provide a standardized, authoritative sources of data that cover the large geographic extents, making them well-suited to serve as baseline data for training and validation. This data selection and transformation protocol serves to create a single standardized dataset from a national forest inventory and external covariate data. Section 13.2 describes how to select NFI plots and delineate stands and section 13.3 describes procedures for adding additional information beyond the data recorded by the NFI.</w:t>
      </w:r>
    </w:p>
    <w:p w14:paraId="00000360" w14:textId="77777777" w:rsidR="00471C28" w:rsidRPr="00C17F20" w:rsidRDefault="00CF15C9">
      <w:pPr>
        <w:spacing w:before="60" w:after="120"/>
        <w:ind w:left="720"/>
        <w:rPr>
          <w:rFonts w:eastAsia="Century Gothic" w:cs="Century Gothic"/>
        </w:rPr>
      </w:pPr>
      <w:r w:rsidRPr="00C17F20">
        <w:rPr>
          <w:rFonts w:eastAsia="Century Gothic" w:cs="Century Gothic"/>
        </w:rPr>
        <w:t>Any deviation from the dataset compilation procedures described herein should be explicitly listed as a variance from the methodology during VVB review.</w:t>
      </w:r>
    </w:p>
    <w:p w14:paraId="00000361" w14:textId="77777777" w:rsidR="00471C28" w:rsidRDefault="00CF15C9" w:rsidP="00203C46">
      <w:pPr>
        <w:pStyle w:val="Heading2"/>
      </w:pPr>
      <w:bookmarkStart w:id="111" w:name="_Toc98322305"/>
      <w:r>
        <w:t xml:space="preserve">National Forest </w:t>
      </w:r>
      <w:r w:rsidRPr="00203C46">
        <w:t>Inventory</w:t>
      </w:r>
      <w:r>
        <w:t xml:space="preserve"> Data</w:t>
      </w:r>
      <w:bookmarkEnd w:id="111"/>
    </w:p>
    <w:p w14:paraId="00000362"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Plot Selection</w:t>
      </w:r>
    </w:p>
    <w:p w14:paraId="00000363" w14:textId="23190B37" w:rsidR="00471C28" w:rsidRPr="00C17F20" w:rsidRDefault="00CF15C9">
      <w:pPr>
        <w:spacing w:before="60" w:after="120"/>
        <w:ind w:left="720"/>
        <w:rPr>
          <w:rFonts w:eastAsia="Century Gothic" w:cs="Century Gothic"/>
        </w:rPr>
      </w:pPr>
      <w:r w:rsidRPr="00C17F20">
        <w:rPr>
          <w:rFonts w:eastAsia="Century Gothic" w:cs="Century Gothic"/>
        </w:rPr>
        <w:lastRenderedPageBreak/>
        <w:t xml:space="preserve">It is not necessary to include all available NFI plots, though a large enough sample of NFI plots must be selected to comprise a dataset capable of producing statistically robust estimation of baseline carbon at risk. </w:t>
      </w:r>
      <w:r w:rsidR="00196A1F" w:rsidRPr="00C17F20">
        <w:rPr>
          <w:rFonts w:eastAsia="Century Gothic" w:cs="Century Gothic"/>
        </w:rPr>
        <w:t>P</w:t>
      </w:r>
      <w:r w:rsidRPr="00C17F20">
        <w:rPr>
          <w:rFonts w:eastAsia="Century Gothic" w:cs="Century Gothic"/>
        </w:rPr>
        <w:t xml:space="preserve">roject proponents are </w:t>
      </w:r>
      <w:r w:rsidR="00196A1F" w:rsidRPr="00C17F20">
        <w:rPr>
          <w:rFonts w:eastAsia="Century Gothic" w:cs="Century Gothic"/>
        </w:rPr>
        <w:t>encouraged</w:t>
      </w:r>
      <w:r w:rsidRPr="00C17F20">
        <w:rPr>
          <w:rFonts w:eastAsia="Century Gothic" w:cs="Century Gothic"/>
        </w:rPr>
        <w:t xml:space="preserve"> to select a large sample of NFI plots that are geographically and ecologically </w:t>
      </w:r>
      <w:proofErr w:type="gramStart"/>
      <w:r w:rsidRPr="00C17F20">
        <w:rPr>
          <w:rFonts w:eastAsia="Century Gothic" w:cs="Century Gothic"/>
        </w:rPr>
        <w:t>similar to</w:t>
      </w:r>
      <w:proofErr w:type="gramEnd"/>
      <w:r w:rsidRPr="00C17F20">
        <w:rPr>
          <w:rFonts w:eastAsia="Century Gothic" w:cs="Century Gothic"/>
        </w:rPr>
        <w:t xml:space="preserve"> the project area. For NFIs with periodic remeasurement on plot locations only remeasured plot pairs should be used. If between remeasurement periods plot conditions relevant to the project have changed those plots must be excluded. Relevant conditions include all covariates and grouping factors chosen for the project baseline model (SECTION 6). Plots may be selected only if the data were collected under the most recent protocol under which paired plots are available within an NFI. Only plots representing forested land should be selected. </w:t>
      </w:r>
    </w:p>
    <w:p w14:paraId="00000364"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Encoding Harvested Conditions</w:t>
      </w:r>
    </w:p>
    <w:p w14:paraId="00000365" w14:textId="77777777" w:rsidR="00471C28" w:rsidRPr="00203C46" w:rsidRDefault="00CF15C9">
      <w:pPr>
        <w:spacing w:before="60" w:after="120"/>
        <w:ind w:left="720"/>
        <w:rPr>
          <w:rFonts w:eastAsia="Century Gothic" w:cs="Century Gothic"/>
        </w:rPr>
      </w:pPr>
      <w:r w:rsidRPr="00203C46">
        <w:rPr>
          <w:rFonts w:eastAsia="Century Gothic" w:cs="Century Gothic"/>
        </w:rPr>
        <w:t>Harvested conditions are defined as the removal of at least one tree for commercial or non-commercial use or for land clearing (Thompson et al, 2017). Encoded harvest conditions should have an associated harvest date. This date can come from NFI data if recorded at time of inventory, or from other harvest records when available.</w:t>
      </w:r>
    </w:p>
    <w:p w14:paraId="00000366"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Delineating Contiguous Forest Conditions</w:t>
      </w:r>
    </w:p>
    <w:p w14:paraId="00000367" w14:textId="77777777" w:rsidR="00471C28" w:rsidRPr="00203C46" w:rsidRDefault="00CF15C9">
      <w:pPr>
        <w:spacing w:before="60" w:after="120"/>
        <w:ind w:left="720"/>
        <w:rPr>
          <w:rFonts w:eastAsia="Century Gothic" w:cs="Century Gothic"/>
        </w:rPr>
      </w:pPr>
      <w:r w:rsidRPr="00203C46">
        <w:rPr>
          <w:rFonts w:eastAsia="Century Gothic" w:cs="Century Gothic"/>
        </w:rPr>
        <w:t xml:space="preserve">Contiguous forest conditions, analogous to on-the-ground forest stands, are delineated within an NFI plot using the covariates and grouping factors chosen for the project baseline model (Section 6). When sub-plot–level information about these factors is available, multiple forest stands may be defined on each NFI plot and used as separate observations in the baseline scenario model(s). Stand conditions for areas encoded as harvested (C.2.2) are delineated using pre-harvest conditions (i.e., a harvested state should not be the only factor used to define a separate stand). If sub-plot–level information is not available, the entire plot should be considered a single stand. Summary of conditions for any baseline model input (e.g., stand volume, stand value, forest type, etc.) should occur at the level of these delineated forest stands. </w:t>
      </w:r>
    </w:p>
    <w:p w14:paraId="00000368" w14:textId="77777777" w:rsidR="00471C28" w:rsidRDefault="00CF15C9" w:rsidP="00203C46">
      <w:pPr>
        <w:pStyle w:val="Heading2"/>
      </w:pPr>
      <w:bookmarkStart w:id="112" w:name="_Toc98322306"/>
      <w:r w:rsidRPr="00203C46">
        <w:t>Covariate</w:t>
      </w:r>
      <w:r>
        <w:t xml:space="preserve"> Data</w:t>
      </w:r>
      <w:bookmarkEnd w:id="112"/>
    </w:p>
    <w:p w14:paraId="00000369"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Linking Spatial Data to NFI Data</w:t>
      </w:r>
    </w:p>
    <w:p w14:paraId="0000036A" w14:textId="77777777" w:rsidR="00471C28" w:rsidRPr="00203C46" w:rsidRDefault="00CF15C9">
      <w:pPr>
        <w:spacing w:before="60" w:after="120"/>
        <w:ind w:left="720"/>
        <w:rPr>
          <w:rFonts w:eastAsia="Century Gothic" w:cs="Century Gothic"/>
        </w:rPr>
      </w:pPr>
      <w:r w:rsidRPr="00203C46">
        <w:rPr>
          <w:rFonts w:eastAsia="Century Gothic" w:cs="Century Gothic"/>
        </w:rPr>
        <w:t xml:space="preserve">NFI plot locations are often kept confidential, making direct spatial joins with covariate data not possible. Rasterized spatial data should have a local </w:t>
      </w:r>
      <w:proofErr w:type="spellStart"/>
      <w:r w:rsidRPr="00203C46">
        <w:rPr>
          <w:rFonts w:eastAsia="Century Gothic" w:cs="Century Gothic"/>
        </w:rPr>
        <w:t>neighborhood</w:t>
      </w:r>
      <w:proofErr w:type="spellEnd"/>
      <w:r w:rsidRPr="00203C46">
        <w:rPr>
          <w:rFonts w:eastAsia="Century Gothic" w:cs="Century Gothic"/>
        </w:rPr>
        <w:t xml:space="preserve"> smoothing that matches that of published imprecise coordinates (</w:t>
      </w:r>
      <w:proofErr w:type="gramStart"/>
      <w:r w:rsidRPr="00203C46">
        <w:rPr>
          <w:rFonts w:eastAsia="Century Gothic" w:cs="Century Gothic"/>
        </w:rPr>
        <w:t>e.g.</w:t>
      </w:r>
      <w:proofErr w:type="gramEnd"/>
      <w:r w:rsidRPr="00203C46">
        <w:rPr>
          <w:rFonts w:eastAsia="Century Gothic" w:cs="Century Gothic"/>
        </w:rPr>
        <w:t xml:space="preserve"> for USFS FIA a resolution or smooth of 1km would capture 95% of true plot locations (Gray et al, 2012)). Covariate data reported as points should be rasterized as above. Covariate data reported as polygons should be at a scale that ensures exact matching between NFI plot location and polygons (</w:t>
      </w:r>
      <w:proofErr w:type="gramStart"/>
      <w:r w:rsidRPr="00203C46">
        <w:rPr>
          <w:rFonts w:eastAsia="Century Gothic" w:cs="Century Gothic"/>
        </w:rPr>
        <w:t>e.g.</w:t>
      </w:r>
      <w:proofErr w:type="gramEnd"/>
      <w:r w:rsidRPr="00203C46">
        <w:rPr>
          <w:rFonts w:eastAsia="Century Gothic" w:cs="Century Gothic"/>
        </w:rPr>
        <w:t xml:space="preserve"> for USFS FIA data plot locations are accurate at the county polygon level). Examples of external covariate datasets can be found in Section 6 and Appendix A: Baseline Common practice harvest model.</w:t>
      </w:r>
    </w:p>
    <w:p w14:paraId="0000036B"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lastRenderedPageBreak/>
        <w:t>Temporal and Spatial Data Filling</w:t>
      </w:r>
    </w:p>
    <w:p w14:paraId="0000036C" w14:textId="77777777" w:rsidR="00471C28" w:rsidRPr="00203C46" w:rsidRDefault="00CF15C9">
      <w:pPr>
        <w:spacing w:before="60" w:after="120"/>
        <w:ind w:left="720"/>
        <w:rPr>
          <w:rFonts w:eastAsia="Century Gothic" w:cs="Century Gothic"/>
        </w:rPr>
      </w:pPr>
      <w:r w:rsidRPr="00203C46">
        <w:rPr>
          <w:rFonts w:eastAsia="Century Gothic" w:cs="Century Gothic"/>
        </w:rPr>
        <w:t xml:space="preserve">Covariate datasets may not be concurrent with NFI data collection or may be spatially incomplete. Data can be filled using the temporally or geographically closest available data. More advanced data-filling is also permitted and could include distance-weighted approaches (temporal/geographic), published index adjustment (temporal, </w:t>
      </w:r>
      <w:proofErr w:type="gramStart"/>
      <w:r w:rsidRPr="00203C46">
        <w:rPr>
          <w:rFonts w:eastAsia="Century Gothic" w:cs="Century Gothic"/>
        </w:rPr>
        <w:t>e.g.</w:t>
      </w:r>
      <w:proofErr w:type="gramEnd"/>
      <w:r w:rsidRPr="00203C46">
        <w:rPr>
          <w:rFonts w:eastAsia="Century Gothic" w:cs="Century Gothic"/>
        </w:rPr>
        <w:t xml:space="preserve"> adjust timber prices based on producer’s price input), or model-based using additional covariates (temporal/geographic).</w:t>
      </w:r>
    </w:p>
    <w:p w14:paraId="0000036D"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Localization of Values</w:t>
      </w:r>
    </w:p>
    <w:p w14:paraId="0000036E" w14:textId="77777777" w:rsidR="00471C28" w:rsidRPr="00203C46" w:rsidRDefault="00CF15C9">
      <w:pPr>
        <w:spacing w:before="60" w:after="120"/>
        <w:ind w:left="720"/>
        <w:rPr>
          <w:rFonts w:eastAsia="Century Gothic" w:cs="Century Gothic"/>
        </w:rPr>
      </w:pPr>
      <w:r w:rsidRPr="00203C46">
        <w:rPr>
          <w:rFonts w:eastAsia="Century Gothic" w:cs="Century Gothic"/>
        </w:rPr>
        <w:t>Some potential covariates described in Section 6 and Appendix A can be expected to vary substantially across geographic or ecological ranges (e.g., stand volume and value per acre). Within projects that span large geographic or ecological ranges such values can be normalized to allow for a single baseline model. Normalization regions must be geographically or ecologically meaningful, approximating bounds where similar values can be expected for a given covariate.</w:t>
      </w:r>
    </w:p>
    <w:p w14:paraId="0000036F" w14:textId="77777777" w:rsidR="00471C28" w:rsidRDefault="00CF15C9">
      <w:pPr>
        <w:numPr>
          <w:ilvl w:val="1"/>
          <w:numId w:val="17"/>
        </w:numPr>
        <w:pBdr>
          <w:top w:val="nil"/>
          <w:left w:val="nil"/>
          <w:bottom w:val="nil"/>
          <w:right w:val="nil"/>
          <w:between w:val="nil"/>
        </w:pBdr>
        <w:spacing w:before="60" w:after="120"/>
        <w:rPr>
          <w:rFonts w:ascii="Century Gothic" w:eastAsia="Century Gothic" w:hAnsi="Century Gothic" w:cs="Century Gothic"/>
          <w:b/>
          <w:color w:val="000000"/>
        </w:rPr>
      </w:pPr>
      <w:r>
        <w:rPr>
          <w:rFonts w:ascii="Century Gothic" w:eastAsia="Century Gothic" w:hAnsi="Century Gothic" w:cs="Century Gothic"/>
          <w:b/>
          <w:color w:val="000000"/>
        </w:rPr>
        <w:t>Probable Harvest Thresholds</w:t>
      </w:r>
    </w:p>
    <w:p w14:paraId="00000370" w14:textId="77777777" w:rsidR="00471C28" w:rsidRPr="00203C46" w:rsidRDefault="00CF15C9">
      <w:pPr>
        <w:spacing w:before="60" w:after="120"/>
        <w:ind w:left="720"/>
        <w:rPr>
          <w:rFonts w:eastAsia="Century Gothic" w:cs="Century Gothic"/>
        </w:rPr>
      </w:pPr>
      <w:r w:rsidRPr="00203C46">
        <w:rPr>
          <w:rFonts w:eastAsia="Century Gothic" w:cs="Century Gothic"/>
        </w:rPr>
        <w:t xml:space="preserve">Under certain conditions commercial timber harvest is practically or legally prohibited (e.g., extremely low timber value or volume, legally restrictive conservation easements). As a conservative measure to retain additionality stands meeting these criteria can be assigned a baseline harvest probability of zero regardless of other risk potential. </w:t>
      </w:r>
    </w:p>
    <w:p w14:paraId="00000371" w14:textId="77777777" w:rsidR="00471C28" w:rsidRDefault="00CF15C9" w:rsidP="00203C46">
      <w:pPr>
        <w:pStyle w:val="Heading2"/>
      </w:pPr>
      <w:bookmarkStart w:id="113" w:name="_Toc98322307"/>
      <w:r w:rsidRPr="00203C46">
        <w:t>References</w:t>
      </w:r>
      <w:bookmarkEnd w:id="113"/>
    </w:p>
    <w:p w14:paraId="00000372" w14:textId="77777777" w:rsidR="00471C28" w:rsidRPr="00203C46" w:rsidRDefault="00CF15C9" w:rsidP="00203C46">
      <w:pPr>
        <w:pBdr>
          <w:top w:val="nil"/>
          <w:left w:val="nil"/>
          <w:bottom w:val="nil"/>
          <w:right w:val="nil"/>
          <w:between w:val="nil"/>
        </w:pBdr>
        <w:spacing w:before="60" w:after="120" w:line="288" w:lineRule="auto"/>
        <w:ind w:left="450"/>
        <w:rPr>
          <w:rFonts w:eastAsia="Century Gothic" w:cs="Century Gothic"/>
          <w:color w:val="000000"/>
        </w:rPr>
      </w:pPr>
      <w:r w:rsidRPr="00203C46">
        <w:rPr>
          <w:rFonts w:eastAsia="Century Gothic" w:cs="Century Gothic"/>
          <w:color w:val="000000"/>
        </w:rPr>
        <w:t>Gray, Andrew N., et al. Forest Inventory and Analysis Database of the United States of America (FIA). 2012, p. 8.</w:t>
      </w:r>
    </w:p>
    <w:p w14:paraId="67DDC095" w14:textId="312DADFF" w:rsidR="00D670F6" w:rsidRPr="00203C46" w:rsidRDefault="00CF15C9" w:rsidP="00203C46">
      <w:pPr>
        <w:pBdr>
          <w:top w:val="nil"/>
          <w:left w:val="nil"/>
          <w:bottom w:val="nil"/>
          <w:right w:val="nil"/>
          <w:between w:val="nil"/>
        </w:pBdr>
        <w:spacing w:before="60" w:after="120" w:line="288" w:lineRule="auto"/>
        <w:ind w:left="450"/>
        <w:rPr>
          <w:rFonts w:eastAsia="Century Gothic" w:cs="Century Gothic"/>
          <w:color w:val="000000"/>
        </w:rPr>
      </w:pPr>
      <w:r w:rsidRPr="00203C46">
        <w:rPr>
          <w:rFonts w:eastAsia="Century Gothic" w:cs="Century Gothic"/>
          <w:color w:val="000000"/>
        </w:rPr>
        <w:t>Thompson, Jonathan R., et al. “Social and Biophysical Variation in Regional Timber Harvest Regimes.” Ecological Applications, vol. 27, no. 3, Apr. 2017, pp. 942–55. DOI.org (</w:t>
      </w:r>
      <w:proofErr w:type="spellStart"/>
      <w:r w:rsidRPr="00203C46">
        <w:rPr>
          <w:rFonts w:eastAsia="Century Gothic" w:cs="Century Gothic"/>
          <w:color w:val="000000"/>
        </w:rPr>
        <w:t>Crossref</w:t>
      </w:r>
      <w:proofErr w:type="spellEnd"/>
      <w:r w:rsidRPr="00203C46">
        <w:rPr>
          <w:rFonts w:eastAsia="Century Gothic" w:cs="Century Gothic"/>
          <w:color w:val="000000"/>
        </w:rPr>
        <w:t xml:space="preserve">), </w:t>
      </w:r>
      <w:hyperlink r:id="rId26">
        <w:r w:rsidRPr="00203C46">
          <w:rPr>
            <w:rFonts w:eastAsia="Century Gothic" w:cs="Century Gothic"/>
            <w:color w:val="1155CC"/>
            <w:u w:val="single"/>
          </w:rPr>
          <w:t>https://doi.org/10.1002/eap.1497</w:t>
        </w:r>
      </w:hyperlink>
      <w:r w:rsidRPr="00203C46">
        <w:rPr>
          <w:rFonts w:eastAsia="Century Gothic" w:cs="Century Gothic"/>
          <w:color w:val="000000"/>
        </w:rPr>
        <w:t>.</w:t>
      </w:r>
    </w:p>
    <w:p w14:paraId="00000374" w14:textId="77777777" w:rsidR="00471C28" w:rsidRDefault="00471C28">
      <w:pPr>
        <w:spacing w:before="60" w:after="120"/>
        <w:rPr>
          <w:rFonts w:ascii="Century Gothic" w:eastAsia="Century Gothic" w:hAnsi="Century Gothic" w:cs="Century Gothic"/>
        </w:rPr>
      </w:pPr>
    </w:p>
    <w:p w14:paraId="00000375" w14:textId="12D0133A" w:rsidR="00471C28" w:rsidRDefault="00CF15C9" w:rsidP="00203C46">
      <w:pPr>
        <w:pStyle w:val="Heading1"/>
      </w:pPr>
      <w:bookmarkStart w:id="114" w:name="_Toc98322308"/>
      <w:r>
        <w:t xml:space="preserve">Appendix </w:t>
      </w:r>
      <w:r w:rsidR="0037329F">
        <w:t>C</w:t>
      </w:r>
      <w:r>
        <w:t xml:space="preserve">: </w:t>
      </w:r>
      <w:r w:rsidRPr="00203C46">
        <w:t>Validation</w:t>
      </w:r>
      <w:r>
        <w:t xml:space="preserve"> and Verification Guidance</w:t>
      </w:r>
      <w:bookmarkEnd w:id="114"/>
    </w:p>
    <w:p w14:paraId="00000376" w14:textId="77777777" w:rsidR="00471C28" w:rsidRDefault="00CF15C9" w:rsidP="00203C46">
      <w:pPr>
        <w:pStyle w:val="Heading2"/>
      </w:pPr>
      <w:bookmarkStart w:id="115" w:name="_Toc98322309"/>
      <w:r w:rsidRPr="00203C46">
        <w:t>Validation</w:t>
      </w:r>
      <w:bookmarkEnd w:id="115"/>
    </w:p>
    <w:p w14:paraId="00000377" w14:textId="339F3301" w:rsidR="00471C28" w:rsidRPr="00203C46" w:rsidRDefault="00CF15C9">
      <w:pPr>
        <w:spacing w:before="60" w:after="120"/>
        <w:ind w:left="720"/>
        <w:rPr>
          <w:rFonts w:eastAsia="Century Gothic" w:cs="Century Gothic"/>
        </w:rPr>
      </w:pPr>
      <w:r w:rsidRPr="00203C46">
        <w:rPr>
          <w:rFonts w:eastAsia="Century Gothic" w:cs="Century Gothic"/>
        </w:rPr>
        <w:t xml:space="preserve">Noting all additional requirements per the VCS Standard, validation activities may be performed in combination with the first verification of a project. The scope of validation assessment includes a desk-based review of the project’s design in accordance with the requirements of </w:t>
      </w:r>
      <w:r w:rsidRPr="00203C46">
        <w:rPr>
          <w:rFonts w:eastAsia="Century Gothic" w:cs="Century Gothic"/>
        </w:rPr>
        <w:lastRenderedPageBreak/>
        <w:t xml:space="preserve">this methodology (assessed at the scale of a grouped project, as applicable). The </w:t>
      </w:r>
      <w:r w:rsidR="002F229A" w:rsidRPr="00203C46">
        <w:rPr>
          <w:rFonts w:eastAsia="Century Gothic" w:cs="Century Gothic"/>
        </w:rPr>
        <w:t>Validation and Verification Body (VVB)</w:t>
      </w:r>
      <w:r w:rsidRPr="00203C46">
        <w:rPr>
          <w:rFonts w:eastAsia="Century Gothic" w:cs="Century Gothic"/>
        </w:rPr>
        <w:t xml:space="preserve"> </w:t>
      </w:r>
      <w:r w:rsidR="00985E88" w:rsidRPr="00203C46">
        <w:rPr>
          <w:rFonts w:eastAsia="Century Gothic" w:cs="Century Gothic"/>
        </w:rPr>
        <w:t>may</w:t>
      </w:r>
      <w:r w:rsidRPr="00203C46">
        <w:rPr>
          <w:rFonts w:eastAsia="Century Gothic" w:cs="Century Gothic"/>
        </w:rPr>
        <w:t xml:space="preserve"> conduct site visits to </w:t>
      </w:r>
      <w:proofErr w:type="gramStart"/>
      <w:r w:rsidRPr="00203C46">
        <w:rPr>
          <w:rFonts w:eastAsia="Century Gothic" w:cs="Century Gothic"/>
        </w:rPr>
        <w:t xml:space="preserve">a </w:t>
      </w:r>
      <w:r w:rsidR="00AA6F99" w:rsidRPr="00203C46">
        <w:rPr>
          <w:rFonts w:eastAsia="Century Gothic" w:cs="Century Gothic"/>
        </w:rPr>
        <w:t xml:space="preserve"> </w:t>
      </w:r>
      <w:r w:rsidRPr="00203C46">
        <w:rPr>
          <w:rFonts w:eastAsia="Century Gothic" w:cs="Century Gothic"/>
        </w:rPr>
        <w:t>sample</w:t>
      </w:r>
      <w:proofErr w:type="gramEnd"/>
      <w:r w:rsidRPr="00203C46">
        <w:rPr>
          <w:rFonts w:eastAsia="Century Gothic" w:cs="Century Gothic"/>
        </w:rPr>
        <w:t xml:space="preserve"> of project instances selected through a risk-based sampling plan. Following the initial validation of a project, new instances may be added in subsequent activity periods. New instances </w:t>
      </w:r>
      <w:r w:rsidR="00DF368A" w:rsidRPr="00203C46">
        <w:rPr>
          <w:rFonts w:eastAsia="Century Gothic" w:cs="Century Gothic"/>
        </w:rPr>
        <w:t xml:space="preserve">may </w:t>
      </w:r>
      <w:r w:rsidRPr="00203C46">
        <w:rPr>
          <w:rFonts w:eastAsia="Century Gothic" w:cs="Century Gothic"/>
        </w:rPr>
        <w:t xml:space="preserve">be reviewed in subsequent activity periods and may be chosen for sampling per risk-based sampling conducted by the </w:t>
      </w:r>
      <w:r w:rsidR="002F229A" w:rsidRPr="00203C46">
        <w:rPr>
          <w:rFonts w:eastAsia="Century Gothic" w:cs="Century Gothic"/>
        </w:rPr>
        <w:t>VVB.</w:t>
      </w:r>
      <w:r w:rsidRPr="00203C46">
        <w:rPr>
          <w:rFonts w:eastAsia="Century Gothic" w:cs="Century Gothic"/>
        </w:rPr>
        <w:t xml:space="preserve"> </w:t>
      </w:r>
    </w:p>
    <w:p w14:paraId="00000378" w14:textId="77777777" w:rsidR="00471C28" w:rsidRPr="00203C46" w:rsidRDefault="00CF15C9">
      <w:pPr>
        <w:spacing w:before="60" w:after="120"/>
        <w:ind w:left="720"/>
        <w:rPr>
          <w:rFonts w:eastAsia="Century Gothic" w:cs="Century Gothic"/>
        </w:rPr>
      </w:pPr>
      <w:r w:rsidRPr="00203C46">
        <w:rPr>
          <w:rFonts w:eastAsia="Century Gothic" w:cs="Century Gothic"/>
        </w:rPr>
        <w:t xml:space="preserve">The desk-based validation must assess the project’s adherence to the methodology’s applicability requirements, the geographic and temporal boundaries of the project, the GHG SSRs included in the project boundaries, baseline selection including justification of the inputs to the project specific BAU model deployed in the selection of the baseline, methods and development of the forest inventory including QA/QC requirements, quantification methods, uncertainty assessments, and data collection and management systems. </w:t>
      </w:r>
    </w:p>
    <w:p w14:paraId="00000379" w14:textId="7A260B0D" w:rsidR="00471C28" w:rsidRPr="00203C46" w:rsidRDefault="00CF15C9">
      <w:pPr>
        <w:spacing w:before="60" w:after="120"/>
        <w:ind w:left="720"/>
        <w:rPr>
          <w:rFonts w:eastAsia="Century Gothic" w:cs="Century Gothic"/>
        </w:rPr>
      </w:pPr>
      <w:r w:rsidRPr="00203C46">
        <w:rPr>
          <w:rFonts w:eastAsia="Century Gothic" w:cs="Century Gothic"/>
        </w:rPr>
        <w:t xml:space="preserve">All instances included in an activity period are subject to potential sample selection by the </w:t>
      </w:r>
      <w:r w:rsidR="002F229A" w:rsidRPr="00203C46">
        <w:rPr>
          <w:rFonts w:eastAsia="Century Gothic" w:cs="Century Gothic"/>
        </w:rPr>
        <w:t>VVB</w:t>
      </w:r>
      <w:r w:rsidRPr="00203C46">
        <w:rPr>
          <w:rFonts w:eastAsia="Century Gothic" w:cs="Century Gothic"/>
        </w:rPr>
        <w:t xml:space="preserve"> inclusive of a site visit to the participating property. Where an instance is selected for validation site visit, the </w:t>
      </w:r>
      <w:r w:rsidR="002F229A" w:rsidRPr="00203C46">
        <w:rPr>
          <w:rFonts w:eastAsia="Century Gothic" w:cs="Century Gothic"/>
        </w:rPr>
        <w:t xml:space="preserve">VVB </w:t>
      </w:r>
      <w:r w:rsidRPr="00203C46">
        <w:rPr>
          <w:rFonts w:eastAsia="Century Gothic" w:cs="Century Gothic"/>
        </w:rPr>
        <w:t xml:space="preserve">may assess all or certain elements of the above project-level validation requirements at an instance level. </w:t>
      </w:r>
    </w:p>
    <w:p w14:paraId="0000037A" w14:textId="77777777" w:rsidR="00471C28" w:rsidRDefault="00CF15C9" w:rsidP="00203C46">
      <w:pPr>
        <w:pStyle w:val="Heading2"/>
      </w:pPr>
      <w:bookmarkStart w:id="116" w:name="_Toc98322310"/>
      <w:r w:rsidRPr="00203C46">
        <w:t>Verification</w:t>
      </w:r>
      <w:bookmarkEnd w:id="116"/>
    </w:p>
    <w:p w14:paraId="0000037B" w14:textId="2082EDBB" w:rsidR="00471C28" w:rsidRPr="00203C46" w:rsidRDefault="00CF15C9">
      <w:pPr>
        <w:spacing w:before="60" w:after="120"/>
        <w:ind w:left="720"/>
        <w:rPr>
          <w:rFonts w:eastAsia="Century Gothic" w:cs="Century Gothic"/>
        </w:rPr>
      </w:pPr>
      <w:r w:rsidRPr="00203C46">
        <w:rPr>
          <w:rFonts w:eastAsia="Century Gothic" w:cs="Century Gothic"/>
        </w:rPr>
        <w:t xml:space="preserve">After the completion of an activity period and prior to VCU issuance, verification of the project must be performed via desk review and site visit(s) selected by the </w:t>
      </w:r>
      <w:r w:rsidR="002F229A" w:rsidRPr="00203C46">
        <w:rPr>
          <w:rFonts w:eastAsia="Century Gothic" w:cs="Century Gothic"/>
        </w:rPr>
        <w:t>VVB</w:t>
      </w:r>
      <w:r w:rsidRPr="00203C46">
        <w:rPr>
          <w:rFonts w:eastAsia="Century Gothic" w:cs="Century Gothic"/>
        </w:rPr>
        <w:t xml:space="preserve"> based on risk-based sampling. </w:t>
      </w:r>
    </w:p>
    <w:p w14:paraId="0000037C" w14:textId="59E6EA16" w:rsidR="00471C28" w:rsidRPr="00203C46" w:rsidRDefault="00CF15C9">
      <w:pPr>
        <w:spacing w:before="60" w:after="120"/>
        <w:ind w:left="720"/>
        <w:rPr>
          <w:rFonts w:eastAsia="Century Gothic" w:cs="Century Gothic"/>
        </w:rPr>
      </w:pPr>
      <w:r w:rsidRPr="00203C46">
        <w:rPr>
          <w:rFonts w:eastAsia="Century Gothic" w:cs="Century Gothic"/>
        </w:rPr>
        <w:t xml:space="preserve">Verification </w:t>
      </w:r>
      <w:r w:rsidR="00DF368A" w:rsidRPr="00203C46">
        <w:rPr>
          <w:rFonts w:eastAsia="Century Gothic" w:cs="Century Gothic"/>
        </w:rPr>
        <w:t xml:space="preserve">may </w:t>
      </w:r>
      <w:r w:rsidRPr="00203C46">
        <w:rPr>
          <w:rFonts w:eastAsia="Century Gothic" w:cs="Century Gothic"/>
        </w:rPr>
        <w:t>be designed to assess, in the project context, the ongoing adherence to the methodology’s applicability requirements, the GHG SSRs included in the project boundaries, baseline selection including justification of the inputs to the project specific BAU model deployed in the selection of the baseline, methods and development of the forest inventory including QA/QC requirements and any updates/</w:t>
      </w:r>
      <w:proofErr w:type="spellStart"/>
      <w:r w:rsidRPr="00203C46">
        <w:rPr>
          <w:rFonts w:eastAsia="Century Gothic" w:cs="Century Gothic"/>
        </w:rPr>
        <w:t>remodeling</w:t>
      </w:r>
      <w:proofErr w:type="spellEnd"/>
      <w:r w:rsidRPr="00203C46">
        <w:rPr>
          <w:rFonts w:eastAsia="Century Gothic" w:cs="Century Gothic"/>
        </w:rPr>
        <w:t xml:space="preserve"> of the forest inventory, emission reduction calculations, uncertainty assessments, and data collection and management systems including any modification to these processes since the project’s validation.</w:t>
      </w:r>
    </w:p>
    <w:p w14:paraId="0000037D" w14:textId="6C982E05" w:rsidR="00471C28" w:rsidRPr="00203C46" w:rsidRDefault="00CF15C9">
      <w:pPr>
        <w:spacing w:before="60" w:after="120"/>
        <w:ind w:left="720"/>
        <w:rPr>
          <w:rFonts w:eastAsia="Century Gothic" w:cs="Century Gothic"/>
        </w:rPr>
      </w:pPr>
      <w:r w:rsidRPr="00203C46">
        <w:rPr>
          <w:rFonts w:eastAsia="Century Gothic" w:cs="Century Gothic"/>
        </w:rPr>
        <w:t xml:space="preserve">It is anticipated that projects utilizing this methodology will be structured, primarily, as grouped projects. </w:t>
      </w:r>
      <w:r w:rsidR="002F229A" w:rsidRPr="00203C46">
        <w:rPr>
          <w:rFonts w:eastAsia="Century Gothic" w:cs="Century Gothic"/>
        </w:rPr>
        <w:t xml:space="preserve">VVBs </w:t>
      </w:r>
      <w:r w:rsidR="00DF368A" w:rsidRPr="00203C46">
        <w:rPr>
          <w:rFonts w:eastAsia="Century Gothic" w:cs="Century Gothic"/>
        </w:rPr>
        <w:t xml:space="preserve">may </w:t>
      </w:r>
      <w:r w:rsidRPr="00203C46">
        <w:rPr>
          <w:rFonts w:eastAsia="Century Gothic" w:cs="Century Gothic"/>
        </w:rPr>
        <w:t xml:space="preserve">select a subset of instances for site visits during each verification. This selection </w:t>
      </w:r>
      <w:r w:rsidR="00DF368A" w:rsidRPr="00203C46">
        <w:rPr>
          <w:rFonts w:eastAsia="Century Gothic" w:cs="Century Gothic"/>
        </w:rPr>
        <w:t xml:space="preserve">may </w:t>
      </w:r>
      <w:r w:rsidRPr="00203C46">
        <w:rPr>
          <w:rFonts w:eastAsia="Century Gothic" w:cs="Century Gothic"/>
        </w:rPr>
        <w:t xml:space="preserve">be made based on a risk-based sample of instances included in an activity period with preference for the selection of instances within a subregion(s) of the program area that is representative of the project. The determination of an applicable subregion(s) from which to select site visit candidates is at the discretion of the </w:t>
      </w:r>
      <w:r w:rsidR="002F229A" w:rsidRPr="00203C46">
        <w:rPr>
          <w:rFonts w:eastAsia="Century Gothic" w:cs="Century Gothic"/>
        </w:rPr>
        <w:t>VVB.</w:t>
      </w:r>
      <w:r w:rsidRPr="00203C46">
        <w:rPr>
          <w:rFonts w:eastAsia="Century Gothic" w:cs="Century Gothic"/>
        </w:rPr>
        <w:t xml:space="preserve"> </w:t>
      </w:r>
    </w:p>
    <w:p w14:paraId="0000037E" w14:textId="6DC1C042" w:rsidR="00471C28" w:rsidRPr="00203C46" w:rsidRDefault="00CF15C9">
      <w:pPr>
        <w:spacing w:before="60" w:after="120"/>
        <w:ind w:left="720"/>
        <w:rPr>
          <w:rFonts w:eastAsia="Century Gothic" w:cs="Century Gothic"/>
        </w:rPr>
      </w:pPr>
      <w:r w:rsidRPr="00203C46">
        <w:rPr>
          <w:rFonts w:eastAsia="Century Gothic" w:cs="Century Gothic"/>
        </w:rPr>
        <w:t xml:space="preserve">As a component of the verification site visit(s), </w:t>
      </w:r>
      <w:r w:rsidR="002F229A" w:rsidRPr="00203C46">
        <w:rPr>
          <w:rFonts w:eastAsia="Century Gothic" w:cs="Century Gothic"/>
        </w:rPr>
        <w:t xml:space="preserve">VVBs </w:t>
      </w:r>
      <w:r w:rsidR="00DF368A" w:rsidRPr="00203C46">
        <w:rPr>
          <w:rFonts w:eastAsia="Century Gothic" w:cs="Century Gothic"/>
        </w:rPr>
        <w:t xml:space="preserve">may </w:t>
      </w:r>
      <w:r w:rsidRPr="00203C46">
        <w:rPr>
          <w:rFonts w:eastAsia="Century Gothic" w:cs="Century Gothic"/>
        </w:rPr>
        <w:t xml:space="preserve">resample carbon stocks at the instances chosen. This resampling </w:t>
      </w:r>
      <w:r w:rsidR="00DF368A" w:rsidRPr="00203C46">
        <w:rPr>
          <w:rFonts w:eastAsia="Century Gothic" w:cs="Century Gothic"/>
        </w:rPr>
        <w:t>should</w:t>
      </w:r>
      <w:r w:rsidRPr="00203C46">
        <w:rPr>
          <w:rFonts w:eastAsia="Century Gothic" w:cs="Century Gothic"/>
        </w:rPr>
        <w:t xml:space="preserve"> be conducted to ensure statistical agreement between the carbon stocks measured by the project proponent during the end of activity period (t1) forest inventory and the carbon stocks measured by the verifier. These measurements </w:t>
      </w:r>
      <w:r w:rsidR="00DF368A" w:rsidRPr="00203C46">
        <w:rPr>
          <w:rFonts w:eastAsia="Century Gothic" w:cs="Century Gothic"/>
        </w:rPr>
        <w:lastRenderedPageBreak/>
        <w:t xml:space="preserve">should </w:t>
      </w:r>
      <w:r w:rsidRPr="00203C46">
        <w:rPr>
          <w:rFonts w:eastAsia="Century Gothic" w:cs="Century Gothic"/>
        </w:rPr>
        <w:t>be paired (</w:t>
      </w:r>
      <w:r w:rsidR="00403AE6" w:rsidRPr="00203C46">
        <w:rPr>
          <w:rFonts w:eastAsia="Century Gothic" w:cs="Century Gothic"/>
        </w:rPr>
        <w:t>i.e.,</w:t>
      </w:r>
      <w:r w:rsidRPr="00203C46">
        <w:rPr>
          <w:rFonts w:eastAsia="Century Gothic" w:cs="Century Gothic"/>
        </w:rPr>
        <w:t xml:space="preserve"> verifiers shall remeasure t1 inventory project sample plots) and carbon stocks </w:t>
      </w:r>
      <w:r w:rsidR="00DF368A" w:rsidRPr="00203C46">
        <w:rPr>
          <w:rFonts w:eastAsia="Century Gothic" w:cs="Century Gothic"/>
        </w:rPr>
        <w:t xml:space="preserve">should </w:t>
      </w:r>
      <w:r w:rsidRPr="00203C46">
        <w:rPr>
          <w:rFonts w:eastAsia="Century Gothic" w:cs="Century Gothic"/>
        </w:rPr>
        <w:t xml:space="preserve">agree statistically at the 90% confidence interval using a t-test. </w:t>
      </w:r>
      <w:r w:rsidR="002F229A" w:rsidRPr="00203C46">
        <w:rPr>
          <w:rFonts w:eastAsia="Century Gothic" w:cs="Century Gothic"/>
        </w:rPr>
        <w:t xml:space="preserve">VVBs </w:t>
      </w:r>
      <w:r w:rsidR="00DF368A" w:rsidRPr="00203C46">
        <w:rPr>
          <w:rFonts w:eastAsia="Century Gothic" w:cs="Century Gothic"/>
        </w:rPr>
        <w:t xml:space="preserve">may </w:t>
      </w:r>
      <w:r w:rsidRPr="00203C46">
        <w:rPr>
          <w:rFonts w:eastAsia="Century Gothic" w:cs="Century Gothic"/>
        </w:rPr>
        <w:t xml:space="preserve">select a minimum of 2% of project sample plots for remeasurement during each verification and, for stratified inventories, </w:t>
      </w:r>
      <w:r w:rsidR="00DF368A" w:rsidRPr="00203C46">
        <w:rPr>
          <w:rFonts w:eastAsia="Century Gothic" w:cs="Century Gothic"/>
        </w:rPr>
        <w:t xml:space="preserve">may </w:t>
      </w:r>
      <w:r w:rsidRPr="00203C46">
        <w:rPr>
          <w:rFonts w:eastAsia="Century Gothic" w:cs="Century Gothic"/>
        </w:rPr>
        <w:t xml:space="preserve">include sample plots chosen from all strata identified. </w:t>
      </w:r>
      <w:r w:rsidR="00AA6F99" w:rsidRPr="00203C46">
        <w:rPr>
          <w:rFonts w:eastAsia="Century Gothic" w:cs="Century Gothic"/>
        </w:rPr>
        <w:t>These may be randomly selected or chosen based on VVB discretion and informed by further information including but not limited to size of holdings, contribution to overall project crediting, or remotely sensed information.</w:t>
      </w:r>
    </w:p>
    <w:p w14:paraId="0000037F" w14:textId="77777777" w:rsidR="00471C28" w:rsidRDefault="00471C28">
      <w:pPr>
        <w:spacing w:before="60" w:after="120"/>
        <w:rPr>
          <w:rFonts w:ascii="Century Gothic" w:eastAsia="Century Gothic" w:hAnsi="Century Gothic" w:cs="Century Gothic"/>
        </w:rPr>
      </w:pPr>
    </w:p>
    <w:p w14:paraId="00000380" w14:textId="77777777" w:rsidR="00471C28" w:rsidRDefault="00471C28">
      <w:pPr>
        <w:spacing w:before="60" w:after="120"/>
        <w:rPr>
          <w:rFonts w:ascii="Century Gothic" w:eastAsia="Century Gothic" w:hAnsi="Century Gothic" w:cs="Century Gothic"/>
        </w:rPr>
      </w:pPr>
    </w:p>
    <w:p w14:paraId="00000381" w14:textId="77777777" w:rsidR="00471C28" w:rsidRDefault="00471C28">
      <w:pPr>
        <w:spacing w:before="60" w:after="120"/>
        <w:rPr>
          <w:rFonts w:ascii="Century Gothic" w:eastAsia="Century Gothic" w:hAnsi="Century Gothic" w:cs="Century Gothic"/>
        </w:rPr>
      </w:pPr>
    </w:p>
    <w:p w14:paraId="00000382" w14:textId="77777777" w:rsidR="00471C28" w:rsidRDefault="00471C28">
      <w:pPr>
        <w:spacing w:before="60" w:after="120"/>
        <w:rPr>
          <w:rFonts w:ascii="Century Gothic" w:eastAsia="Century Gothic" w:hAnsi="Century Gothic" w:cs="Century Gothic"/>
        </w:rPr>
      </w:pPr>
    </w:p>
    <w:sectPr w:rsidR="00471C28">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CE9A" w14:textId="77777777" w:rsidR="00E51E63" w:rsidRDefault="00E51E63">
      <w:r>
        <w:separator/>
      </w:r>
    </w:p>
  </w:endnote>
  <w:endnote w:type="continuationSeparator" w:id="0">
    <w:p w14:paraId="346426EF" w14:textId="77777777" w:rsidR="00E51E63" w:rsidRDefault="00E51E63">
      <w:r>
        <w:continuationSeparator/>
      </w:r>
    </w:p>
  </w:endnote>
  <w:endnote w:type="continuationNotice" w:id="1">
    <w:p w14:paraId="1EF9E360" w14:textId="77777777" w:rsidR="00E51E63" w:rsidRDefault="00E51E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re Franklin">
    <w:altName w:val="Calibri"/>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00000003" w:usb1="00000000" w:usb2="00000000" w:usb3="00000000" w:csb0="00000001" w:csb1="00000000"/>
  </w:font>
  <w:font w:name="Zilla Slab">
    <w:altName w:val="Calibri"/>
    <w:panose1 w:val="020B0604020202020204"/>
    <w:charset w:val="00"/>
    <w:family w:val="auto"/>
    <w:pitch w:val="variable"/>
    <w:sig w:usb0="A00000FF" w:usb1="5001E47B" w:usb2="00000000" w:usb3="00000000" w:csb0="0000009B" w:csb1="00000000"/>
  </w:font>
  <w:font w:name="Consolas">
    <w:panose1 w:val="020B0609020204030204"/>
    <w:charset w:val="00"/>
    <w:family w:val="modern"/>
    <w:pitch w:val="fixed"/>
    <w:sig w:usb0="E10006FF" w:usb1="4000FCFF" w:usb2="00000009"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venir LT Com 35 Light">
    <w:panose1 w:val="020B0402020203020204"/>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5" w14:textId="2BBEE0DB" w:rsidR="00471C28" w:rsidRDefault="00CF15C9">
    <w:pPr>
      <w:pBdr>
        <w:top w:val="nil"/>
        <w:left w:val="nil"/>
        <w:bottom w:val="nil"/>
        <w:right w:val="nil"/>
        <w:between w:val="nil"/>
      </w:pBdr>
      <w:tabs>
        <w:tab w:val="center" w:pos="4680"/>
        <w:tab w:val="right" w:pos="9360"/>
      </w:tabs>
      <w:jc w:val="right"/>
      <w:rPr>
        <w:rFonts w:ascii="Libre Franklin" w:hAnsi="Libre Franklin"/>
        <w:color w:val="66AD47"/>
      </w:rPr>
    </w:pPr>
    <w:r>
      <w:rPr>
        <w:rFonts w:ascii="Century Gothic" w:eastAsia="Century Gothic" w:hAnsi="Century Gothic" w:cs="Century Gothic"/>
        <w:color w:val="262626"/>
      </w:rPr>
      <w:fldChar w:fldCharType="begin"/>
    </w:r>
    <w:r>
      <w:rPr>
        <w:rFonts w:ascii="Century Gothic" w:eastAsia="Century Gothic" w:hAnsi="Century Gothic" w:cs="Century Gothic"/>
        <w:color w:val="262626"/>
      </w:rPr>
      <w:instrText>PAGE</w:instrText>
    </w:r>
    <w:r>
      <w:rPr>
        <w:rFonts w:ascii="Century Gothic" w:eastAsia="Century Gothic" w:hAnsi="Century Gothic" w:cs="Century Gothic"/>
        <w:color w:val="262626"/>
      </w:rPr>
      <w:fldChar w:fldCharType="separate"/>
    </w:r>
    <w:r w:rsidR="0046450B">
      <w:rPr>
        <w:rFonts w:ascii="Century Gothic" w:eastAsia="Century Gothic" w:hAnsi="Century Gothic" w:cs="Century Gothic"/>
        <w:noProof/>
        <w:color w:val="262626"/>
      </w:rPr>
      <w:t>7</w:t>
    </w:r>
    <w:r>
      <w:rPr>
        <w:rFonts w:ascii="Century Gothic" w:eastAsia="Century Gothic" w:hAnsi="Century Gothic" w:cs="Century Gothic"/>
        <w:color w:val="262626"/>
      </w:rPr>
      <w:fldChar w:fldCharType="end"/>
    </w:r>
  </w:p>
  <w:p w14:paraId="000003A6" w14:textId="77777777" w:rsidR="00471C28" w:rsidRDefault="00471C28">
    <w:pPr>
      <w:widowControl w:val="0"/>
      <w:pBdr>
        <w:top w:val="nil"/>
        <w:left w:val="nil"/>
        <w:bottom w:val="nil"/>
        <w:right w:val="nil"/>
        <w:between w:val="nil"/>
      </w:pBdr>
      <w:spacing w:line="276" w:lineRule="auto"/>
      <w:rPr>
        <w:rFonts w:ascii="Libre Franklin" w:hAnsi="Libre Franklin"/>
        <w:color w:val="66AD4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38136" w14:textId="77777777" w:rsidR="00E51E63" w:rsidRDefault="00E51E63">
      <w:r>
        <w:separator/>
      </w:r>
    </w:p>
  </w:footnote>
  <w:footnote w:type="continuationSeparator" w:id="0">
    <w:p w14:paraId="33FB9A02" w14:textId="77777777" w:rsidR="00E51E63" w:rsidRDefault="00E51E63">
      <w:r>
        <w:continuationSeparator/>
      </w:r>
    </w:p>
  </w:footnote>
  <w:footnote w:type="continuationNotice" w:id="1">
    <w:p w14:paraId="5807F8A7" w14:textId="77777777" w:rsidR="00E51E63" w:rsidRDefault="00E51E63"/>
  </w:footnote>
  <w:footnote w:id="2">
    <w:p w14:paraId="00000385" w14:textId="77777777" w:rsidR="00471C28" w:rsidRDefault="00CF15C9" w:rsidP="00CF1BD6">
      <w:pPr>
        <w:pStyle w:val="Footnotes"/>
      </w:pPr>
      <w:r>
        <w:rPr>
          <w:rStyle w:val="FootnoteReference"/>
        </w:rPr>
        <w:footnoteRef/>
      </w:r>
      <w:r>
        <w:t xml:space="preserve"> Note that application of this methodology in countries other than the United States would require a revision to the methodology for inclusion of, for instance, relevant biomass estimation techniques and modifications to the baseline scenario selection procedure. </w:t>
      </w:r>
    </w:p>
  </w:footnote>
  <w:footnote w:id="3">
    <w:p w14:paraId="00000388" w14:textId="77777777" w:rsidR="00471C28" w:rsidRDefault="00CF15C9" w:rsidP="00095583">
      <w:pPr>
        <w:pStyle w:val="Footnotes"/>
      </w:pPr>
      <w:r>
        <w:rPr>
          <w:rStyle w:val="FootnoteReference"/>
        </w:rPr>
        <w:footnoteRef/>
      </w:r>
      <w:r>
        <w:t xml:space="preserve"> Woodall, C.W., Heath, L.S., </w:t>
      </w:r>
      <w:proofErr w:type="spellStart"/>
      <w:r>
        <w:t>Domke</w:t>
      </w:r>
      <w:proofErr w:type="spellEnd"/>
      <w:r>
        <w:t>, G.M. and Nichols, M.C., 2011. Methods and equations for estimating aboveground volume, biomass, and carbon for trees in the US forest inventory, 2010.</w:t>
      </w:r>
    </w:p>
  </w:footnote>
  <w:footnote w:id="4">
    <w:p w14:paraId="00000389" w14:textId="77777777" w:rsidR="00471C28" w:rsidRDefault="00CF15C9" w:rsidP="00095583">
      <w:pPr>
        <w:pStyle w:val="Footnotes"/>
      </w:pPr>
      <w:r>
        <w:rPr>
          <w:rStyle w:val="FootnoteReference"/>
        </w:rPr>
        <w:footnoteRef/>
      </w:r>
      <w:r>
        <w:t xml:space="preserve"> Miles, </w:t>
      </w:r>
      <w:proofErr w:type="gramStart"/>
      <w:r>
        <w:t>P.D,,</w:t>
      </w:r>
      <w:proofErr w:type="gramEnd"/>
      <w:r>
        <w:t xml:space="preserve"> Smith, W.B, 2009. Specific Gravity and Other Properties of Wood and Bark for 156 Tree Species Found in North America. </w:t>
      </w:r>
    </w:p>
  </w:footnote>
  <w:footnote w:id="5">
    <w:p w14:paraId="0000038A" w14:textId="77777777" w:rsidR="00471C28" w:rsidRDefault="00CF15C9" w:rsidP="00095583">
      <w:pPr>
        <w:pStyle w:val="Footnotes"/>
      </w:pPr>
      <w:r>
        <w:rPr>
          <w:rStyle w:val="FootnoteReference"/>
        </w:rPr>
        <w:footnoteRef/>
      </w:r>
      <w:r>
        <w:t xml:space="preserve"> </w:t>
      </w:r>
      <w:proofErr w:type="spellStart"/>
      <w:r>
        <w:t>Raile</w:t>
      </w:r>
      <w:proofErr w:type="spellEnd"/>
      <w:r>
        <w:t xml:space="preserve">, G.K., 1982. Estimating Stump Volume. </w:t>
      </w:r>
    </w:p>
  </w:footnote>
  <w:footnote w:id="6">
    <w:p w14:paraId="0000038B" w14:textId="77777777" w:rsidR="00471C28" w:rsidRDefault="00CF15C9" w:rsidP="00095583">
      <w:pPr>
        <w:pStyle w:val="Footnotes"/>
      </w:pPr>
      <w:r>
        <w:rPr>
          <w:rStyle w:val="FootnoteReference"/>
        </w:rPr>
        <w:footnoteRef/>
      </w:r>
      <w:r>
        <w:t xml:space="preserve"> Jenkins, J.C., </w:t>
      </w:r>
      <w:proofErr w:type="spellStart"/>
      <w:r>
        <w:t>Chojnacky</w:t>
      </w:r>
      <w:proofErr w:type="spellEnd"/>
      <w:r>
        <w:t xml:space="preserve">, D.C., Heath, L.S., </w:t>
      </w:r>
      <w:proofErr w:type="spellStart"/>
      <w:r>
        <w:t>Birdsey</w:t>
      </w:r>
      <w:proofErr w:type="spellEnd"/>
      <w:r>
        <w:t xml:space="preserve">, R.A., 2004. Comprehensive Database of Diameter-based Biomass Regressions for North American Tree Species. </w:t>
      </w:r>
    </w:p>
  </w:footnote>
  <w:footnote w:id="7">
    <w:p w14:paraId="0000038C" w14:textId="77777777" w:rsidR="00471C28" w:rsidRDefault="00CF15C9" w:rsidP="00095583">
      <w:pPr>
        <w:pStyle w:val="Footnotes"/>
      </w:pPr>
      <w:r>
        <w:rPr>
          <w:rStyle w:val="FootnoteReference"/>
        </w:rPr>
        <w:footnoteRef/>
      </w:r>
      <w:r>
        <w:t xml:space="preserve"> Heath, L.S., Hansen, M., Smith, J.E., Miles, P.D., 2009. Investigation into Calculating Tree Biomass and Carbon in the FIADB Using a Biomass Expansion Factor Approach. </w:t>
      </w:r>
    </w:p>
  </w:footnote>
  <w:footnote w:id="8">
    <w:p w14:paraId="000003A7" w14:textId="77777777" w:rsidR="00471C28" w:rsidRDefault="00CF15C9" w:rsidP="00403AE6">
      <w:pPr>
        <w:pStyle w:val="Footnotes"/>
        <w:rPr>
          <w:sz w:val="20"/>
          <w:szCs w:val="20"/>
        </w:rPr>
      </w:pPr>
      <w:r>
        <w:rPr>
          <w:rStyle w:val="FootnoteReference"/>
        </w:rPr>
        <w:footnoteRef/>
      </w:r>
      <w:r>
        <w:t xml:space="preserve"> </w:t>
      </w:r>
      <w:proofErr w:type="spellStart"/>
      <w:r>
        <w:t>Winjum</w:t>
      </w:r>
      <w:proofErr w:type="spellEnd"/>
      <w:r>
        <w:t xml:space="preserve">, J.K., Brown, S. and </w:t>
      </w:r>
      <w:proofErr w:type="spellStart"/>
      <w:r>
        <w:t>Schlamadinger</w:t>
      </w:r>
      <w:proofErr w:type="spellEnd"/>
      <w:r>
        <w:t xml:space="preserve">, B. 1998. Forest harvests and wood </w:t>
      </w:r>
      <w:proofErr w:type="gramStart"/>
      <w:r>
        <w:t>products:</w:t>
      </w:r>
      <w:proofErr w:type="gramEnd"/>
      <w:r>
        <w:t xml:space="preserve"> sources and sinks of atmospheric carbon dioxide. Forest Science 44: 272-284</w:t>
      </w:r>
    </w:p>
  </w:footnote>
  <w:footnote w:id="9">
    <w:p w14:paraId="0000038D" w14:textId="77777777" w:rsidR="00471C28" w:rsidRDefault="00CF15C9">
      <w:pPr>
        <w:spacing w:before="180" w:after="180"/>
        <w:rPr>
          <w:rFonts w:ascii="Century Gothic" w:eastAsia="Century Gothic" w:hAnsi="Century Gothic" w:cs="Century Gothic"/>
          <w:color w:val="404040"/>
          <w:sz w:val="16"/>
          <w:szCs w:val="16"/>
        </w:rPr>
      </w:pPr>
      <w:r>
        <w:rPr>
          <w:rStyle w:val="FootnoteReference"/>
        </w:rPr>
        <w:footnoteRef/>
      </w:r>
      <w:r>
        <w:rPr>
          <w:rFonts w:ascii="Century Gothic" w:eastAsia="Century Gothic" w:hAnsi="Century Gothic" w:cs="Century Gothic"/>
          <w:sz w:val="16"/>
          <w:szCs w:val="16"/>
        </w:rPr>
        <w:t xml:space="preserve"> Note that this is a non-exhaustive list of variables shown to be correlated with the probability of harvest. These variables represent inputs to the general form of the common practice harvest model (Eq. A1).</w:t>
      </w:r>
    </w:p>
  </w:footnote>
  <w:footnote w:id="10">
    <w:p w14:paraId="0000038E" w14:textId="77777777" w:rsidR="00471C28" w:rsidRDefault="00CF15C9" w:rsidP="00C17F20">
      <w:pPr>
        <w:pStyle w:val="Footnotes"/>
      </w:pPr>
      <w:r>
        <w:rPr>
          <w:rStyle w:val="FootnoteReference"/>
        </w:rPr>
        <w:footnoteRef/>
      </w:r>
      <w:r>
        <w:t xml:space="preserve"> https://www.epa.gov/eco-research/level-iii-and-iv-ecoregions-continental-united-states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1" w14:textId="71133784" w:rsidR="00471C28" w:rsidRDefault="00CF15C9">
    <w:pPr>
      <w:pBdr>
        <w:bottom w:val="single" w:sz="4" w:space="1" w:color="A6A6A6"/>
      </w:pBdr>
      <w:tabs>
        <w:tab w:val="left" w:pos="1014"/>
        <w:tab w:val="center" w:pos="4680"/>
        <w:tab w:val="right" w:pos="9360"/>
      </w:tabs>
      <w:jc w:val="right"/>
      <w:rPr>
        <w:rFonts w:ascii="Century Gothic" w:eastAsia="Century Gothic" w:hAnsi="Century Gothic" w:cs="Century Gothic"/>
        <w:color w:val="262626"/>
      </w:rPr>
    </w:pPr>
    <w:r>
      <w:rPr>
        <w:rFonts w:ascii="Century Gothic" w:eastAsia="Century Gothic" w:hAnsi="Century Gothic" w:cs="Century Gothic"/>
        <w:color w:val="262626"/>
      </w:rPr>
      <w:tab/>
      <w:t>Methodology: VCS Version 4.0</w:t>
    </w:r>
  </w:p>
  <w:p w14:paraId="000003A2" w14:textId="77777777" w:rsidR="00471C28" w:rsidRDefault="00471C28">
    <w:pPr>
      <w:pBdr>
        <w:top w:val="nil"/>
        <w:left w:val="nil"/>
        <w:bottom w:val="nil"/>
        <w:right w:val="nil"/>
        <w:between w:val="nil"/>
      </w:pBdr>
      <w:tabs>
        <w:tab w:val="center" w:pos="4680"/>
        <w:tab w:val="right" w:pos="9360"/>
      </w:tabs>
      <w:rPr>
        <w:rFonts w:ascii="Libre Franklin" w:hAnsi="Libre Frankli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A4" w14:textId="30625A91" w:rsidR="00471C28" w:rsidRDefault="00CF15C9">
    <w:pPr>
      <w:pBdr>
        <w:bottom w:val="single" w:sz="4" w:space="1" w:color="A6A6A6"/>
      </w:pBdr>
      <w:tabs>
        <w:tab w:val="left" w:pos="1014"/>
        <w:tab w:val="center" w:pos="4680"/>
        <w:tab w:val="right" w:pos="9360"/>
      </w:tabs>
      <w:jc w:val="right"/>
      <w:rPr>
        <w:rFonts w:ascii="Century Gothic" w:eastAsia="Century Gothic" w:hAnsi="Century Gothic" w:cs="Century Gothic"/>
        <w:color w:val="262626"/>
      </w:rPr>
    </w:pPr>
    <w:r>
      <w:rPr>
        <w:rFonts w:ascii="Century Gothic" w:eastAsia="Century Gothic" w:hAnsi="Century Gothic" w:cs="Century Gothic"/>
        <w:color w:val="262626"/>
      </w:rPr>
      <w:tab/>
      <w:t>Methodology: VCS Version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24B"/>
    <w:multiLevelType w:val="multilevel"/>
    <w:tmpl w:val="0CBE34E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4F4456"/>
    <w:multiLevelType w:val="multilevel"/>
    <w:tmpl w:val="C5388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0653B5"/>
    <w:multiLevelType w:val="multilevel"/>
    <w:tmpl w:val="FE86E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5B030D"/>
    <w:multiLevelType w:val="multilevel"/>
    <w:tmpl w:val="6FC2CE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8FF0411"/>
    <w:multiLevelType w:val="multilevel"/>
    <w:tmpl w:val="3F202F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79E71F2"/>
    <w:multiLevelType w:val="hybridMultilevel"/>
    <w:tmpl w:val="F91662CC"/>
    <w:lvl w:ilvl="0" w:tplc="A43C05C4">
      <w:start w:val="1"/>
      <w:numFmt w:val="decimal"/>
      <w:pStyle w:val="NumberedList"/>
      <w:lvlText w:val="%1)"/>
      <w:lvlJc w:val="left"/>
      <w:pPr>
        <w:ind w:left="1080" w:hanging="360"/>
      </w:pPr>
      <w:rPr>
        <w:rFonts w:hint="default"/>
      </w:rPr>
    </w:lvl>
    <w:lvl w:ilvl="1" w:tplc="04090017">
      <w:start w:val="1"/>
      <w:numFmt w:val="lowerLetter"/>
      <w:lvlText w:val="%2)"/>
      <w:lvlJc w:val="left"/>
      <w:pPr>
        <w:ind w:left="1710" w:hanging="360"/>
      </w:pPr>
      <w:rPr>
        <w:rFonts w:hint="default"/>
      </w:rPr>
    </w:lvl>
    <w:lvl w:ilvl="2" w:tplc="E6A4B362">
      <w:start w:val="1"/>
      <w:numFmt w:val="lowerRoman"/>
      <w:lvlText w:val="%3)"/>
      <w:lvlJc w:val="right"/>
      <w:pPr>
        <w:ind w:left="2430" w:hanging="360"/>
      </w:pPr>
      <w:rPr>
        <w:rFont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0E301A9"/>
    <w:multiLevelType w:val="multilevel"/>
    <w:tmpl w:val="D4242070"/>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7" w15:restartNumberingAfterBreak="0">
    <w:nsid w:val="40FF3B21"/>
    <w:multiLevelType w:val="multilevel"/>
    <w:tmpl w:val="3754D9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24E65A3"/>
    <w:multiLevelType w:val="multilevel"/>
    <w:tmpl w:val="EF0C51B2"/>
    <w:lvl w:ilvl="0">
      <w:start w:val="1"/>
      <w:numFmt w:val="decimal"/>
      <w:lvlText w:val="%1"/>
      <w:lvlJc w:val="left"/>
      <w:pPr>
        <w:ind w:left="432" w:hanging="432"/>
      </w:pPr>
      <w:rPr>
        <w:rFonts w:ascii="Arial" w:eastAsia="Arial" w:hAnsi="Arial" w:cs="Arial"/>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A6E1415"/>
    <w:multiLevelType w:val="multilevel"/>
    <w:tmpl w:val="3D64A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F8265F"/>
    <w:multiLevelType w:val="multilevel"/>
    <w:tmpl w:val="ED58E2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1C366D4"/>
    <w:multiLevelType w:val="multilevel"/>
    <w:tmpl w:val="3542B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8568ED"/>
    <w:multiLevelType w:val="multilevel"/>
    <w:tmpl w:val="54B65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1"/>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C7179B"/>
    <w:multiLevelType w:val="multilevel"/>
    <w:tmpl w:val="6F6AB9B2"/>
    <w:lvl w:ilvl="0">
      <w:start w:val="1"/>
      <w:numFmt w:val="decimal"/>
      <w:pStyle w:val="Bullets"/>
      <w:lvlText w:val="%1."/>
      <w:lvlJc w:val="left"/>
      <w:pPr>
        <w:ind w:left="720" w:hanging="360"/>
      </w:pPr>
    </w:lvl>
    <w:lvl w:ilvl="1">
      <w:start w:val="1"/>
      <w:numFmt w:val="decimal"/>
      <w:lvlText w:val="%2)"/>
      <w:lvlJc w:val="left"/>
      <w:pPr>
        <w:ind w:left="1440" w:hanging="360"/>
      </w:pPr>
      <w:rPr>
        <w:i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ECE594C"/>
    <w:multiLevelType w:val="multilevel"/>
    <w:tmpl w:val="FBF68F9C"/>
    <w:lvl w:ilvl="0">
      <w:start w:val="1"/>
      <w:numFmt w:val="decimal"/>
      <w:pStyle w:val="Heading3b"/>
      <w:lvlText w:val="%1)"/>
      <w:lvlJc w:val="left"/>
      <w:pPr>
        <w:ind w:left="1440" w:hanging="360"/>
      </w:pPr>
      <w:rPr>
        <w:rFonts w:ascii="Libre Franklin" w:eastAsia="Libre Franklin" w:hAnsi="Libre Franklin" w:cs="Libre Frankli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5B63551"/>
    <w:multiLevelType w:val="multilevel"/>
    <w:tmpl w:val="C6E25B0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pStyle w:val="Heading6"/>
      <w:lvlText w:val="%6."/>
      <w:lvlJc w:val="left"/>
      <w:pPr>
        <w:ind w:left="4320" w:hanging="360"/>
      </w:pPr>
    </w:lvl>
    <w:lvl w:ilvl="6">
      <w:start w:val="1"/>
      <w:numFmt w:val="decimal"/>
      <w:pStyle w:val="Heading7"/>
      <w:lvlText w:val="%7."/>
      <w:lvlJc w:val="left"/>
      <w:pPr>
        <w:ind w:left="5040" w:hanging="360"/>
      </w:pPr>
    </w:lvl>
    <w:lvl w:ilvl="7">
      <w:start w:val="1"/>
      <w:numFmt w:val="decimal"/>
      <w:pStyle w:val="Heading8"/>
      <w:lvlText w:val="%8."/>
      <w:lvlJc w:val="left"/>
      <w:pPr>
        <w:ind w:left="5760" w:hanging="360"/>
      </w:pPr>
    </w:lvl>
    <w:lvl w:ilvl="8">
      <w:start w:val="1"/>
      <w:numFmt w:val="decimal"/>
      <w:pStyle w:val="Heading9"/>
      <w:lvlText w:val="%9."/>
      <w:lvlJc w:val="left"/>
      <w:pPr>
        <w:ind w:left="6480" w:hanging="360"/>
      </w:pPr>
    </w:lvl>
  </w:abstractNum>
  <w:abstractNum w:abstractNumId="16" w15:restartNumberingAfterBreak="0">
    <w:nsid w:val="6E7E1ED8"/>
    <w:multiLevelType w:val="multilevel"/>
    <w:tmpl w:val="F3464C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77C3266"/>
    <w:multiLevelType w:val="multilevel"/>
    <w:tmpl w:val="6FA47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8856205"/>
    <w:multiLevelType w:val="multilevel"/>
    <w:tmpl w:val="4238B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7D68FD"/>
    <w:multiLevelType w:val="multilevel"/>
    <w:tmpl w:val="DC4E47B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535970788">
    <w:abstractNumId w:val="12"/>
  </w:num>
  <w:num w:numId="2" w16cid:durableId="224462589">
    <w:abstractNumId w:val="13"/>
  </w:num>
  <w:num w:numId="3" w16cid:durableId="1722971340">
    <w:abstractNumId w:val="4"/>
  </w:num>
  <w:num w:numId="4" w16cid:durableId="654260785">
    <w:abstractNumId w:val="6"/>
  </w:num>
  <w:num w:numId="5" w16cid:durableId="1029142117">
    <w:abstractNumId w:val="14"/>
  </w:num>
  <w:num w:numId="6" w16cid:durableId="1963345217">
    <w:abstractNumId w:val="17"/>
  </w:num>
  <w:num w:numId="7" w16cid:durableId="1947082463">
    <w:abstractNumId w:val="11"/>
  </w:num>
  <w:num w:numId="8" w16cid:durableId="1835755322">
    <w:abstractNumId w:val="0"/>
  </w:num>
  <w:num w:numId="9" w16cid:durableId="1086263848">
    <w:abstractNumId w:val="15"/>
  </w:num>
  <w:num w:numId="10" w16cid:durableId="1196625158">
    <w:abstractNumId w:val="18"/>
  </w:num>
  <w:num w:numId="11" w16cid:durableId="246614610">
    <w:abstractNumId w:val="8"/>
  </w:num>
  <w:num w:numId="12" w16cid:durableId="1089697450">
    <w:abstractNumId w:val="7"/>
  </w:num>
  <w:num w:numId="13" w16cid:durableId="1174419321">
    <w:abstractNumId w:val="2"/>
  </w:num>
  <w:num w:numId="14" w16cid:durableId="1123037047">
    <w:abstractNumId w:val="3"/>
  </w:num>
  <w:num w:numId="15" w16cid:durableId="77557992">
    <w:abstractNumId w:val="16"/>
  </w:num>
  <w:num w:numId="16" w16cid:durableId="876435364">
    <w:abstractNumId w:val="1"/>
  </w:num>
  <w:num w:numId="17" w16cid:durableId="588121602">
    <w:abstractNumId w:val="9"/>
  </w:num>
  <w:num w:numId="18" w16cid:durableId="1737624454">
    <w:abstractNumId w:val="19"/>
  </w:num>
  <w:num w:numId="19" w16cid:durableId="280262864">
    <w:abstractNumId w:val="15"/>
  </w:num>
  <w:num w:numId="20" w16cid:durableId="1711688242">
    <w:abstractNumId w:val="15"/>
  </w:num>
  <w:num w:numId="21" w16cid:durableId="1344167944">
    <w:abstractNumId w:val="10"/>
  </w:num>
  <w:num w:numId="22" w16cid:durableId="1614434176">
    <w:abstractNumId w:val="10"/>
  </w:num>
  <w:num w:numId="23" w16cid:durableId="253363799">
    <w:abstractNumId w:val="5"/>
  </w:num>
  <w:num w:numId="24" w16cid:durableId="838547736">
    <w:abstractNumId w:val="10"/>
  </w:num>
  <w:num w:numId="25" w16cid:durableId="1143815551">
    <w:abstractNumId w:val="10"/>
  </w:num>
  <w:num w:numId="26" w16cid:durableId="143636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QwMzK3NDQzNzYyMzZT0lEKTi0uzszPAykwrQUA0YgkpSwAAAA="/>
  </w:docVars>
  <w:rsids>
    <w:rsidRoot w:val="00471C28"/>
    <w:rsid w:val="00012679"/>
    <w:rsid w:val="000332F9"/>
    <w:rsid w:val="00046177"/>
    <w:rsid w:val="000520C3"/>
    <w:rsid w:val="00055DC5"/>
    <w:rsid w:val="00056B1C"/>
    <w:rsid w:val="00065CA1"/>
    <w:rsid w:val="00084D80"/>
    <w:rsid w:val="00095583"/>
    <w:rsid w:val="000957AD"/>
    <w:rsid w:val="000B2E16"/>
    <w:rsid w:val="000C5C50"/>
    <w:rsid w:val="00103490"/>
    <w:rsid w:val="0013125A"/>
    <w:rsid w:val="001314D0"/>
    <w:rsid w:val="00183643"/>
    <w:rsid w:val="001836DF"/>
    <w:rsid w:val="0019282F"/>
    <w:rsid w:val="001935AD"/>
    <w:rsid w:val="00196A1F"/>
    <w:rsid w:val="001C2CED"/>
    <w:rsid w:val="001E181E"/>
    <w:rsid w:val="00203C46"/>
    <w:rsid w:val="00220B8A"/>
    <w:rsid w:val="00224513"/>
    <w:rsid w:val="0023395B"/>
    <w:rsid w:val="002419A3"/>
    <w:rsid w:val="00266E3A"/>
    <w:rsid w:val="00271926"/>
    <w:rsid w:val="00274A49"/>
    <w:rsid w:val="00280527"/>
    <w:rsid w:val="00293E58"/>
    <w:rsid w:val="002967FD"/>
    <w:rsid w:val="002A38F1"/>
    <w:rsid w:val="002C2879"/>
    <w:rsid w:val="002C410C"/>
    <w:rsid w:val="002C4C29"/>
    <w:rsid w:val="002E4545"/>
    <w:rsid w:val="002F229A"/>
    <w:rsid w:val="003022B0"/>
    <w:rsid w:val="00303478"/>
    <w:rsid w:val="003036B3"/>
    <w:rsid w:val="0031341E"/>
    <w:rsid w:val="00340AF2"/>
    <w:rsid w:val="00351BE1"/>
    <w:rsid w:val="003524A0"/>
    <w:rsid w:val="0035367B"/>
    <w:rsid w:val="00356DC7"/>
    <w:rsid w:val="00360697"/>
    <w:rsid w:val="00370F60"/>
    <w:rsid w:val="0037329F"/>
    <w:rsid w:val="00374864"/>
    <w:rsid w:val="00377181"/>
    <w:rsid w:val="00387215"/>
    <w:rsid w:val="003E2ABE"/>
    <w:rsid w:val="003F022E"/>
    <w:rsid w:val="003F5979"/>
    <w:rsid w:val="00403AE6"/>
    <w:rsid w:val="00416B26"/>
    <w:rsid w:val="00421B41"/>
    <w:rsid w:val="0043238C"/>
    <w:rsid w:val="00444CC1"/>
    <w:rsid w:val="0046450B"/>
    <w:rsid w:val="00464B72"/>
    <w:rsid w:val="00471C28"/>
    <w:rsid w:val="00491D3E"/>
    <w:rsid w:val="00496AAF"/>
    <w:rsid w:val="004A673E"/>
    <w:rsid w:val="004C4539"/>
    <w:rsid w:val="00516145"/>
    <w:rsid w:val="00523BFE"/>
    <w:rsid w:val="00523ED1"/>
    <w:rsid w:val="0053160D"/>
    <w:rsid w:val="00535D5B"/>
    <w:rsid w:val="0053745B"/>
    <w:rsid w:val="00540A8E"/>
    <w:rsid w:val="00550C8B"/>
    <w:rsid w:val="00560CDE"/>
    <w:rsid w:val="005719B7"/>
    <w:rsid w:val="00571CCF"/>
    <w:rsid w:val="005743FA"/>
    <w:rsid w:val="00580F96"/>
    <w:rsid w:val="005922E7"/>
    <w:rsid w:val="005B597F"/>
    <w:rsid w:val="005C15B7"/>
    <w:rsid w:val="00602752"/>
    <w:rsid w:val="0061608D"/>
    <w:rsid w:val="00627253"/>
    <w:rsid w:val="00630C9C"/>
    <w:rsid w:val="00656DB1"/>
    <w:rsid w:val="006739DF"/>
    <w:rsid w:val="006C343B"/>
    <w:rsid w:val="006C5F80"/>
    <w:rsid w:val="006E3853"/>
    <w:rsid w:val="006F6A10"/>
    <w:rsid w:val="00726378"/>
    <w:rsid w:val="00737559"/>
    <w:rsid w:val="00740616"/>
    <w:rsid w:val="007504E4"/>
    <w:rsid w:val="007553A6"/>
    <w:rsid w:val="007569FA"/>
    <w:rsid w:val="00767C60"/>
    <w:rsid w:val="00770F50"/>
    <w:rsid w:val="007957C4"/>
    <w:rsid w:val="007C4308"/>
    <w:rsid w:val="007C4F71"/>
    <w:rsid w:val="007F326A"/>
    <w:rsid w:val="007F5711"/>
    <w:rsid w:val="008001E6"/>
    <w:rsid w:val="00807182"/>
    <w:rsid w:val="008311F0"/>
    <w:rsid w:val="00831BA8"/>
    <w:rsid w:val="00835542"/>
    <w:rsid w:val="008412AC"/>
    <w:rsid w:val="00844A52"/>
    <w:rsid w:val="00853352"/>
    <w:rsid w:val="00854446"/>
    <w:rsid w:val="0086597F"/>
    <w:rsid w:val="0086736D"/>
    <w:rsid w:val="00883A31"/>
    <w:rsid w:val="008A6E5C"/>
    <w:rsid w:val="008B1E5A"/>
    <w:rsid w:val="008C1D1A"/>
    <w:rsid w:val="008D139B"/>
    <w:rsid w:val="008E4CC6"/>
    <w:rsid w:val="008E787C"/>
    <w:rsid w:val="00902150"/>
    <w:rsid w:val="009208BE"/>
    <w:rsid w:val="0092750F"/>
    <w:rsid w:val="009377A9"/>
    <w:rsid w:val="00946EE7"/>
    <w:rsid w:val="00964541"/>
    <w:rsid w:val="009817C4"/>
    <w:rsid w:val="00983C9C"/>
    <w:rsid w:val="00985E88"/>
    <w:rsid w:val="009A217B"/>
    <w:rsid w:val="009A36EC"/>
    <w:rsid w:val="009B08F0"/>
    <w:rsid w:val="009B2CF5"/>
    <w:rsid w:val="009F59A8"/>
    <w:rsid w:val="00A15FF5"/>
    <w:rsid w:val="00A20F7F"/>
    <w:rsid w:val="00A27E3B"/>
    <w:rsid w:val="00A322ED"/>
    <w:rsid w:val="00A60328"/>
    <w:rsid w:val="00A812C6"/>
    <w:rsid w:val="00A86F89"/>
    <w:rsid w:val="00AA6F99"/>
    <w:rsid w:val="00AA7D36"/>
    <w:rsid w:val="00AD2995"/>
    <w:rsid w:val="00AD7F7A"/>
    <w:rsid w:val="00B06B98"/>
    <w:rsid w:val="00B14046"/>
    <w:rsid w:val="00B51944"/>
    <w:rsid w:val="00B5621C"/>
    <w:rsid w:val="00B66E89"/>
    <w:rsid w:val="00B711E5"/>
    <w:rsid w:val="00B72594"/>
    <w:rsid w:val="00B81FDD"/>
    <w:rsid w:val="00B8360A"/>
    <w:rsid w:val="00B90CFE"/>
    <w:rsid w:val="00BA15F3"/>
    <w:rsid w:val="00BA39E1"/>
    <w:rsid w:val="00BB4588"/>
    <w:rsid w:val="00BD32D5"/>
    <w:rsid w:val="00BE3E1F"/>
    <w:rsid w:val="00C006FF"/>
    <w:rsid w:val="00C0168B"/>
    <w:rsid w:val="00C17F20"/>
    <w:rsid w:val="00C216F4"/>
    <w:rsid w:val="00C2392A"/>
    <w:rsid w:val="00C62AC3"/>
    <w:rsid w:val="00C722CF"/>
    <w:rsid w:val="00C93DAE"/>
    <w:rsid w:val="00C941FE"/>
    <w:rsid w:val="00CB0F25"/>
    <w:rsid w:val="00CD5BFE"/>
    <w:rsid w:val="00CE1247"/>
    <w:rsid w:val="00CE753A"/>
    <w:rsid w:val="00CF15C9"/>
    <w:rsid w:val="00CF1BD6"/>
    <w:rsid w:val="00CF60F2"/>
    <w:rsid w:val="00CF7EA2"/>
    <w:rsid w:val="00D161B9"/>
    <w:rsid w:val="00D47C8F"/>
    <w:rsid w:val="00D54A30"/>
    <w:rsid w:val="00D55527"/>
    <w:rsid w:val="00D61B7E"/>
    <w:rsid w:val="00D670F6"/>
    <w:rsid w:val="00D72350"/>
    <w:rsid w:val="00D76565"/>
    <w:rsid w:val="00D800F2"/>
    <w:rsid w:val="00D80793"/>
    <w:rsid w:val="00D83DCA"/>
    <w:rsid w:val="00D85A36"/>
    <w:rsid w:val="00D95C2A"/>
    <w:rsid w:val="00DC1637"/>
    <w:rsid w:val="00DC346C"/>
    <w:rsid w:val="00DE0D30"/>
    <w:rsid w:val="00DE1D0E"/>
    <w:rsid w:val="00DF368A"/>
    <w:rsid w:val="00E27098"/>
    <w:rsid w:val="00E43720"/>
    <w:rsid w:val="00E44C69"/>
    <w:rsid w:val="00E51E63"/>
    <w:rsid w:val="00E56161"/>
    <w:rsid w:val="00E61D28"/>
    <w:rsid w:val="00E71370"/>
    <w:rsid w:val="00E765D1"/>
    <w:rsid w:val="00EA0739"/>
    <w:rsid w:val="00EA51A7"/>
    <w:rsid w:val="00EB1DD9"/>
    <w:rsid w:val="00EB4576"/>
    <w:rsid w:val="00EF137A"/>
    <w:rsid w:val="00EF195D"/>
    <w:rsid w:val="00EF4B9B"/>
    <w:rsid w:val="00F05E07"/>
    <w:rsid w:val="00F31788"/>
    <w:rsid w:val="00F32900"/>
    <w:rsid w:val="00F32923"/>
    <w:rsid w:val="00F33F2B"/>
    <w:rsid w:val="00F34943"/>
    <w:rsid w:val="00F4748E"/>
    <w:rsid w:val="00F57B81"/>
    <w:rsid w:val="00F65BA1"/>
    <w:rsid w:val="00F92E1C"/>
    <w:rsid w:val="00FA5557"/>
    <w:rsid w:val="00FB1B3B"/>
    <w:rsid w:val="00FC2B50"/>
    <w:rsid w:val="00FE0BA1"/>
    <w:rsid w:val="00FE6296"/>
    <w:rsid w:val="01A074EE"/>
    <w:rsid w:val="074D805D"/>
    <w:rsid w:val="0BAC6D59"/>
    <w:rsid w:val="1C439734"/>
    <w:rsid w:val="1D4F78FA"/>
    <w:rsid w:val="1FF4A7DB"/>
    <w:rsid w:val="3F96CDB1"/>
    <w:rsid w:val="4A46B672"/>
    <w:rsid w:val="54A671BE"/>
    <w:rsid w:val="58D14893"/>
    <w:rsid w:val="623108DB"/>
    <w:rsid w:val="65FA796E"/>
    <w:rsid w:val="66786111"/>
    <w:rsid w:val="6CB5DFB6"/>
    <w:rsid w:val="6F78FC51"/>
    <w:rsid w:val="7D5A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CBEE"/>
  <w15:docId w15:val="{96659AD9-8517-42B3-9478-9CF1021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AC3"/>
    <w:pPr>
      <w:spacing w:before="160" w:after="0"/>
    </w:pPr>
    <w:rPr>
      <w:rFonts w:ascii="Franklin Gothic Book" w:eastAsia="MS Mincho" w:hAnsi="Franklin Gothic Book" w:cs="Times New Roman"/>
      <w:spacing w:val="2"/>
      <w:szCs w:val="24"/>
      <w:lang w:val="en-GB"/>
    </w:rPr>
  </w:style>
  <w:style w:type="paragraph" w:styleId="Heading1">
    <w:name w:val="heading 1"/>
    <w:basedOn w:val="Normal"/>
    <w:next w:val="Normal"/>
    <w:link w:val="Heading1Char"/>
    <w:uiPriority w:val="9"/>
    <w:qFormat/>
    <w:rsid w:val="00831BA8"/>
    <w:pPr>
      <w:keepNext/>
      <w:keepLines/>
      <w:numPr>
        <w:numId w:val="21"/>
      </w:numPr>
      <w:tabs>
        <w:tab w:val="left" w:pos="720"/>
      </w:tabs>
      <w:spacing w:before="480" w:after="120" w:line="264" w:lineRule="auto"/>
      <w:ind w:left="720" w:hanging="720"/>
      <w:outlineLvl w:val="0"/>
    </w:pPr>
    <w:rPr>
      <w:rFonts w:ascii="Century Gothic" w:eastAsiaTheme="majorEastAsia" w:hAnsi="Century Gothic" w:cstheme="majorBidi"/>
      <w:caps/>
      <w:color w:val="2B3A57"/>
      <w:spacing w:val="0"/>
      <w:sz w:val="48"/>
      <w:szCs w:val="32"/>
      <w:lang w:val="en-US"/>
    </w:rPr>
  </w:style>
  <w:style w:type="paragraph" w:styleId="Heading2">
    <w:name w:val="heading 2"/>
    <w:basedOn w:val="Heading1"/>
    <w:next w:val="Normal"/>
    <w:link w:val="Heading2Char"/>
    <w:uiPriority w:val="9"/>
    <w:unhideWhenUsed/>
    <w:qFormat/>
    <w:rsid w:val="00C62AC3"/>
    <w:pPr>
      <w:numPr>
        <w:ilvl w:val="1"/>
      </w:numPr>
      <w:spacing w:before="360" w:after="80" w:line="312" w:lineRule="auto"/>
      <w:outlineLvl w:val="1"/>
    </w:pPr>
    <w:rPr>
      <w:color w:val="057299"/>
      <w:sz w:val="26"/>
      <w:szCs w:val="26"/>
    </w:rPr>
  </w:style>
  <w:style w:type="paragraph" w:styleId="Heading3">
    <w:name w:val="heading 3"/>
    <w:basedOn w:val="Normal"/>
    <w:next w:val="Normal"/>
    <w:link w:val="Heading3Char"/>
    <w:uiPriority w:val="9"/>
    <w:semiHidden/>
    <w:unhideWhenUsed/>
    <w:qFormat/>
    <w:rsid w:val="00A745AE"/>
    <w:pPr>
      <w:keepNext/>
      <w:numPr>
        <w:ilvl w:val="2"/>
        <w:numId w:val="25"/>
      </w:numPr>
      <w:spacing w:before="240" w:line="288" w:lineRule="auto"/>
      <w:outlineLvl w:val="2"/>
    </w:pPr>
    <w:rPr>
      <w:rFonts w:ascii="Century Gothic" w:eastAsiaTheme="majorEastAsia" w:hAnsi="Century Gothic" w:cs="Arial"/>
      <w:color w:val="0685B2"/>
      <w:kern w:val="21"/>
      <w:sz w:val="22"/>
      <w:szCs w:val="21"/>
    </w:rPr>
  </w:style>
  <w:style w:type="paragraph" w:styleId="Heading4">
    <w:name w:val="heading 4"/>
    <w:basedOn w:val="Heading3"/>
    <w:next w:val="Normal"/>
    <w:link w:val="Heading4Char"/>
    <w:uiPriority w:val="9"/>
    <w:semiHidden/>
    <w:unhideWhenUsed/>
    <w:qFormat/>
    <w:rsid w:val="000A7858"/>
    <w:pPr>
      <w:numPr>
        <w:ilvl w:val="3"/>
      </w:numPr>
      <w:outlineLvl w:val="3"/>
    </w:pPr>
    <w:rPr>
      <w:spacing w:val="-6"/>
    </w:rPr>
  </w:style>
  <w:style w:type="paragraph" w:styleId="Heading5">
    <w:name w:val="heading 5"/>
    <w:basedOn w:val="Normal"/>
    <w:next w:val="Normal"/>
    <w:link w:val="Heading5Char"/>
    <w:uiPriority w:val="9"/>
    <w:semiHidden/>
    <w:unhideWhenUsed/>
    <w:qFormat/>
    <w:rsid w:val="000A7858"/>
    <w:pPr>
      <w:keepNext/>
      <w:keepLines/>
      <w:numPr>
        <w:ilvl w:val="4"/>
        <w:numId w:val="9"/>
      </w:numPr>
      <w:spacing w:before="40"/>
      <w:outlineLvl w:val="4"/>
    </w:pPr>
    <w:rPr>
      <w:rFonts w:ascii="Arial Bold" w:eastAsiaTheme="majorEastAsia" w:hAnsi="Arial Bold" w:cstheme="majorBidi"/>
      <w:b/>
      <w:color w:val="DAAE28" w:themeColor="accent1"/>
    </w:rPr>
  </w:style>
  <w:style w:type="paragraph" w:styleId="Heading6">
    <w:name w:val="heading 6"/>
    <w:basedOn w:val="Normal"/>
    <w:next w:val="Normal"/>
    <w:link w:val="Heading6Char"/>
    <w:uiPriority w:val="9"/>
    <w:semiHidden/>
    <w:unhideWhenUsed/>
    <w:qFormat/>
    <w:rsid w:val="009E5EBE"/>
    <w:pPr>
      <w:keepNext/>
      <w:keepLines/>
      <w:numPr>
        <w:ilvl w:val="5"/>
        <w:numId w:val="9"/>
      </w:numPr>
      <w:spacing w:before="8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0A7858"/>
    <w:pPr>
      <w:keepNext/>
      <w:keepLines/>
      <w:numPr>
        <w:ilvl w:val="6"/>
        <w:numId w:val="9"/>
      </w:numPr>
      <w:spacing w:before="40"/>
      <w:outlineLvl w:val="6"/>
    </w:pPr>
    <w:rPr>
      <w:rFonts w:asciiTheme="majorHAnsi" w:eastAsiaTheme="majorEastAsia" w:hAnsiTheme="majorHAnsi" w:cstheme="majorBidi"/>
      <w:i/>
      <w:iCs/>
      <w:color w:val="6D5613" w:themeColor="accent1" w:themeShade="7F"/>
      <w:sz w:val="20"/>
      <w:szCs w:val="21"/>
    </w:rPr>
  </w:style>
  <w:style w:type="paragraph" w:styleId="Heading8">
    <w:name w:val="heading 8"/>
    <w:basedOn w:val="Normal"/>
    <w:next w:val="Normal"/>
    <w:link w:val="Heading8Char"/>
    <w:unhideWhenUsed/>
    <w:qFormat/>
    <w:rsid w:val="000A7858"/>
    <w:pPr>
      <w:keepNext/>
      <w:keepLines/>
      <w:numPr>
        <w:ilvl w:val="7"/>
        <w:numId w:val="9"/>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0A7858"/>
    <w:pPr>
      <w:keepNext/>
      <w:keepLines/>
      <w:numPr>
        <w:ilvl w:val="8"/>
        <w:numId w:val="9"/>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858"/>
    <w:pPr>
      <w:spacing w:before="120" w:after="200" w:line="276" w:lineRule="auto"/>
      <w:jc w:val="center"/>
    </w:pPr>
    <w:rPr>
      <w:rFonts w:ascii="Arial Bold" w:eastAsia="Arial" w:hAnsi="Arial Bold" w:cs="Arial"/>
      <w:color w:val="DAAE28" w:themeColor="accent1"/>
      <w:sz w:val="72"/>
      <w:szCs w:val="40"/>
      <w:lang w:val="en"/>
    </w:rPr>
  </w:style>
  <w:style w:type="character" w:customStyle="1" w:styleId="Heading1Char">
    <w:name w:val="Heading 1 Char"/>
    <w:basedOn w:val="DefaultParagraphFont"/>
    <w:link w:val="Heading1"/>
    <w:uiPriority w:val="9"/>
    <w:rsid w:val="00831BA8"/>
    <w:rPr>
      <w:rFonts w:ascii="Century Gothic" w:eastAsiaTheme="majorEastAsia" w:hAnsi="Century Gothic" w:cstheme="majorBidi"/>
      <w:caps/>
      <w:color w:val="2B3A57"/>
      <w:sz w:val="48"/>
      <w:szCs w:val="32"/>
    </w:rPr>
  </w:style>
  <w:style w:type="character" w:customStyle="1" w:styleId="Heading2Char">
    <w:name w:val="Heading 2 Char"/>
    <w:basedOn w:val="DefaultParagraphFont"/>
    <w:link w:val="Heading2"/>
    <w:uiPriority w:val="9"/>
    <w:rsid w:val="00C62AC3"/>
    <w:rPr>
      <w:rFonts w:ascii="Century Gothic" w:eastAsiaTheme="majorEastAsia" w:hAnsi="Century Gothic" w:cstheme="majorBidi"/>
      <w:caps/>
      <w:color w:val="057299"/>
      <w:sz w:val="26"/>
      <w:szCs w:val="26"/>
    </w:rPr>
  </w:style>
  <w:style w:type="character" w:customStyle="1" w:styleId="Heading3Char">
    <w:name w:val="Heading 3 Char"/>
    <w:basedOn w:val="DefaultParagraphFont"/>
    <w:link w:val="Heading3"/>
    <w:rsid w:val="00A745AE"/>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after="160"/>
      <w:ind w:left="864" w:right="864"/>
      <w:jc w:val="center"/>
    </w:pPr>
    <w:rPr>
      <w:rFonts w:ascii="Zilla Slab" w:eastAsia="Libre Franklin" w:hAnsi="Zilla Slab" w:cs="Libre Franklin"/>
      <w:i/>
      <w:iCs/>
      <w:color w:val="4F5150" w:themeColor="text2"/>
      <w:sz w:val="20"/>
      <w:szCs w:val="21"/>
    </w:rPr>
  </w:style>
  <w:style w:type="character" w:customStyle="1" w:styleId="QuoteChar">
    <w:name w:val="Quote Char"/>
    <w:basedOn w:val="DefaultParagraphFont"/>
    <w:link w:val="Quote"/>
    <w:uiPriority w:val="29"/>
    <w:rsid w:val="000A7858"/>
    <w:rPr>
      <w:rFonts w:ascii="Zilla Slab" w:hAnsi="Zilla Slab"/>
      <w:i/>
      <w:iCs/>
      <w:color w:val="4F5150" w:themeColor="text2"/>
      <w:spacing w:val="2"/>
      <w:sz w:val="20"/>
      <w:lang w:val="en-GB"/>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eastAsia="Libre Franklin" w:hAnsi="Zilla Slab" w:cs="Libre Franklin"/>
      <w:i/>
      <w:iCs/>
      <w:color w:val="DAAE28" w:themeColor="accent1"/>
      <w:sz w:val="22"/>
      <w:szCs w:val="21"/>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spacing w:val="2"/>
      <w:sz w:val="22"/>
      <w:lang w:val="en-GB"/>
    </w:rPr>
  </w:style>
  <w:style w:type="paragraph" w:styleId="Subtitle">
    <w:name w:val="Subtitle"/>
    <w:basedOn w:val="Normal"/>
    <w:next w:val="Normal"/>
    <w:link w:val="SubtitleChar"/>
    <w:uiPriority w:val="11"/>
    <w:qFormat/>
    <w:pPr>
      <w:spacing w:after="160"/>
      <w:jc w:val="center"/>
    </w:pPr>
    <w:rPr>
      <w:rFonts w:ascii="Zilla Slab" w:eastAsia="Zilla Slab" w:hAnsi="Zilla Slab" w:cs="Zilla Slab"/>
      <w:color w:val="4F5150"/>
      <w:kern w:val="21"/>
      <w:sz w:val="48"/>
      <w:szCs w:val="48"/>
    </w:rPr>
  </w:style>
  <w:style w:type="character" w:customStyle="1" w:styleId="SubtitleChar">
    <w:name w:val="Subtitle Char"/>
    <w:basedOn w:val="DefaultParagraphFont"/>
    <w:link w:val="Subtitle"/>
    <w:uiPriority w:val="11"/>
    <w:rsid w:val="000A7858"/>
    <w:rPr>
      <w:rFonts w:ascii="Zilla Slab" w:eastAsia="Zilla Slab" w:hAnsi="Zilla Slab" w:cs="Zilla Slab"/>
      <w:color w:val="4F5150"/>
      <w:spacing w:val="2"/>
      <w:kern w:val="21"/>
      <w:sz w:val="48"/>
      <w:szCs w:val="48"/>
      <w:lang w:val="en-GB"/>
    </w:rPr>
  </w:style>
  <w:style w:type="character" w:styleId="Emphasis">
    <w:name w:val="Emphasis"/>
    <w:uiPriority w:val="20"/>
    <w:qFormat/>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C62AC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62AC3"/>
    <w:rPr>
      <w:rFonts w:ascii="Franklin Gothic Book" w:eastAsia="MS Mincho" w:hAnsi="Franklin Gothic Book" w:cs="Times New Roman"/>
      <w:spacing w:val="2"/>
      <w:szCs w:val="24"/>
      <w:lang w:val="en-GB"/>
    </w:rPr>
  </w:style>
  <w:style w:type="paragraph" w:styleId="TOC1">
    <w:name w:val="toc 1"/>
    <w:basedOn w:val="Normal"/>
    <w:next w:val="Normal"/>
    <w:autoRedefine/>
    <w:uiPriority w:val="39"/>
    <w:unhideWhenUsed/>
    <w:rsid w:val="00C62AC3"/>
    <w:pPr>
      <w:tabs>
        <w:tab w:val="left" w:pos="1008"/>
        <w:tab w:val="right" w:leader="dot" w:pos="9350"/>
      </w:tabs>
      <w:spacing w:before="240" w:after="240" w:line="240" w:lineRule="auto"/>
      <w:ind w:left="720" w:hanging="720"/>
    </w:pPr>
    <w:rPr>
      <w:rFonts w:ascii="Century Gothic" w:eastAsiaTheme="minorHAnsi" w:hAnsi="Century Gothic" w:cstheme="minorBidi"/>
      <w:b/>
      <w:caps/>
      <w:color w:val="2B3957"/>
      <w:spacing w:val="0"/>
      <w:kern w:val="21"/>
      <w:sz w:val="24"/>
      <w:szCs w:val="22"/>
      <w:lang w:val="en-US"/>
    </w:rPr>
  </w:style>
  <w:style w:type="paragraph" w:styleId="TOC2">
    <w:name w:val="toc 2"/>
    <w:basedOn w:val="Normal"/>
    <w:next w:val="Normal"/>
    <w:autoRedefine/>
    <w:uiPriority w:val="39"/>
    <w:unhideWhenUsed/>
    <w:rsid w:val="00C62AC3"/>
    <w:pPr>
      <w:spacing w:before="120" w:after="60" w:line="240" w:lineRule="auto"/>
      <w:ind w:left="1008" w:hanging="720"/>
    </w:pPr>
    <w:rPr>
      <w:rFonts w:ascii="Century Gothic" w:eastAsiaTheme="minorHAnsi" w:hAnsi="Century Gothic" w:cstheme="minorBidi"/>
      <w:color w:val="2B3957"/>
      <w:spacing w:val="0"/>
      <w:kern w:val="21"/>
      <w:szCs w:val="22"/>
      <w:lang w:val="en-US"/>
    </w:rPr>
  </w:style>
  <w:style w:type="paragraph" w:styleId="Footer">
    <w:name w:val="footer"/>
    <w:basedOn w:val="Normal"/>
    <w:link w:val="FooterChar"/>
    <w:uiPriority w:val="99"/>
    <w:unhideWhenUsed/>
    <w:rsid w:val="00C62AC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62AC3"/>
    <w:rPr>
      <w:rFonts w:ascii="Franklin Gothic Book" w:eastAsia="MS Mincho" w:hAnsi="Franklin Gothic Book" w:cs="Times New Roman"/>
      <w:spacing w:val="2"/>
      <w:szCs w:val="24"/>
      <w:lang w:val="en-GB"/>
    </w:rPr>
  </w:style>
  <w:style w:type="paragraph" w:styleId="ListParagraph">
    <w:name w:val="List Paragraph"/>
    <w:basedOn w:val="Normal"/>
    <w:link w:val="ListParagraphChar"/>
    <w:uiPriority w:val="99"/>
    <w:qFormat/>
    <w:rsid w:val="00C62AC3"/>
    <w:pPr>
      <w:ind w:left="720"/>
      <w:contextualSpacing/>
    </w:pPr>
  </w:style>
  <w:style w:type="character" w:styleId="Hyperlink">
    <w:name w:val="Hyperlink"/>
    <w:basedOn w:val="DefaultParagraphFont"/>
    <w:uiPriority w:val="99"/>
    <w:unhideWhenUsed/>
    <w:rsid w:val="00C62AC3"/>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qFormat/>
    <w:rsid w:val="000A7858"/>
    <w:pPr>
      <w:spacing w:before="240" w:after="0"/>
      <w:outlineLvl w:val="9"/>
    </w:pPr>
    <w:rPr>
      <w:rFonts w:ascii="Arial" w:hAnsi="Arial"/>
      <w:color w:val="A4821C" w:themeColor="accent1" w:themeShade="BF"/>
      <w:sz w:val="32"/>
    </w:rPr>
  </w:style>
  <w:style w:type="paragraph" w:customStyle="1" w:styleId="Compact">
    <w:name w:val="Compact"/>
    <w:basedOn w:val="Normal"/>
    <w:qFormat/>
    <w:rsid w:val="000A7858"/>
    <w:pPr>
      <w:spacing w:before="36" w:after="36"/>
    </w:pPr>
    <w:rPr>
      <w:rFonts w:eastAsia="Libre Franklin" w:cs="Libre Franklin"/>
      <w:kern w:val="21"/>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pPr>
    <w:rPr>
      <w:rFonts w:eastAsia="Libre Franklin" w:cs="Libre Franklin"/>
      <w:kern w:val="21"/>
      <w:szCs w:val="20"/>
    </w:rPr>
  </w:style>
  <w:style w:type="paragraph" w:styleId="Bibliography">
    <w:name w:val="Bibliography"/>
    <w:basedOn w:val="Normal"/>
    <w:rsid w:val="000A7858"/>
    <w:pPr>
      <w:spacing w:before="180" w:after="180"/>
    </w:pPr>
    <w:rPr>
      <w:rFonts w:eastAsia="Libre Franklin" w:cs="Libre Franklin"/>
      <w:kern w:val="21"/>
    </w:rPr>
  </w:style>
  <w:style w:type="paragraph" w:customStyle="1" w:styleId="BlockQuote">
    <w:name w:val="Block Quote"/>
    <w:basedOn w:val="Normal"/>
    <w:next w:val="Normal"/>
    <w:uiPriority w:val="9"/>
    <w:unhideWhenUsed/>
    <w:qFormat/>
    <w:rsid w:val="000A7858"/>
    <w:pPr>
      <w:spacing w:before="100" w:after="100"/>
    </w:pPr>
    <w:rPr>
      <w:rFonts w:asciiTheme="majorHAnsi" w:eastAsiaTheme="majorEastAsia" w:hAnsiTheme="majorHAnsi" w:cstheme="majorBidi"/>
      <w:bCs/>
      <w:kern w:val="21"/>
      <w:szCs w:val="20"/>
    </w:rPr>
  </w:style>
  <w:style w:type="paragraph" w:styleId="FootnoteText">
    <w:name w:val="footnote text"/>
    <w:basedOn w:val="Normal"/>
    <w:link w:val="FootnoteTextChar"/>
    <w:uiPriority w:val="9"/>
    <w:unhideWhenUsed/>
    <w:qFormat/>
    <w:rsid w:val="00C62AC3"/>
    <w:pPr>
      <w:spacing w:before="0" w:line="240" w:lineRule="auto"/>
    </w:pPr>
    <w:rPr>
      <w:sz w:val="20"/>
      <w:szCs w:val="20"/>
    </w:rPr>
  </w:style>
  <w:style w:type="character" w:customStyle="1" w:styleId="FootnoteTextChar">
    <w:name w:val="Footnote Text Char"/>
    <w:basedOn w:val="DefaultParagraphFont"/>
    <w:link w:val="FootnoteText"/>
    <w:uiPriority w:val="9"/>
    <w:rsid w:val="00C62AC3"/>
    <w:rPr>
      <w:rFonts w:ascii="Franklin Gothic Book" w:eastAsia="MS Mincho" w:hAnsi="Franklin Gothic Book" w:cs="Times New Roman"/>
      <w:spacing w:val="2"/>
      <w:sz w:val="20"/>
      <w:szCs w:val="20"/>
      <w:lang w:val="en-GB"/>
    </w:rPr>
  </w:style>
  <w:style w:type="paragraph" w:customStyle="1" w:styleId="DefinitionTerm">
    <w:name w:val="Definition Term"/>
    <w:basedOn w:val="Normal"/>
    <w:next w:val="Definition"/>
    <w:rsid w:val="00C25CD5"/>
    <w:pPr>
      <w:keepNext/>
      <w:keepLines/>
      <w:spacing w:before="180"/>
    </w:pPr>
    <w:rPr>
      <w:rFonts w:eastAsia="Libre Franklin" w:cs="Libre Franklin"/>
      <w:b/>
      <w:kern w:val="21"/>
    </w:rPr>
  </w:style>
  <w:style w:type="paragraph" w:customStyle="1" w:styleId="Definition">
    <w:name w:val="Definition"/>
    <w:basedOn w:val="Normal"/>
    <w:rsid w:val="00C25CD5"/>
    <w:pPr>
      <w:spacing w:before="180" w:after="180"/>
    </w:pPr>
    <w:rPr>
      <w:rFonts w:eastAsia="Libre Franklin" w:cs="Libre Franklin"/>
      <w:kern w:val="21"/>
    </w:rPr>
  </w:style>
  <w:style w:type="paragraph" w:styleId="BodyText">
    <w:name w:val="Body Text"/>
    <w:basedOn w:val="Normal"/>
    <w:link w:val="BodyTextChar"/>
    <w:rsid w:val="00C25CD5"/>
    <w:pPr>
      <w:spacing w:before="180" w:after="120"/>
    </w:pPr>
    <w:rPr>
      <w:rFonts w:eastAsia="Libre Franklin" w:cs="Libre Franklin"/>
      <w:kern w:val="21"/>
    </w:rPr>
  </w:style>
  <w:style w:type="character" w:customStyle="1" w:styleId="BodyTextChar">
    <w:name w:val="Body Text Char"/>
    <w:basedOn w:val="DefaultParagraphFont"/>
    <w:link w:val="BodyText"/>
    <w:rsid w:val="00C25CD5"/>
    <w:rPr>
      <w:rFonts w:ascii="Franklin Gothic Book" w:hAnsi="Franklin Gothic Book"/>
      <w:spacing w:val="2"/>
      <w:kern w:val="21"/>
      <w:szCs w:val="24"/>
      <w:lang w:val="en-GB"/>
    </w:rPr>
  </w:style>
  <w:style w:type="paragraph" w:customStyle="1" w:styleId="TableCaption">
    <w:name w:val="Table Caption"/>
    <w:basedOn w:val="Normal"/>
    <w:rsid w:val="00C25CD5"/>
    <w:pPr>
      <w:spacing w:after="120"/>
    </w:pPr>
    <w:rPr>
      <w:rFonts w:eastAsia="Libre Franklin" w:cs="Libre Franklin"/>
      <w:i/>
      <w:kern w:val="21"/>
    </w:rPr>
  </w:style>
  <w:style w:type="paragraph" w:customStyle="1" w:styleId="ImageCaption">
    <w:name w:val="Image Caption"/>
    <w:basedOn w:val="Normal"/>
    <w:rsid w:val="00C25CD5"/>
    <w:pPr>
      <w:spacing w:after="120"/>
    </w:pPr>
    <w:rPr>
      <w:rFonts w:eastAsia="Libre Franklin" w:cs="Libre Franklin"/>
      <w:i/>
      <w:kern w:val="21"/>
    </w:rPr>
  </w:style>
  <w:style w:type="character" w:customStyle="1" w:styleId="VerbatimChar">
    <w:name w:val="Verbatim Char"/>
    <w:basedOn w:val="BodyTextChar"/>
    <w:link w:val="SourceCode"/>
    <w:rsid w:val="00C25CD5"/>
    <w:rPr>
      <w:rFonts w:ascii="Consolas" w:hAnsi="Consolas"/>
      <w:spacing w:val="2"/>
      <w:kern w:val="21"/>
      <w:sz w:val="22"/>
      <w:szCs w:val="24"/>
      <w:lang w:val="en-GB"/>
    </w:rPr>
  </w:style>
  <w:style w:type="paragraph" w:customStyle="1" w:styleId="SourceCode">
    <w:name w:val="Source Code"/>
    <w:basedOn w:val="Normal"/>
    <w:link w:val="VerbatimChar"/>
    <w:rsid w:val="00C25CD5"/>
    <w:pPr>
      <w:wordWrap w:val="0"/>
      <w:spacing w:before="180" w:after="180"/>
    </w:pPr>
    <w:rPr>
      <w:rFonts w:ascii="Consolas" w:eastAsia="Libre Franklin" w:hAnsi="Consolas" w:cs="Libre Franklin"/>
      <w:kern w:val="21"/>
      <w:sz w:val="22"/>
    </w:rPr>
  </w:style>
  <w:style w:type="character" w:customStyle="1" w:styleId="FootnoteRef">
    <w:name w:val="Footnote Ref"/>
    <w:basedOn w:val="BodyTextChar"/>
    <w:rsid w:val="00C25CD5"/>
    <w:rPr>
      <w:rFonts w:ascii="Franklin Gothic Book" w:hAnsi="Franklin Gothic Book"/>
      <w:spacing w:val="2"/>
      <w:kern w:val="21"/>
      <w:sz w:val="20"/>
      <w:szCs w:val="24"/>
      <w:vertAlign w:val="superscript"/>
      <w:lang w:val="en-GB"/>
    </w:rPr>
  </w:style>
  <w:style w:type="character" w:customStyle="1" w:styleId="Link">
    <w:name w:val="Link"/>
    <w:basedOn w:val="BodyTextChar"/>
    <w:rsid w:val="00C25CD5"/>
    <w:rPr>
      <w:rFonts w:ascii="Franklin Gothic Book" w:hAnsi="Franklin Gothic Book"/>
      <w:color w:val="DAAE28" w:themeColor="accent1"/>
      <w:spacing w:val="2"/>
      <w:kern w:val="21"/>
      <w:sz w:val="20"/>
      <w:szCs w:val="24"/>
      <w:lang w:val="en-GB"/>
    </w:rPr>
  </w:style>
  <w:style w:type="paragraph" w:customStyle="1" w:styleId="SourceCode1">
    <w:name w:val="Source Code1"/>
    <w:basedOn w:val="Normal"/>
    <w:rsid w:val="00C25CD5"/>
    <w:pPr>
      <w:wordWrap w:val="0"/>
      <w:spacing w:before="180" w:after="180"/>
    </w:pPr>
    <w:rPr>
      <w:rFonts w:eastAsia="Libre Franklin" w:cs="Libre Franklin"/>
      <w:kern w:val="21"/>
    </w:rPr>
  </w:style>
  <w:style w:type="character" w:customStyle="1" w:styleId="KeywordTok">
    <w:name w:val="KeywordTok"/>
    <w:basedOn w:val="VerbatimChar"/>
    <w:rsid w:val="00C25CD5"/>
    <w:rPr>
      <w:rFonts w:ascii="Consolas" w:hAnsi="Consolas"/>
      <w:b/>
      <w:color w:val="007020"/>
      <w:spacing w:val="2"/>
      <w:kern w:val="21"/>
      <w:sz w:val="20"/>
      <w:szCs w:val="24"/>
      <w:lang w:val="en-GB"/>
    </w:rPr>
  </w:style>
  <w:style w:type="character" w:customStyle="1" w:styleId="DataTypeTok">
    <w:name w:val="DataTypeTok"/>
    <w:basedOn w:val="VerbatimChar"/>
    <w:rsid w:val="00C25CD5"/>
    <w:rPr>
      <w:rFonts w:ascii="Consolas" w:hAnsi="Consolas"/>
      <w:color w:val="902000"/>
      <w:spacing w:val="2"/>
      <w:kern w:val="21"/>
      <w:sz w:val="20"/>
      <w:szCs w:val="24"/>
      <w:lang w:val="en-GB"/>
    </w:rPr>
  </w:style>
  <w:style w:type="character" w:customStyle="1" w:styleId="DecValTok">
    <w:name w:val="DecValTok"/>
    <w:basedOn w:val="VerbatimChar"/>
    <w:rsid w:val="00C25CD5"/>
    <w:rPr>
      <w:rFonts w:ascii="Consolas" w:hAnsi="Consolas"/>
      <w:color w:val="40A070"/>
      <w:spacing w:val="2"/>
      <w:kern w:val="21"/>
      <w:sz w:val="20"/>
      <w:szCs w:val="24"/>
      <w:lang w:val="en-GB"/>
    </w:rPr>
  </w:style>
  <w:style w:type="character" w:customStyle="1" w:styleId="BaseNTok">
    <w:name w:val="BaseNTok"/>
    <w:basedOn w:val="VerbatimChar"/>
    <w:rsid w:val="00C25CD5"/>
    <w:rPr>
      <w:rFonts w:ascii="Consolas" w:hAnsi="Consolas"/>
      <w:color w:val="40A070"/>
      <w:spacing w:val="2"/>
      <w:kern w:val="21"/>
      <w:sz w:val="20"/>
      <w:szCs w:val="24"/>
      <w:lang w:val="en-GB"/>
    </w:rPr>
  </w:style>
  <w:style w:type="character" w:customStyle="1" w:styleId="FloatTok">
    <w:name w:val="FloatTok"/>
    <w:basedOn w:val="VerbatimChar"/>
    <w:rsid w:val="00C25CD5"/>
    <w:rPr>
      <w:rFonts w:ascii="Consolas" w:hAnsi="Consolas"/>
      <w:color w:val="40A070"/>
      <w:spacing w:val="2"/>
      <w:kern w:val="21"/>
      <w:sz w:val="20"/>
      <w:szCs w:val="24"/>
      <w:lang w:val="en-GB"/>
    </w:rPr>
  </w:style>
  <w:style w:type="character" w:customStyle="1" w:styleId="CharTok">
    <w:name w:val="CharTok"/>
    <w:basedOn w:val="VerbatimChar"/>
    <w:rsid w:val="00C25CD5"/>
    <w:rPr>
      <w:rFonts w:ascii="Consolas" w:hAnsi="Consolas"/>
      <w:color w:val="4070A0"/>
      <w:spacing w:val="2"/>
      <w:kern w:val="21"/>
      <w:sz w:val="20"/>
      <w:szCs w:val="24"/>
      <w:lang w:val="en-GB"/>
    </w:rPr>
  </w:style>
  <w:style w:type="character" w:customStyle="1" w:styleId="StringTok">
    <w:name w:val="StringTok"/>
    <w:basedOn w:val="VerbatimChar"/>
    <w:rsid w:val="00C25CD5"/>
    <w:rPr>
      <w:rFonts w:ascii="Consolas" w:hAnsi="Consolas"/>
      <w:color w:val="4070A0"/>
      <w:spacing w:val="2"/>
      <w:kern w:val="21"/>
      <w:sz w:val="20"/>
      <w:szCs w:val="24"/>
      <w:lang w:val="en-GB"/>
    </w:rPr>
  </w:style>
  <w:style w:type="character" w:customStyle="1" w:styleId="CommentTok">
    <w:name w:val="CommentTok"/>
    <w:basedOn w:val="VerbatimChar"/>
    <w:rsid w:val="00C25CD5"/>
    <w:rPr>
      <w:rFonts w:ascii="Consolas" w:hAnsi="Consolas"/>
      <w:i/>
      <w:color w:val="60A0B0"/>
      <w:spacing w:val="2"/>
      <w:kern w:val="21"/>
      <w:sz w:val="20"/>
      <w:szCs w:val="24"/>
      <w:lang w:val="en-GB"/>
    </w:rPr>
  </w:style>
  <w:style w:type="character" w:customStyle="1" w:styleId="OtherTok">
    <w:name w:val="OtherTok"/>
    <w:basedOn w:val="VerbatimChar"/>
    <w:rsid w:val="00C25CD5"/>
    <w:rPr>
      <w:rFonts w:ascii="Consolas" w:hAnsi="Consolas"/>
      <w:color w:val="007020"/>
      <w:spacing w:val="2"/>
      <w:kern w:val="21"/>
      <w:sz w:val="20"/>
      <w:szCs w:val="24"/>
      <w:lang w:val="en-GB"/>
    </w:rPr>
  </w:style>
  <w:style w:type="character" w:customStyle="1" w:styleId="AlertTok">
    <w:name w:val="AlertTok"/>
    <w:basedOn w:val="VerbatimChar"/>
    <w:rsid w:val="00C25CD5"/>
    <w:rPr>
      <w:rFonts w:ascii="Consolas" w:hAnsi="Consolas"/>
      <w:b/>
      <w:color w:val="FF0000"/>
      <w:spacing w:val="2"/>
      <w:kern w:val="21"/>
      <w:sz w:val="20"/>
      <w:szCs w:val="24"/>
      <w:lang w:val="en-GB"/>
    </w:rPr>
  </w:style>
  <w:style w:type="character" w:customStyle="1" w:styleId="FunctionTok">
    <w:name w:val="FunctionTok"/>
    <w:basedOn w:val="VerbatimChar"/>
    <w:rsid w:val="00C25CD5"/>
    <w:rPr>
      <w:rFonts w:ascii="Consolas" w:hAnsi="Consolas"/>
      <w:color w:val="06287E"/>
      <w:spacing w:val="2"/>
      <w:kern w:val="21"/>
      <w:sz w:val="20"/>
      <w:szCs w:val="24"/>
      <w:lang w:val="en-GB"/>
    </w:rPr>
  </w:style>
  <w:style w:type="character" w:customStyle="1" w:styleId="RegionMarkerTok">
    <w:name w:val="RegionMarkerTok"/>
    <w:basedOn w:val="VerbatimChar"/>
    <w:rsid w:val="00C25CD5"/>
    <w:rPr>
      <w:rFonts w:ascii="Consolas" w:hAnsi="Consolas"/>
      <w:spacing w:val="2"/>
      <w:kern w:val="21"/>
      <w:sz w:val="20"/>
      <w:szCs w:val="24"/>
      <w:lang w:val="en-GB"/>
    </w:rPr>
  </w:style>
  <w:style w:type="character" w:customStyle="1" w:styleId="ErrorTok">
    <w:name w:val="ErrorTok"/>
    <w:basedOn w:val="VerbatimChar"/>
    <w:rsid w:val="00C25CD5"/>
    <w:rPr>
      <w:rFonts w:ascii="Consolas" w:hAnsi="Consolas"/>
      <w:b/>
      <w:color w:val="FF0000"/>
      <w:spacing w:val="2"/>
      <w:kern w:val="21"/>
      <w:sz w:val="20"/>
      <w:szCs w:val="24"/>
      <w:lang w:val="en-GB"/>
    </w:rPr>
  </w:style>
  <w:style w:type="character" w:customStyle="1" w:styleId="NormalTok">
    <w:name w:val="NormalTok"/>
    <w:basedOn w:val="VerbatimChar"/>
    <w:rsid w:val="00C25CD5"/>
    <w:rPr>
      <w:rFonts w:ascii="Consolas" w:hAnsi="Consolas"/>
      <w:spacing w:val="2"/>
      <w:kern w:val="21"/>
      <w:sz w:val="20"/>
      <w:szCs w:val="24"/>
      <w:lang w:val="en-GB"/>
    </w:rPr>
  </w:style>
  <w:style w:type="character" w:customStyle="1" w:styleId="KeywordTok1">
    <w:name w:val="KeywordTok1"/>
    <w:basedOn w:val="VerbatimChar"/>
    <w:rsid w:val="00C25CD5"/>
    <w:rPr>
      <w:rFonts w:ascii="Consolas" w:hAnsi="Consolas"/>
      <w:b/>
      <w:color w:val="007020"/>
      <w:spacing w:val="2"/>
      <w:kern w:val="21"/>
      <w:sz w:val="20"/>
      <w:szCs w:val="24"/>
      <w:lang w:val="en-GB"/>
    </w:rPr>
  </w:style>
  <w:style w:type="character" w:customStyle="1" w:styleId="DataTypeTok1">
    <w:name w:val="DataTypeTok1"/>
    <w:basedOn w:val="VerbatimChar"/>
    <w:rsid w:val="00C25CD5"/>
    <w:rPr>
      <w:rFonts w:ascii="Consolas" w:hAnsi="Consolas"/>
      <w:color w:val="902000"/>
      <w:spacing w:val="2"/>
      <w:kern w:val="21"/>
      <w:sz w:val="20"/>
      <w:szCs w:val="24"/>
      <w:lang w:val="en-GB"/>
    </w:rPr>
  </w:style>
  <w:style w:type="character" w:customStyle="1" w:styleId="DecValTok1">
    <w:name w:val="DecValTok1"/>
    <w:basedOn w:val="VerbatimChar"/>
    <w:rsid w:val="00C25CD5"/>
    <w:rPr>
      <w:rFonts w:ascii="Consolas" w:hAnsi="Consolas"/>
      <w:color w:val="40A070"/>
      <w:spacing w:val="2"/>
      <w:kern w:val="21"/>
      <w:sz w:val="20"/>
      <w:szCs w:val="24"/>
      <w:lang w:val="en-GB"/>
    </w:rPr>
  </w:style>
  <w:style w:type="character" w:customStyle="1" w:styleId="BaseNTok1">
    <w:name w:val="BaseNTok1"/>
    <w:basedOn w:val="VerbatimChar"/>
    <w:rsid w:val="00C25CD5"/>
    <w:rPr>
      <w:rFonts w:ascii="Consolas" w:hAnsi="Consolas"/>
      <w:color w:val="40A070"/>
      <w:spacing w:val="2"/>
      <w:kern w:val="21"/>
      <w:sz w:val="20"/>
      <w:szCs w:val="24"/>
      <w:lang w:val="en-GB"/>
    </w:rPr>
  </w:style>
  <w:style w:type="character" w:customStyle="1" w:styleId="FloatTok1">
    <w:name w:val="FloatTok1"/>
    <w:basedOn w:val="VerbatimChar"/>
    <w:rsid w:val="00C25CD5"/>
    <w:rPr>
      <w:rFonts w:ascii="Consolas" w:hAnsi="Consolas"/>
      <w:color w:val="40A070"/>
      <w:spacing w:val="2"/>
      <w:kern w:val="21"/>
      <w:sz w:val="20"/>
      <w:szCs w:val="24"/>
      <w:lang w:val="en-GB"/>
    </w:rPr>
  </w:style>
  <w:style w:type="character" w:customStyle="1" w:styleId="CharTok1">
    <w:name w:val="CharTok1"/>
    <w:basedOn w:val="VerbatimChar"/>
    <w:rsid w:val="00C25CD5"/>
    <w:rPr>
      <w:rFonts w:ascii="Consolas" w:hAnsi="Consolas"/>
      <w:color w:val="4070A0"/>
      <w:spacing w:val="2"/>
      <w:kern w:val="21"/>
      <w:sz w:val="20"/>
      <w:szCs w:val="24"/>
      <w:lang w:val="en-GB"/>
    </w:rPr>
  </w:style>
  <w:style w:type="character" w:customStyle="1" w:styleId="StringTok1">
    <w:name w:val="StringTok1"/>
    <w:basedOn w:val="VerbatimChar"/>
    <w:rsid w:val="00C25CD5"/>
    <w:rPr>
      <w:rFonts w:ascii="Consolas" w:hAnsi="Consolas"/>
      <w:color w:val="4070A0"/>
      <w:spacing w:val="2"/>
      <w:kern w:val="21"/>
      <w:sz w:val="20"/>
      <w:szCs w:val="24"/>
      <w:lang w:val="en-GB"/>
    </w:rPr>
  </w:style>
  <w:style w:type="character" w:customStyle="1" w:styleId="CommentTok1">
    <w:name w:val="CommentTok1"/>
    <w:basedOn w:val="VerbatimChar"/>
    <w:rsid w:val="00C25CD5"/>
    <w:rPr>
      <w:rFonts w:ascii="Consolas" w:hAnsi="Consolas"/>
      <w:i/>
      <w:color w:val="60A0B0"/>
      <w:spacing w:val="2"/>
      <w:kern w:val="21"/>
      <w:sz w:val="20"/>
      <w:szCs w:val="24"/>
      <w:lang w:val="en-GB"/>
    </w:rPr>
  </w:style>
  <w:style w:type="character" w:customStyle="1" w:styleId="OtherTok1">
    <w:name w:val="OtherTok1"/>
    <w:basedOn w:val="VerbatimChar"/>
    <w:rsid w:val="00C25CD5"/>
    <w:rPr>
      <w:rFonts w:ascii="Consolas" w:hAnsi="Consolas"/>
      <w:color w:val="007020"/>
      <w:spacing w:val="2"/>
      <w:kern w:val="21"/>
      <w:sz w:val="20"/>
      <w:szCs w:val="24"/>
      <w:lang w:val="en-GB"/>
    </w:rPr>
  </w:style>
  <w:style w:type="character" w:customStyle="1" w:styleId="AlertTok1">
    <w:name w:val="AlertTok1"/>
    <w:basedOn w:val="VerbatimChar"/>
    <w:rsid w:val="00C25CD5"/>
    <w:rPr>
      <w:rFonts w:ascii="Consolas" w:hAnsi="Consolas"/>
      <w:b/>
      <w:color w:val="FF0000"/>
      <w:spacing w:val="2"/>
      <w:kern w:val="21"/>
      <w:sz w:val="20"/>
      <w:szCs w:val="24"/>
      <w:lang w:val="en-GB"/>
    </w:rPr>
  </w:style>
  <w:style w:type="character" w:customStyle="1" w:styleId="FunctionTok1">
    <w:name w:val="FunctionTok1"/>
    <w:basedOn w:val="VerbatimChar"/>
    <w:rsid w:val="00C25CD5"/>
    <w:rPr>
      <w:rFonts w:ascii="Consolas" w:hAnsi="Consolas"/>
      <w:color w:val="06287E"/>
      <w:spacing w:val="2"/>
      <w:kern w:val="21"/>
      <w:sz w:val="20"/>
      <w:szCs w:val="24"/>
      <w:lang w:val="en-GB"/>
    </w:rPr>
  </w:style>
  <w:style w:type="character" w:customStyle="1" w:styleId="RegionMarkerTok1">
    <w:name w:val="RegionMarkerTok1"/>
    <w:basedOn w:val="VerbatimChar"/>
    <w:rsid w:val="00C25CD5"/>
    <w:rPr>
      <w:rFonts w:ascii="Consolas" w:hAnsi="Consolas"/>
      <w:spacing w:val="2"/>
      <w:kern w:val="21"/>
      <w:sz w:val="20"/>
      <w:szCs w:val="24"/>
      <w:lang w:val="en-GB"/>
    </w:rPr>
  </w:style>
  <w:style w:type="character" w:customStyle="1" w:styleId="ErrorTok1">
    <w:name w:val="ErrorTok1"/>
    <w:basedOn w:val="VerbatimChar"/>
    <w:rsid w:val="00C25CD5"/>
    <w:rPr>
      <w:rFonts w:ascii="Consolas" w:hAnsi="Consolas"/>
      <w:b/>
      <w:color w:val="FF0000"/>
      <w:spacing w:val="2"/>
      <w:kern w:val="21"/>
      <w:sz w:val="20"/>
      <w:szCs w:val="24"/>
      <w:lang w:val="en-GB"/>
    </w:rPr>
  </w:style>
  <w:style w:type="character" w:customStyle="1" w:styleId="NormalTok1">
    <w:name w:val="NormalTok1"/>
    <w:basedOn w:val="VerbatimChar"/>
    <w:rsid w:val="00C25CD5"/>
    <w:rPr>
      <w:rFonts w:ascii="Consolas" w:hAnsi="Consolas"/>
      <w:spacing w:val="2"/>
      <w:kern w:val="21"/>
      <w:sz w:val="20"/>
      <w:szCs w:val="24"/>
      <w:lang w:val="en-GB"/>
    </w:rPr>
  </w:style>
  <w:style w:type="character" w:styleId="CommentReference">
    <w:name w:val="annotation reference"/>
    <w:basedOn w:val="DefaultParagraphFont"/>
    <w:semiHidden/>
    <w:unhideWhenUsed/>
    <w:rsid w:val="00C25CD5"/>
    <w:rPr>
      <w:sz w:val="16"/>
      <w:szCs w:val="16"/>
    </w:rPr>
  </w:style>
  <w:style w:type="paragraph" w:styleId="CommentText">
    <w:name w:val="annotation text"/>
    <w:basedOn w:val="Normal"/>
    <w:link w:val="CommentTextChar"/>
    <w:unhideWhenUsed/>
    <w:rsid w:val="00C25CD5"/>
    <w:pPr>
      <w:spacing w:before="180" w:after="180"/>
    </w:pPr>
    <w:rPr>
      <w:rFonts w:eastAsia="Libre Franklin" w:cs="Libre Franklin"/>
      <w:kern w:val="21"/>
      <w:szCs w:val="20"/>
    </w:rPr>
  </w:style>
  <w:style w:type="character" w:customStyle="1" w:styleId="CommentTextChar">
    <w:name w:val="Comment Text Char"/>
    <w:basedOn w:val="DefaultParagraphFont"/>
    <w:link w:val="CommentText"/>
    <w:rsid w:val="00C25CD5"/>
    <w:rPr>
      <w:rFonts w:ascii="Franklin Gothic Book" w:hAnsi="Franklin Gothic Book"/>
      <w:spacing w:val="2"/>
      <w:kern w:val="21"/>
      <w:szCs w:val="20"/>
      <w:lang w:val="en-GB"/>
    </w:rPr>
  </w:style>
  <w:style w:type="paragraph" w:styleId="CommentSubject">
    <w:name w:val="annotation subject"/>
    <w:basedOn w:val="CommentText"/>
    <w:next w:val="CommentText"/>
    <w:link w:val="CommentSubjectChar"/>
    <w:unhideWhenUsed/>
    <w:rsid w:val="00C25CD5"/>
    <w:rPr>
      <w:b/>
      <w:bCs/>
    </w:rPr>
  </w:style>
  <w:style w:type="character" w:customStyle="1" w:styleId="CommentSubjectChar">
    <w:name w:val="Comment Subject Char"/>
    <w:basedOn w:val="CommentTextChar"/>
    <w:link w:val="CommentSubject"/>
    <w:rsid w:val="00C25CD5"/>
    <w:rPr>
      <w:rFonts w:ascii="Franklin Gothic Book" w:hAnsi="Franklin Gothic Book"/>
      <w:b/>
      <w:bCs/>
      <w:spacing w:val="2"/>
      <w:kern w:val="21"/>
      <w:sz w:val="20"/>
      <w:szCs w:val="20"/>
      <w:lang w:val="en-GB"/>
    </w:rPr>
  </w:style>
  <w:style w:type="paragraph" w:styleId="BalloonText">
    <w:name w:val="Balloon Text"/>
    <w:basedOn w:val="Normal"/>
    <w:link w:val="BalloonTextChar"/>
    <w:semiHidden/>
    <w:unhideWhenUsed/>
    <w:rsid w:val="00C62AC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62AC3"/>
    <w:rPr>
      <w:rFonts w:ascii="Segoe UI" w:eastAsia="MS Mincho" w:hAnsi="Segoe UI" w:cs="Segoe UI"/>
      <w:spacing w:val="2"/>
      <w:sz w:val="18"/>
      <w:szCs w:val="18"/>
      <w:lang w:val="en-GB"/>
    </w:rPr>
  </w:style>
  <w:style w:type="paragraph" w:styleId="TOC3">
    <w:name w:val="toc 3"/>
    <w:basedOn w:val="Normal"/>
    <w:next w:val="Normal"/>
    <w:autoRedefine/>
    <w:uiPriority w:val="39"/>
    <w:unhideWhenUsed/>
    <w:rsid w:val="001C3706"/>
    <w:pPr>
      <w:tabs>
        <w:tab w:val="left" w:pos="720"/>
        <w:tab w:val="right" w:leader="dot" w:pos="9350"/>
      </w:tabs>
      <w:spacing w:before="180" w:after="100"/>
      <w:ind w:left="180"/>
    </w:pPr>
    <w:rPr>
      <w:rFonts w:eastAsia="Libre Franklin" w:cs="Libre Franklin"/>
      <w:kern w:val="21"/>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pPr>
    <w:rPr>
      <w:kern w:val="21"/>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semiHidden/>
    <w:unhideWhenUsed/>
    <w:rsid w:val="00C62AC3"/>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rFonts w:eastAsia="Libre Franklin" w:cs="Libre Franklin"/>
      <w:kern w:val="21"/>
      <w:sz w:val="22"/>
      <w:szCs w:val="21"/>
    </w:rPr>
  </w:style>
  <w:style w:type="paragraph" w:styleId="TOC5">
    <w:name w:val="toc 5"/>
    <w:basedOn w:val="Normal"/>
    <w:next w:val="Normal"/>
    <w:autoRedefine/>
    <w:uiPriority w:val="39"/>
    <w:unhideWhenUsed/>
    <w:rsid w:val="00C25CD5"/>
    <w:pPr>
      <w:spacing w:after="100" w:line="259" w:lineRule="auto"/>
      <w:ind w:left="880"/>
    </w:pPr>
    <w:rPr>
      <w:rFonts w:eastAsia="Libre Franklin" w:cs="Libre Franklin"/>
      <w:kern w:val="21"/>
      <w:sz w:val="22"/>
      <w:szCs w:val="21"/>
    </w:rPr>
  </w:style>
  <w:style w:type="paragraph" w:styleId="TOC6">
    <w:name w:val="toc 6"/>
    <w:basedOn w:val="Normal"/>
    <w:next w:val="Normal"/>
    <w:autoRedefine/>
    <w:uiPriority w:val="39"/>
    <w:unhideWhenUsed/>
    <w:rsid w:val="00C25CD5"/>
    <w:pPr>
      <w:spacing w:after="100" w:line="259" w:lineRule="auto"/>
      <w:ind w:left="1100"/>
    </w:pPr>
    <w:rPr>
      <w:rFonts w:eastAsia="Libre Franklin" w:cs="Libre Franklin"/>
      <w:kern w:val="21"/>
      <w:sz w:val="22"/>
      <w:szCs w:val="21"/>
    </w:rPr>
  </w:style>
  <w:style w:type="paragraph" w:styleId="TOC7">
    <w:name w:val="toc 7"/>
    <w:basedOn w:val="Normal"/>
    <w:next w:val="Normal"/>
    <w:autoRedefine/>
    <w:uiPriority w:val="39"/>
    <w:unhideWhenUsed/>
    <w:rsid w:val="00C25CD5"/>
    <w:pPr>
      <w:spacing w:after="100" w:line="259" w:lineRule="auto"/>
      <w:ind w:left="1320"/>
    </w:pPr>
    <w:rPr>
      <w:rFonts w:eastAsia="Libre Franklin" w:cs="Libre Franklin"/>
      <w:kern w:val="21"/>
      <w:sz w:val="22"/>
      <w:szCs w:val="21"/>
    </w:rPr>
  </w:style>
  <w:style w:type="paragraph" w:styleId="TOC8">
    <w:name w:val="toc 8"/>
    <w:basedOn w:val="Normal"/>
    <w:next w:val="Normal"/>
    <w:autoRedefine/>
    <w:uiPriority w:val="39"/>
    <w:unhideWhenUsed/>
    <w:rsid w:val="00C25CD5"/>
    <w:pPr>
      <w:spacing w:after="100" w:line="259" w:lineRule="auto"/>
      <w:ind w:left="1540"/>
    </w:pPr>
    <w:rPr>
      <w:rFonts w:eastAsia="Libre Franklin" w:cs="Libre Franklin"/>
      <w:kern w:val="21"/>
      <w:sz w:val="22"/>
      <w:szCs w:val="21"/>
    </w:rPr>
  </w:style>
  <w:style w:type="paragraph" w:styleId="TOC9">
    <w:name w:val="toc 9"/>
    <w:basedOn w:val="Normal"/>
    <w:next w:val="Normal"/>
    <w:autoRedefine/>
    <w:uiPriority w:val="39"/>
    <w:unhideWhenUsed/>
    <w:rsid w:val="00C25CD5"/>
    <w:pPr>
      <w:spacing w:after="100" w:line="259" w:lineRule="auto"/>
      <w:ind w:left="1760"/>
    </w:pPr>
    <w:rPr>
      <w:rFonts w:eastAsia="Libre Franklin" w:cs="Libre Franklin"/>
      <w:kern w:val="21"/>
      <w:sz w:val="22"/>
      <w:szCs w:val="21"/>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rsid w:val="000A7858"/>
    <w:rPr>
      <w:rFonts w:asciiTheme="majorHAnsi" w:eastAsiaTheme="majorEastAsia" w:hAnsiTheme="majorHAnsi" w:cstheme="majorBidi"/>
      <w:i/>
      <w:iCs/>
      <w:color w:val="6D5613" w:themeColor="accent1" w:themeShade="7F"/>
      <w:spacing w:val="2"/>
      <w:sz w:val="20"/>
      <w:lang w:val="en-GB"/>
    </w:rPr>
  </w:style>
  <w:style w:type="character" w:customStyle="1" w:styleId="Heading8Char">
    <w:name w:val="Heading 8 Char"/>
    <w:basedOn w:val="DefaultParagraphFont"/>
    <w:link w:val="Heading8"/>
    <w:rsid w:val="000A7858"/>
    <w:rPr>
      <w:rFonts w:asciiTheme="majorHAnsi" w:eastAsiaTheme="majorEastAsia" w:hAnsiTheme="majorHAnsi" w:cstheme="majorBidi"/>
      <w:color w:val="272727" w:themeColor="text1" w:themeTint="D8"/>
      <w:spacing w:val="2"/>
      <w:lang w:val="en-GB"/>
    </w:rPr>
  </w:style>
  <w:style w:type="character" w:customStyle="1" w:styleId="Heading9Char">
    <w:name w:val="Heading 9 Char"/>
    <w:basedOn w:val="DefaultParagraphFont"/>
    <w:link w:val="Heading9"/>
    <w:rsid w:val="000A7858"/>
    <w:rPr>
      <w:rFonts w:asciiTheme="majorHAnsi" w:eastAsiaTheme="majorEastAsia" w:hAnsiTheme="majorHAnsi" w:cstheme="majorBidi"/>
      <w:i/>
      <w:iCs/>
      <w:color w:val="272727" w:themeColor="text1" w:themeTint="D8"/>
      <w:spacing w:val="2"/>
      <w:lang w:val="en-GB"/>
    </w:rPr>
  </w:style>
  <w:style w:type="paragraph" w:customStyle="1" w:styleId="Intra-sectionheader">
    <w:name w:val="Intra-section header"/>
    <w:basedOn w:val="Normal"/>
    <w:link w:val="Intra-sectionheaderChar"/>
    <w:qFormat/>
    <w:rsid w:val="00193D61"/>
    <w:pPr>
      <w:spacing w:before="120" w:line="360" w:lineRule="auto"/>
    </w:pPr>
    <w:rPr>
      <w:rFonts w:ascii="Century Gothic" w:eastAsia="Libre Franklin" w:hAnsi="Century Gothic" w:cs="Libre Franklin"/>
      <w:color w:val="067198" w:themeColor="accent5"/>
      <w:szCs w:val="21"/>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C62AC3"/>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i/>
      <w:iCs/>
      <w:color w:val="766A62"/>
      <w:kern w:val="21"/>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5E3815"/>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autoRedefine/>
    <w:uiPriority w:val="5"/>
    <w:rsid w:val="00340A18"/>
    <w:pPr>
      <w:numPr>
        <w:numId w:val="2"/>
      </w:numPr>
      <w:spacing w:before="120" w:after="0"/>
    </w:pPr>
    <w:rPr>
      <w:color w:val="4F5150" w:themeColor="text2"/>
      <w14:textFill>
        <w14:solidFill>
          <w14:schemeClr w14:val="tx2">
            <w14:lumMod w14:val="95000"/>
            <w14:lumOff w14:val="5000"/>
            <w14:lumMod w14:val="95000"/>
            <w14:lumOff w14:val="5000"/>
          </w14:schemeClr>
        </w14:solidFill>
      </w14:textFill>
    </w:rPr>
  </w:style>
  <w:style w:type="paragraph" w:customStyle="1" w:styleId="Tableheader">
    <w:name w:val="Table header"/>
    <w:basedOn w:val="Normal"/>
    <w:link w:val="TableheaderChar"/>
    <w:uiPriority w:val="7"/>
    <w:rsid w:val="00675EF9"/>
    <w:pPr>
      <w:spacing w:after="120" w:line="288" w:lineRule="auto"/>
    </w:pPr>
    <w:rPr>
      <w:rFonts w:eastAsia="Libre Franklin" w:cs="Libre Franklin"/>
      <w:kern w:val="21"/>
      <w:sz w:val="22"/>
      <w:szCs w:val="21"/>
    </w:rPr>
  </w:style>
  <w:style w:type="character" w:customStyle="1" w:styleId="TableheaderChar">
    <w:name w:val="Table header Char"/>
    <w:basedOn w:val="DefaultParagraphFont"/>
    <w:link w:val="Tableheader"/>
    <w:uiPriority w:val="7"/>
    <w:rsid w:val="00675EF9"/>
    <w:rPr>
      <w:rFonts w:ascii="Franklin Gothic Book" w:hAnsi="Franklin Gothic Book"/>
      <w:spacing w:val="2"/>
      <w:kern w:val="21"/>
      <w:sz w:val="22"/>
      <w:lang w:val="en-GB"/>
    </w:rPr>
  </w:style>
  <w:style w:type="paragraph" w:customStyle="1" w:styleId="Heading31">
    <w:name w:val="Heading 31"/>
    <w:basedOn w:val="Heading3"/>
    <w:link w:val="heading3Char0"/>
    <w:rsid w:val="00A226CA"/>
    <w:pPr>
      <w:numPr>
        <w:numId w:val="1"/>
      </w:numPr>
      <w:spacing w:before="0" w:after="240"/>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Cs/>
      <w:color w:val="005B82"/>
      <w:kern w:val="21"/>
      <w:szCs w:val="20"/>
      <w:lang w:val="en-CA"/>
    </w:rPr>
  </w:style>
  <w:style w:type="paragraph" w:styleId="Revision">
    <w:name w:val="Revision"/>
    <w:hidden/>
    <w:uiPriority w:val="99"/>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C62AC3"/>
    <w:rPr>
      <w:color w:val="808080"/>
    </w:rPr>
  </w:style>
  <w:style w:type="paragraph" w:styleId="Caption">
    <w:name w:val="caption"/>
    <w:basedOn w:val="Normal"/>
    <w:next w:val="Normal"/>
    <w:uiPriority w:val="35"/>
    <w:unhideWhenUsed/>
    <w:qFormat/>
    <w:rsid w:val="000A7858"/>
    <w:pPr>
      <w:spacing w:after="200"/>
    </w:pPr>
    <w:rPr>
      <w:rFonts w:ascii="Century Gothic" w:eastAsia="Libre Franklin" w:hAnsi="Century Gothic" w:cs="Libre Franklin"/>
      <w:b/>
      <w:iCs/>
      <w:color w:val="595959" w:themeColor="text1" w:themeTint="A6"/>
      <w:kern w:val="21"/>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eastAsia="MS Mincho" w:hAnsi="Avenir LT Com 35 Light" w:cs="Times New Roman"/>
      <w:color w:val="000000" w:themeColor="text1"/>
      <w:spacing w:val="2"/>
      <w:kern w:val="21"/>
      <w:sz w:val="21"/>
      <w:szCs w:val="24"/>
      <w:lang w:val="en-GB"/>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C62AC3"/>
    <w:pPr>
      <w:keepNext w:val="0"/>
      <w:keepLines w:val="0"/>
      <w:numPr>
        <w:numId w:val="0"/>
      </w:numPr>
      <w:pBdr>
        <w:bottom w:val="single" w:sz="4" w:space="1" w:color="2B3A57"/>
      </w:pBdr>
      <w:tabs>
        <w:tab w:val="clear" w:pos="720"/>
      </w:tabs>
      <w:spacing w:after="360"/>
    </w:pPr>
    <w:rPr>
      <w:kern w:val="21"/>
      <w:szCs w:val="72"/>
    </w:rPr>
  </w:style>
  <w:style w:type="character" w:customStyle="1" w:styleId="TOCChar">
    <w:name w:val="TOC Char"/>
    <w:basedOn w:val="Heading1Char"/>
    <w:link w:val="TOC"/>
    <w:rsid w:val="00C62AC3"/>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rPr>
      <w:rFonts w:ascii="Calibri Light" w:eastAsia="Libre Franklin" w:hAnsi="Calibri Light" w:cs="Libre Franklin"/>
      <w:color w:val="4F5150"/>
      <w:kern w:val="21"/>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5"/>
      </w:numPr>
    </w:pPr>
    <w:rPr>
      <w:b/>
      <w:sz w:val="26"/>
    </w:rPr>
  </w:style>
  <w:style w:type="paragraph" w:customStyle="1" w:styleId="Note">
    <w:name w:val="Note"/>
    <w:basedOn w:val="Normal"/>
    <w:link w:val="NoteChar"/>
    <w:qFormat/>
    <w:rsid w:val="000A7858"/>
    <w:pPr>
      <w:spacing w:before="180" w:after="240" w:line="264" w:lineRule="auto"/>
    </w:pPr>
    <w:rPr>
      <w:rFonts w:eastAsia="Libre Franklin" w:cs="Libre Franklin"/>
      <w:i/>
      <w:color w:val="4F5150" w:themeColor="text2"/>
      <w:kern w:val="21"/>
      <w:szCs w:val="21"/>
    </w:rPr>
  </w:style>
  <w:style w:type="paragraph" w:customStyle="1" w:styleId="TableHeader0">
    <w:name w:val="Table Header"/>
    <w:basedOn w:val="FigureandTableTitles"/>
    <w:link w:val="TableHeaderChar0"/>
    <w:qFormat/>
    <w:rsid w:val="00C62AC3"/>
    <w:pPr>
      <w:spacing w:before="120" w:after="120" w:line="240" w:lineRule="auto"/>
    </w:pPr>
    <w:rPr>
      <w:rFonts w:ascii="Franklin Gothic Book" w:hAnsi="Franklin Gothic Book"/>
      <w:color w:val="FFFFFF" w:themeColor="background1"/>
      <w:spacing w:val="4"/>
    </w:rPr>
  </w:style>
  <w:style w:type="character" w:customStyle="1" w:styleId="TableHeaderChar0">
    <w:name w:val="Table Header Char"/>
    <w:basedOn w:val="FigureandTableTitlesChar"/>
    <w:link w:val="TableHeader0"/>
    <w:rsid w:val="00C62AC3"/>
    <w:rPr>
      <w:rFonts w:ascii="Franklin Gothic Book" w:eastAsia="MS Mincho" w:hAnsi="Franklin Gothic Book" w:cs="Times New Roman"/>
      <w:b/>
      <w:color w:val="FFFFFF" w:themeColor="background1"/>
      <w:spacing w:val="4"/>
      <w:sz w:val="20"/>
      <w:szCs w:val="20"/>
      <w:lang w:val="en-GB"/>
    </w:rPr>
  </w:style>
  <w:style w:type="paragraph" w:customStyle="1" w:styleId="TableText">
    <w:name w:val="Table Text"/>
    <w:basedOn w:val="FigureandTableTitles"/>
    <w:link w:val="TableTextChar"/>
    <w:qFormat/>
    <w:rsid w:val="00C62AC3"/>
    <w:pPr>
      <w:spacing w:before="160" w:after="160" w:line="276" w:lineRule="auto"/>
    </w:pPr>
    <w:rPr>
      <w:rFonts w:ascii="Franklin Gothic Book" w:hAnsi="Franklin Gothic Book"/>
      <w:b w:val="0"/>
      <w:color w:val="404040"/>
      <w:sz w:val="19"/>
      <w:szCs w:val="19"/>
    </w:rPr>
  </w:style>
  <w:style w:type="character" w:customStyle="1" w:styleId="TableTextChar">
    <w:name w:val="Table Text Char"/>
    <w:basedOn w:val="FigureandTableTitlesChar"/>
    <w:link w:val="TableText"/>
    <w:rsid w:val="00C62AC3"/>
    <w:rPr>
      <w:rFonts w:ascii="Franklin Gothic Book" w:eastAsia="MS Mincho" w:hAnsi="Franklin Gothic Book" w:cs="Times New Roman"/>
      <w:b w:val="0"/>
      <w:color w:val="404040"/>
      <w:spacing w:val="2"/>
      <w:sz w:val="19"/>
      <w:szCs w:val="19"/>
      <w:lang w:val="en-GB"/>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eastAsia="MS Mincho" w:hAnsi="Century Gothic" w:cs="Times New Roman"/>
      <w:color w:val="262626"/>
      <w:spacing w:val="2"/>
      <w:kern w:val="21"/>
      <w:sz w:val="21"/>
      <w:szCs w:val="24"/>
      <w:lang w:val="en-GB"/>
      <w14:textFill>
        <w14:solidFill>
          <w14:srgbClr w14:val="262626">
            <w14:lumMod w14:val="65000"/>
            <w14:lumOff w14:val="35000"/>
            <w14:lumMod w14:val="65000"/>
            <w14:lumOff w14:val="35000"/>
          </w14:srgbClr>
        </w14:solidFill>
      </w14:textFill>
    </w:rPr>
  </w:style>
  <w:style w:type="paragraph" w:customStyle="1" w:styleId="Notes">
    <w:name w:val="Notes"/>
    <w:basedOn w:val="Normal"/>
    <w:link w:val="NotesChar"/>
    <w:qFormat/>
    <w:rsid w:val="00C62AC3"/>
    <w:pPr>
      <w:spacing w:before="180" w:after="300" w:line="240" w:lineRule="auto"/>
    </w:pPr>
    <w:rPr>
      <w:i/>
      <w:color w:val="4F5150"/>
    </w:rPr>
  </w:style>
  <w:style w:type="character" w:customStyle="1" w:styleId="NotesChar">
    <w:name w:val="Notes Char"/>
    <w:basedOn w:val="DefaultParagraphFont"/>
    <w:link w:val="Notes"/>
    <w:rsid w:val="00C62AC3"/>
    <w:rPr>
      <w:rFonts w:ascii="Franklin Gothic Book" w:eastAsia="MS Mincho" w:hAnsi="Franklin Gothic Book" w:cs="Times New Roman"/>
      <w:i/>
      <w:color w:val="4F5150"/>
      <w:spacing w:val="2"/>
      <w:szCs w:val="24"/>
      <w:lang w:val="en-GB"/>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style>
  <w:style w:type="paragraph" w:customStyle="1" w:styleId="TemplateTitle">
    <w:name w:val="Template Title"/>
    <w:basedOn w:val="Heading1"/>
    <w:link w:val="TemplateTitleChar"/>
    <w:qFormat/>
    <w:rsid w:val="00146584"/>
    <w:p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lang w:val="en-GB"/>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lang w:val="en-GB"/>
    </w:rPr>
  </w:style>
  <w:style w:type="paragraph" w:customStyle="1" w:styleId="BodyText1">
    <w:name w:val="Body Text1"/>
    <w:basedOn w:val="Normal"/>
    <w:link w:val="BodytextChar0"/>
    <w:qFormat/>
    <w:rsid w:val="00CE7A4C"/>
    <w:pPr>
      <w:spacing w:after="160"/>
    </w:pPr>
    <w:rPr>
      <w:rFonts w:eastAsia="Libre Franklin" w:cs="Libre Franklin"/>
      <w:kern w:val="21"/>
      <w:szCs w:val="21"/>
    </w:rPr>
  </w:style>
  <w:style w:type="paragraph" w:customStyle="1" w:styleId="Header-V4">
    <w:name w:val="Header - V4"/>
    <w:basedOn w:val="Intra-sectionheader"/>
    <w:link w:val="Header-V4Char"/>
    <w:qFormat/>
    <w:rsid w:val="00CE7A4C"/>
  </w:style>
  <w:style w:type="character" w:customStyle="1" w:styleId="BodytextChar0">
    <w:name w:val="Body text Char"/>
    <w:basedOn w:val="DefaultParagraphFont"/>
    <w:link w:val="BodyText1"/>
    <w:rsid w:val="00CE7A4C"/>
    <w:rPr>
      <w:rFonts w:ascii="Franklin Gothic Book" w:hAnsi="Franklin Gothic Book"/>
      <w:spacing w:val="2"/>
      <w:kern w:val="21"/>
      <w:lang w:val="en-GB"/>
    </w:rPr>
  </w:style>
  <w:style w:type="character" w:customStyle="1" w:styleId="Header-V4Char">
    <w:name w:val="Header - V4 Char"/>
    <w:basedOn w:val="Intra-sectionheaderChar"/>
    <w:link w:val="Header-V4"/>
    <w:rsid w:val="00CE7A4C"/>
    <w:rPr>
      <w:rFonts w:ascii="Century Gothic" w:hAnsi="Century Gothic"/>
      <w:color w:val="067198" w:themeColor="accent5"/>
      <w:sz w:val="24"/>
    </w:rPr>
  </w:style>
  <w:style w:type="paragraph" w:styleId="BodyTextIndent">
    <w:name w:val="Body Text Indent"/>
    <w:basedOn w:val="Normal"/>
    <w:link w:val="BodyTextIndentChar"/>
    <w:unhideWhenUsed/>
    <w:rsid w:val="00A36171"/>
    <w:pPr>
      <w:spacing w:after="120"/>
      <w:ind w:left="360"/>
    </w:pPr>
    <w:rPr>
      <w:rFonts w:eastAsia="Libre Franklin" w:cs="Libre Franklin"/>
      <w:kern w:val="21"/>
      <w:szCs w:val="21"/>
    </w:rPr>
  </w:style>
  <w:style w:type="character" w:customStyle="1" w:styleId="BodyTextIndentChar">
    <w:name w:val="Body Text Indent Char"/>
    <w:basedOn w:val="DefaultParagraphFont"/>
    <w:link w:val="BodyTextIndent"/>
    <w:rsid w:val="00A36171"/>
    <w:rPr>
      <w:rFonts w:ascii="Franklin Gothic Book" w:hAnsi="Franklin Gothic Book"/>
      <w:spacing w:val="2"/>
      <w:kern w:val="21"/>
      <w:lang w:val="en-GB"/>
    </w:rPr>
  </w:style>
  <w:style w:type="paragraph" w:styleId="BodyTextIndent2">
    <w:name w:val="Body Text Indent 2"/>
    <w:basedOn w:val="Normal"/>
    <w:link w:val="BodyTextIndent2Char"/>
    <w:unhideWhenUsed/>
    <w:rsid w:val="00A36171"/>
    <w:pPr>
      <w:spacing w:after="120" w:line="480" w:lineRule="auto"/>
      <w:ind w:left="360"/>
    </w:pPr>
    <w:rPr>
      <w:rFonts w:eastAsia="Libre Franklin" w:cs="Libre Franklin"/>
      <w:kern w:val="21"/>
      <w:szCs w:val="21"/>
    </w:rPr>
  </w:style>
  <w:style w:type="character" w:customStyle="1" w:styleId="BodyTextIndent2Char">
    <w:name w:val="Body Text Indent 2 Char"/>
    <w:basedOn w:val="DefaultParagraphFont"/>
    <w:link w:val="BodyTextIndent2"/>
    <w:rsid w:val="00A36171"/>
    <w:rPr>
      <w:rFonts w:ascii="Franklin Gothic Book" w:hAnsi="Franklin Gothic Book"/>
      <w:spacing w:val="2"/>
      <w:kern w:val="21"/>
      <w:lang w:val="en-GB"/>
    </w:rPr>
  </w:style>
  <w:style w:type="paragraph" w:styleId="BodyTextIndent3">
    <w:name w:val="Body Text Indent 3"/>
    <w:basedOn w:val="Normal"/>
    <w:link w:val="BodyTextIndent3Char"/>
    <w:rsid w:val="00A36171"/>
    <w:pPr>
      <w:ind w:left="720"/>
    </w:pPr>
    <w:rPr>
      <w:i/>
      <w:iCs/>
      <w:sz w:val="18"/>
      <w:lang w:eastAsia="ja-JP"/>
    </w:rPr>
  </w:style>
  <w:style w:type="character" w:customStyle="1" w:styleId="BodyTextIndent3Char">
    <w:name w:val="Body Text Indent 3 Char"/>
    <w:basedOn w:val="DefaultParagraphFont"/>
    <w:link w:val="BodyTextIndent3"/>
    <w:rsid w:val="00A36171"/>
    <w:rPr>
      <w:rFonts w:ascii="Franklin Gothic Book" w:eastAsia="MS Mincho" w:hAnsi="Franklin Gothic Book" w:cs="Times New Roman"/>
      <w:i/>
      <w:iCs/>
      <w:spacing w:val="2"/>
      <w:sz w:val="18"/>
      <w:szCs w:val="24"/>
      <w:lang w:val="en-GB" w:eastAsia="ja-JP"/>
    </w:rPr>
  </w:style>
  <w:style w:type="character" w:styleId="PageNumber">
    <w:name w:val="page number"/>
    <w:basedOn w:val="DefaultParagraphFont"/>
    <w:rsid w:val="00A36171"/>
  </w:style>
  <w:style w:type="paragraph" w:customStyle="1" w:styleId="BulletsSecondLevel">
    <w:name w:val="Bullets (Second Level)"/>
    <w:basedOn w:val="Normal"/>
    <w:rsid w:val="00A36171"/>
    <w:pPr>
      <w:tabs>
        <w:tab w:val="num" w:pos="720"/>
      </w:tabs>
      <w:suppressAutoHyphens/>
      <w:spacing w:after="160" w:line="247" w:lineRule="auto"/>
      <w:ind w:left="720" w:hanging="720"/>
      <w:jc w:val="both"/>
    </w:pPr>
    <w:rPr>
      <w:sz w:val="22"/>
      <w:szCs w:val="20"/>
      <w:lang w:eastAsia="zh-CN"/>
    </w:rPr>
  </w:style>
  <w:style w:type="paragraph" w:customStyle="1" w:styleId="Heading32">
    <w:name w:val="Heading 32"/>
    <w:basedOn w:val="Heading3"/>
    <w:rsid w:val="00A36171"/>
    <w:pPr>
      <w:ind w:left="900"/>
    </w:pPr>
    <w:rPr>
      <w:rFonts w:ascii="Arial Bold" w:eastAsia="Times New Roman" w:hAnsi="Arial Bold"/>
      <w:b/>
      <w:bCs/>
      <w:color w:val="005B82"/>
      <w:kern w:val="0"/>
      <w:sz w:val="20"/>
      <w:szCs w:val="20"/>
      <w:lang w:val="en-CA"/>
    </w:rPr>
  </w:style>
  <w:style w:type="character" w:customStyle="1" w:styleId="SubtleEmphasis1">
    <w:name w:val="Subtle Emphasis1"/>
    <w:uiPriority w:val="19"/>
    <w:qFormat/>
    <w:rsid w:val="00A36171"/>
    <w:rPr>
      <w:rFonts w:ascii="Arial" w:hAnsi="Arial"/>
      <w:i/>
      <w:iCs/>
      <w:color w:val="7F7F7F"/>
      <w:sz w:val="20"/>
    </w:rPr>
  </w:style>
  <w:style w:type="paragraph" w:customStyle="1" w:styleId="SCGREEN-V4">
    <w:name w:val="SC GREEN - V4"/>
    <w:basedOn w:val="Normal"/>
    <w:link w:val="SCGREEN-V4Char"/>
    <w:qFormat/>
    <w:rsid w:val="00A0308B"/>
    <w:pPr>
      <w:spacing w:before="240" w:after="120" w:line="288" w:lineRule="auto"/>
      <w:ind w:left="720"/>
    </w:pPr>
    <w:rPr>
      <w:rFonts w:eastAsia="Libre Franklin" w:cs="Libre Franklin"/>
      <w:color w:val="66AD47"/>
      <w:kern w:val="21"/>
      <w:szCs w:val="21"/>
    </w:rPr>
  </w:style>
  <w:style w:type="paragraph" w:customStyle="1" w:styleId="NumberedList">
    <w:name w:val="Numbered List"/>
    <w:basedOn w:val="ListParagraph"/>
    <w:link w:val="NumberedListChar"/>
    <w:qFormat/>
    <w:rsid w:val="00C62AC3"/>
    <w:pPr>
      <w:numPr>
        <w:numId w:val="23"/>
      </w:numPr>
      <w:spacing w:before="0" w:after="120"/>
    </w:pPr>
  </w:style>
  <w:style w:type="character" w:customStyle="1" w:styleId="SCGREEN-V4Char">
    <w:name w:val="SC GREEN - V4 Char"/>
    <w:basedOn w:val="DefaultParagraphFont"/>
    <w:link w:val="SCGREEN-V4"/>
    <w:rsid w:val="00A0308B"/>
    <w:rPr>
      <w:rFonts w:ascii="Franklin Gothic Book" w:hAnsi="Franklin Gothic Book"/>
      <w:color w:val="66AD47"/>
      <w:spacing w:val="2"/>
      <w:kern w:val="21"/>
      <w:lang w:val="en-GB"/>
    </w:rPr>
  </w:style>
  <w:style w:type="character" w:customStyle="1" w:styleId="NumberedListChar">
    <w:name w:val="Numbered List Char"/>
    <w:basedOn w:val="ListParagraphChar"/>
    <w:link w:val="NumberedList"/>
    <w:rsid w:val="00C62AC3"/>
    <w:rPr>
      <w:rFonts w:ascii="Franklin Gothic Book" w:eastAsia="MS Mincho" w:hAnsi="Franklin Gothic Book" w:cs="Times New Roman"/>
      <w:spacing w:val="2"/>
      <w:szCs w:val="24"/>
      <w:lang w:val="en-GB"/>
    </w:rPr>
  </w:style>
  <w:style w:type="paragraph" w:customStyle="1" w:styleId="VCSBLUE-V4">
    <w:name w:val="VCS BLUE - V4"/>
    <w:basedOn w:val="NumberedList"/>
    <w:link w:val="VCSBLUE-V4Char"/>
    <w:qFormat/>
    <w:rsid w:val="00A0308B"/>
    <w:rPr>
      <w:color w:val="057299"/>
    </w:rPr>
  </w:style>
  <w:style w:type="character" w:customStyle="1" w:styleId="VCSBLUE-V4Char">
    <w:name w:val="VCS BLUE - V4 Char"/>
    <w:basedOn w:val="NumberedListChar"/>
    <w:link w:val="VCSBLUE-V4"/>
    <w:rsid w:val="00A0308B"/>
    <w:rPr>
      <w:rFonts w:ascii="Franklin Gothic Book" w:eastAsia="MS Mincho" w:hAnsi="Franklin Gothic Book" w:cs="Times New Roman"/>
      <w:color w:val="057299"/>
      <w:spacing w:val="2"/>
      <w:szCs w:val="24"/>
      <w:lang w:val="en-GB"/>
    </w:rPr>
  </w:style>
  <w:style w:type="paragraph" w:customStyle="1" w:styleId="FigureandTableTitles">
    <w:name w:val="Figure and Table Titles"/>
    <w:basedOn w:val="Normal"/>
    <w:link w:val="FigureandTableTitlesChar"/>
    <w:qFormat/>
    <w:rsid w:val="00C62AC3"/>
    <w:pPr>
      <w:spacing w:before="0" w:after="200"/>
    </w:pPr>
    <w:rPr>
      <w:rFonts w:ascii="Century Gothic" w:hAnsi="Century Gothic"/>
      <w:b/>
      <w:color w:val="595959"/>
      <w:sz w:val="20"/>
      <w:szCs w:val="20"/>
    </w:rPr>
  </w:style>
  <w:style w:type="character" w:customStyle="1" w:styleId="FigureandTableTitlesChar">
    <w:name w:val="Figure and Table Titles Char"/>
    <w:basedOn w:val="DefaultParagraphFont"/>
    <w:link w:val="FigureandTableTitles"/>
    <w:rsid w:val="00C62AC3"/>
    <w:rPr>
      <w:rFonts w:ascii="Century Gothic" w:eastAsia="MS Mincho" w:hAnsi="Century Gothic" w:cs="Times New Roman"/>
      <w:b/>
      <w:color w:val="595959"/>
      <w:spacing w:val="2"/>
      <w:sz w:val="20"/>
      <w:szCs w:val="20"/>
      <w:lang w:val="en-GB"/>
    </w:rPr>
  </w:style>
  <w:style w:type="table" w:customStyle="1" w:styleId="VCSStyle1">
    <w:name w:val="VCS Style 1"/>
    <w:basedOn w:val="TableNormal"/>
    <w:uiPriority w:val="99"/>
    <w:rsid w:val="00C62AC3"/>
    <w:pPr>
      <w:spacing w:after="0" w:line="240" w:lineRule="auto"/>
    </w:pPr>
    <w:rPr>
      <w:rFonts w:asciiTheme="minorHAnsi" w:eastAsiaTheme="minorHAnsi" w:hAnsiTheme="minorHAnsi" w:cstheme="minorBidi"/>
      <w:sz w:val="22"/>
      <w:szCs w:val="22"/>
    </w:rPr>
    <w:tblPr/>
  </w:style>
  <w:style w:type="character" w:customStyle="1" w:styleId="ListParagraphChar">
    <w:name w:val="List Paragraph Char"/>
    <w:basedOn w:val="DefaultParagraphFont"/>
    <w:link w:val="ListParagraph"/>
    <w:uiPriority w:val="99"/>
    <w:rsid w:val="00C62AC3"/>
    <w:rPr>
      <w:rFonts w:ascii="Franklin Gothic Book" w:eastAsia="MS Mincho" w:hAnsi="Franklin Gothic Book" w:cs="Times New Roman"/>
      <w:spacing w:val="2"/>
      <w:szCs w:val="24"/>
      <w:lang w:val="en-GB"/>
    </w:rPr>
  </w:style>
  <w:style w:type="paragraph" w:customStyle="1" w:styleId="Equation">
    <w:name w:val="Equation"/>
    <w:basedOn w:val="Normal"/>
    <w:qFormat/>
    <w:rsid w:val="00D92C21"/>
    <w:pPr>
      <w:spacing w:after="200" w:line="276" w:lineRule="auto"/>
    </w:pPr>
    <w:rPr>
      <w:rFonts w:ascii="Cambria Math" w:eastAsia="Calibri" w:hAnsi="Cambria Math" w:cs="Arial"/>
      <w:i/>
      <w:sz w:val="22"/>
      <w:szCs w:val="20"/>
    </w:rPr>
  </w:style>
  <w:style w:type="paragraph" w:customStyle="1" w:styleId="Parameters">
    <w:name w:val="Parameters"/>
    <w:basedOn w:val="Normal"/>
    <w:qFormat/>
    <w:rsid w:val="00D92C21"/>
    <w:pPr>
      <w:tabs>
        <w:tab w:val="left" w:pos="1440"/>
      </w:tabs>
      <w:spacing w:after="120" w:line="288" w:lineRule="auto"/>
      <w:ind w:left="1627" w:hanging="907"/>
      <w:contextualSpacing/>
    </w:pPr>
    <w:rPr>
      <w:rFonts w:ascii="Arial" w:eastAsia="Calibri" w:hAnsi="Arial" w:cs="Arial"/>
      <w:sz w:val="22"/>
      <w:szCs w:val="20"/>
    </w:rPr>
  </w:style>
  <w:style w:type="paragraph" w:customStyle="1" w:styleId="EquationNumber">
    <w:name w:val="Equation Number"/>
    <w:basedOn w:val="Normal"/>
    <w:qFormat/>
    <w:rsid w:val="00D92C21"/>
    <w:pPr>
      <w:spacing w:before="240" w:line="276" w:lineRule="auto"/>
    </w:pPr>
    <w:rPr>
      <w:rFonts w:ascii="Arial" w:eastAsia="Calibri" w:hAnsi="Arial" w:cs="Arial"/>
      <w:sz w:val="22"/>
      <w:szCs w:val="20"/>
    </w:rPr>
  </w:style>
  <w:style w:type="character" w:styleId="UnresolvedMention">
    <w:name w:val="Unresolved Mention"/>
    <w:basedOn w:val="DefaultParagraphFont"/>
    <w:uiPriority w:val="99"/>
    <w:semiHidden/>
    <w:unhideWhenUsed/>
    <w:rsid w:val="00162023"/>
    <w:rPr>
      <w:color w:val="605E5C"/>
      <w:shd w:val="clear" w:color="auto" w:fill="E1DFDD"/>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f3">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4">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5">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6">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7">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8">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9">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a">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b">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c">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d">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e">
    <w:basedOn w:val="TableNormal"/>
    <w:pPr>
      <w:spacing w:after="0" w:line="240" w:lineRule="auto"/>
    </w:pPr>
    <w:tblPr>
      <w:tblStyleRowBandSize w:val="1"/>
      <w:tblStyleColBandSize w:val="1"/>
      <w:tblCellMar>
        <w:top w:w="15" w:type="dxa"/>
        <w:left w:w="15" w:type="dxa"/>
        <w:bottom w:w="15" w:type="dxa"/>
        <w:right w:w="15" w:type="dxa"/>
      </w:tblCellMar>
    </w:tblPr>
    <w:tcPr>
      <w:shd w:val="clear" w:color="auto" w:fill="CCD4E5"/>
    </w:tcPr>
  </w:style>
  <w:style w:type="table" w:customStyle="1" w:styleId="afffff">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0">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1">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3">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4">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5">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7">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3">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4">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5">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7">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b">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c">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d">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e">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0">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1">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2">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7">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8">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9">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3">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4">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5">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7">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6">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7">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8">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9">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a">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b">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c">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d">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7">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3">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6">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7">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8">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9">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a">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b">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c">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d">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e">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character" w:customStyle="1" w:styleId="highwire-citation-author">
    <w:name w:val="highwire-citation-author"/>
    <w:basedOn w:val="DefaultParagraphFont"/>
    <w:rsid w:val="0022370A"/>
  </w:style>
  <w:style w:type="character" w:customStyle="1" w:styleId="Title1">
    <w:name w:val="Title1"/>
    <w:basedOn w:val="DefaultParagraphFont"/>
    <w:rsid w:val="0022370A"/>
  </w:style>
  <w:style w:type="character" w:customStyle="1" w:styleId="al-author-name-more">
    <w:name w:val="al-author-name-more"/>
    <w:basedOn w:val="DefaultParagraphFont"/>
    <w:rsid w:val="0022370A"/>
  </w:style>
  <w:style w:type="character" w:customStyle="1" w:styleId="delimiter">
    <w:name w:val="delimiter"/>
    <w:basedOn w:val="DefaultParagraphFont"/>
    <w:rsid w:val="0022370A"/>
  </w:style>
  <w:style w:type="character" w:customStyle="1" w:styleId="nowrap">
    <w:name w:val="nowrap"/>
    <w:basedOn w:val="DefaultParagraphFont"/>
    <w:rsid w:val="0022370A"/>
  </w:style>
  <w:style w:type="table" w:customStyle="1" w:styleId="affffffffff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6">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7">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8">
    <w:basedOn w:val="TableNormal"/>
    <w:tblPr>
      <w:tblStyleRowBandSize w:val="1"/>
      <w:tblStyleColBandSize w:val="1"/>
      <w:tblCellMar>
        <w:left w:w="115" w:type="dxa"/>
        <w:right w:w="115" w:type="dxa"/>
      </w:tblCellMar>
    </w:tblPr>
  </w:style>
  <w:style w:type="table" w:customStyle="1" w:styleId="affffffffffff9">
    <w:basedOn w:val="TableNormal"/>
    <w:tblPr>
      <w:tblStyleRowBandSize w:val="1"/>
      <w:tblStyleColBandSize w:val="1"/>
      <w:tblCellMar>
        <w:left w:w="115" w:type="dxa"/>
        <w:right w:w="115" w:type="dxa"/>
      </w:tblCellMar>
    </w:tblPr>
  </w:style>
  <w:style w:type="table" w:customStyle="1" w:styleId="affffffffffffa">
    <w:basedOn w:val="TableNormal"/>
    <w:tblPr>
      <w:tblStyleRowBandSize w:val="1"/>
      <w:tblStyleColBandSize w:val="1"/>
      <w:tblCellMar>
        <w:left w:w="115" w:type="dxa"/>
        <w:right w:w="115" w:type="dxa"/>
      </w:tblCellMar>
    </w:tblPr>
  </w:style>
  <w:style w:type="table" w:customStyle="1" w:styleId="affffffffffffb">
    <w:basedOn w:val="TableNormal"/>
    <w:tblPr>
      <w:tblStyleRowBandSize w:val="1"/>
      <w:tblStyleColBandSize w:val="1"/>
      <w:tblCellMar>
        <w:left w:w="115" w:type="dxa"/>
        <w:right w:w="115" w:type="dxa"/>
      </w:tblCellMar>
    </w:tblPr>
  </w:style>
  <w:style w:type="table" w:customStyle="1" w:styleId="affffffffffffc">
    <w:basedOn w:val="TableNormal"/>
    <w:tblPr>
      <w:tblStyleRowBandSize w:val="1"/>
      <w:tblStyleColBandSize w:val="1"/>
      <w:tblCellMar>
        <w:left w:w="115" w:type="dxa"/>
        <w:right w:w="115" w:type="dxa"/>
      </w:tblCellMar>
    </w:tblPr>
  </w:style>
  <w:style w:type="table" w:customStyle="1" w:styleId="affffffffffffd">
    <w:basedOn w:val="TableNormal"/>
    <w:tblPr>
      <w:tblStyleRowBandSize w:val="1"/>
      <w:tblStyleColBandSize w:val="1"/>
      <w:tblCellMar>
        <w:left w:w="115" w:type="dxa"/>
        <w:right w:w="115" w:type="dxa"/>
      </w:tblCellMar>
    </w:tblPr>
  </w:style>
  <w:style w:type="table" w:customStyle="1" w:styleId="affffffffffffe">
    <w:basedOn w:val="TableNormal"/>
    <w:tblPr>
      <w:tblStyleRowBandSize w:val="1"/>
      <w:tblStyleColBandSize w:val="1"/>
      <w:tblCellMar>
        <w:left w:w="115" w:type="dxa"/>
        <w:right w:w="115" w:type="dxa"/>
      </w:tblCellMar>
    </w:tblPr>
  </w:style>
  <w:style w:type="table" w:customStyle="1" w:styleId="afffffffffffff">
    <w:basedOn w:val="TableNormal"/>
    <w:tblPr>
      <w:tblStyleRowBandSize w:val="1"/>
      <w:tblStyleColBandSize w:val="1"/>
      <w:tblCellMar>
        <w:left w:w="115" w:type="dxa"/>
        <w:right w:w="115" w:type="dxa"/>
      </w:tblCellMar>
    </w:tblPr>
  </w:style>
  <w:style w:type="table" w:customStyle="1" w:styleId="afffffffffffff0">
    <w:basedOn w:val="TableNormal"/>
    <w:tblPr>
      <w:tblStyleRowBandSize w:val="1"/>
      <w:tblStyleColBandSize w:val="1"/>
      <w:tblCellMar>
        <w:left w:w="115" w:type="dxa"/>
        <w:right w:w="115" w:type="dxa"/>
      </w:tblCellMar>
    </w:tblPr>
  </w:style>
  <w:style w:type="table" w:customStyle="1" w:styleId="afffffffffffff1">
    <w:basedOn w:val="TableNormal"/>
    <w:tblPr>
      <w:tblStyleRowBandSize w:val="1"/>
      <w:tblStyleColBandSize w:val="1"/>
      <w:tblCellMar>
        <w:left w:w="115" w:type="dxa"/>
        <w:right w:w="115" w:type="dxa"/>
      </w:tblCellMar>
    </w:tblPr>
  </w:style>
  <w:style w:type="table" w:customStyle="1" w:styleId="afffffffffffff2">
    <w:basedOn w:val="TableNormal"/>
    <w:tblPr>
      <w:tblStyleRowBandSize w:val="1"/>
      <w:tblStyleColBandSize w:val="1"/>
      <w:tblCellMar>
        <w:left w:w="115" w:type="dxa"/>
        <w:right w:w="115" w:type="dxa"/>
      </w:tblCellMar>
    </w:tblPr>
  </w:style>
  <w:style w:type="table" w:customStyle="1" w:styleId="afffffffffffff3">
    <w:basedOn w:val="TableNormal"/>
    <w:tblPr>
      <w:tblStyleRowBandSize w:val="1"/>
      <w:tblStyleColBandSize w:val="1"/>
      <w:tblCellMar>
        <w:top w:w="100" w:type="dxa"/>
        <w:left w:w="100" w:type="dxa"/>
        <w:bottom w:w="100" w:type="dxa"/>
        <w:right w:w="100" w:type="dxa"/>
      </w:tblCellMar>
    </w:tblPr>
  </w:style>
  <w:style w:type="table" w:customStyle="1" w:styleId="afffffffffffff4">
    <w:basedOn w:val="TableNormal"/>
    <w:tblPr>
      <w:tblStyleRowBandSize w:val="1"/>
      <w:tblStyleColBandSize w:val="1"/>
      <w:tblCellMar>
        <w:top w:w="100" w:type="dxa"/>
        <w:left w:w="100" w:type="dxa"/>
        <w:bottom w:w="100" w:type="dxa"/>
        <w:right w:w="100" w:type="dxa"/>
      </w:tblCellMar>
    </w:tblPr>
  </w:style>
  <w:style w:type="table" w:customStyle="1" w:styleId="afffffffffffff5">
    <w:basedOn w:val="TableNormal"/>
    <w:tblPr>
      <w:tblStyleRowBandSize w:val="1"/>
      <w:tblStyleColBandSize w:val="1"/>
      <w:tblCellMar>
        <w:top w:w="100" w:type="dxa"/>
        <w:left w:w="100" w:type="dxa"/>
        <w:bottom w:w="100" w:type="dxa"/>
        <w:right w:w="100" w:type="dxa"/>
      </w:tblCellMar>
    </w:tblPr>
  </w:style>
  <w:style w:type="table" w:customStyle="1" w:styleId="afffffffffffff6">
    <w:basedOn w:val="TableNormal"/>
    <w:tblPr>
      <w:tblStyleRowBandSize w:val="1"/>
      <w:tblStyleColBandSize w:val="1"/>
      <w:tblCellMar>
        <w:top w:w="100" w:type="dxa"/>
        <w:left w:w="100" w:type="dxa"/>
        <w:bottom w:w="100" w:type="dxa"/>
        <w:right w:w="100" w:type="dxa"/>
      </w:tblCellMar>
    </w:tblPr>
  </w:style>
  <w:style w:type="table" w:customStyle="1" w:styleId="afffffffffffff7">
    <w:basedOn w:val="TableNormal"/>
    <w:tblPr>
      <w:tblStyleRowBandSize w:val="1"/>
      <w:tblStyleColBandSize w:val="1"/>
      <w:tblCellMar>
        <w:left w:w="115" w:type="dxa"/>
        <w:right w:w="115" w:type="dxa"/>
      </w:tblCellMar>
    </w:tblPr>
  </w:style>
  <w:style w:type="table" w:customStyle="1" w:styleId="afffffffffffff8">
    <w:basedOn w:val="TableNormal"/>
    <w:tblPr>
      <w:tblStyleRowBandSize w:val="1"/>
      <w:tblStyleColBandSize w:val="1"/>
      <w:tblCellMar>
        <w:left w:w="115" w:type="dxa"/>
        <w:right w:w="115" w:type="dxa"/>
      </w:tblCellMar>
    </w:tblPr>
  </w:style>
  <w:style w:type="table" w:customStyle="1" w:styleId="affffffff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d">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e">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0">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1">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2">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6">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7">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8">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9">
    <w:basedOn w:val="TableNormal"/>
    <w:tblPr>
      <w:tblStyleRowBandSize w:val="1"/>
      <w:tblStyleColBandSize w:val="1"/>
      <w:tblCellMar>
        <w:left w:w="115" w:type="dxa"/>
        <w:right w:w="115" w:type="dxa"/>
      </w:tblCellMar>
    </w:tblPr>
  </w:style>
  <w:style w:type="table" w:customStyle="1" w:styleId="affffffffffffffa">
    <w:basedOn w:val="TableNormal"/>
    <w:tblPr>
      <w:tblStyleRowBandSize w:val="1"/>
      <w:tblStyleColBandSize w:val="1"/>
      <w:tblCellMar>
        <w:left w:w="115" w:type="dxa"/>
        <w:right w:w="115" w:type="dxa"/>
      </w:tblCellMar>
    </w:tblPr>
  </w:style>
  <w:style w:type="table" w:customStyle="1" w:styleId="affffffffffffffb">
    <w:basedOn w:val="TableNormal"/>
    <w:tblPr>
      <w:tblStyleRowBandSize w:val="1"/>
      <w:tblStyleColBandSize w:val="1"/>
      <w:tblCellMar>
        <w:left w:w="115" w:type="dxa"/>
        <w:right w:w="115" w:type="dxa"/>
      </w:tblCellMar>
    </w:tblPr>
  </w:style>
  <w:style w:type="table" w:customStyle="1" w:styleId="affffffffffffffc">
    <w:basedOn w:val="TableNormal"/>
    <w:tblPr>
      <w:tblStyleRowBandSize w:val="1"/>
      <w:tblStyleColBandSize w:val="1"/>
      <w:tblCellMar>
        <w:left w:w="115" w:type="dxa"/>
        <w:right w:w="115" w:type="dxa"/>
      </w:tblCellMar>
    </w:tblPr>
  </w:style>
  <w:style w:type="table" w:customStyle="1" w:styleId="affffffffffffffd">
    <w:basedOn w:val="TableNormal"/>
    <w:tblPr>
      <w:tblStyleRowBandSize w:val="1"/>
      <w:tblStyleColBandSize w:val="1"/>
      <w:tblCellMar>
        <w:left w:w="115" w:type="dxa"/>
        <w:right w:w="115" w:type="dxa"/>
      </w:tblCellMar>
    </w:tblPr>
  </w:style>
  <w:style w:type="table" w:customStyle="1" w:styleId="affffffffffffffe">
    <w:basedOn w:val="TableNormal"/>
    <w:tblPr>
      <w:tblStyleRowBandSize w:val="1"/>
      <w:tblStyleColBandSize w:val="1"/>
      <w:tblCellMar>
        <w:left w:w="115" w:type="dxa"/>
        <w:right w:w="115" w:type="dxa"/>
      </w:tblCellMar>
    </w:tblPr>
  </w:style>
  <w:style w:type="table" w:customStyle="1" w:styleId="afffffffffffffff">
    <w:basedOn w:val="TableNormal"/>
    <w:tblPr>
      <w:tblStyleRowBandSize w:val="1"/>
      <w:tblStyleColBandSize w:val="1"/>
      <w:tblCellMar>
        <w:left w:w="115" w:type="dxa"/>
        <w:right w:w="115" w:type="dxa"/>
      </w:tblCellMar>
    </w:tblPr>
  </w:style>
  <w:style w:type="table" w:customStyle="1" w:styleId="afffffffffffffff0">
    <w:basedOn w:val="TableNormal"/>
    <w:tblPr>
      <w:tblStyleRowBandSize w:val="1"/>
      <w:tblStyleColBandSize w:val="1"/>
      <w:tblCellMar>
        <w:left w:w="115" w:type="dxa"/>
        <w:right w:w="115" w:type="dxa"/>
      </w:tblCellMar>
    </w:tblPr>
  </w:style>
  <w:style w:type="table" w:customStyle="1" w:styleId="afffffffffffffff1">
    <w:basedOn w:val="TableNormal"/>
    <w:tblPr>
      <w:tblStyleRowBandSize w:val="1"/>
      <w:tblStyleColBandSize w:val="1"/>
      <w:tblCellMar>
        <w:left w:w="115" w:type="dxa"/>
        <w:right w:w="115" w:type="dxa"/>
      </w:tblCellMar>
    </w:tblPr>
  </w:style>
  <w:style w:type="table" w:customStyle="1" w:styleId="afffffffffffffff2">
    <w:basedOn w:val="TableNormal"/>
    <w:tblPr>
      <w:tblStyleRowBandSize w:val="1"/>
      <w:tblStyleColBandSize w:val="1"/>
      <w:tblCellMar>
        <w:left w:w="115" w:type="dxa"/>
        <w:right w:w="115" w:type="dxa"/>
      </w:tblCellMar>
    </w:tblPr>
  </w:style>
  <w:style w:type="table" w:customStyle="1" w:styleId="afffffffffffffff3">
    <w:basedOn w:val="TableNormal"/>
    <w:tblPr>
      <w:tblStyleRowBandSize w:val="1"/>
      <w:tblStyleColBandSize w:val="1"/>
      <w:tblCellMar>
        <w:left w:w="115" w:type="dxa"/>
        <w:right w:w="115" w:type="dxa"/>
      </w:tblCellMar>
    </w:tblPr>
  </w:style>
  <w:style w:type="table" w:customStyle="1" w:styleId="afffffffffffffff4">
    <w:basedOn w:val="TableNormal"/>
    <w:tblPr>
      <w:tblStyleRowBandSize w:val="1"/>
      <w:tblStyleColBandSize w:val="1"/>
      <w:tblCellMar>
        <w:left w:w="115" w:type="dxa"/>
        <w:right w:w="115" w:type="dxa"/>
      </w:tblCellMar>
    </w:tblPr>
  </w:style>
  <w:style w:type="table" w:customStyle="1" w:styleId="affffff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6">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7">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3">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4">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5">
    <w:basedOn w:val="TableNormal"/>
    <w:tblPr>
      <w:tblStyleRowBandSize w:val="1"/>
      <w:tblStyleColBandSize w:val="1"/>
      <w:tblCellMar>
        <w:left w:w="115" w:type="dxa"/>
        <w:right w:w="115" w:type="dxa"/>
      </w:tblCellMar>
    </w:tblPr>
  </w:style>
  <w:style w:type="table" w:customStyle="1" w:styleId="affffffffffffffff6">
    <w:basedOn w:val="TableNormal"/>
    <w:tblPr>
      <w:tblStyleRowBandSize w:val="1"/>
      <w:tblStyleColBandSize w:val="1"/>
      <w:tblCellMar>
        <w:left w:w="115" w:type="dxa"/>
        <w:right w:w="115" w:type="dxa"/>
      </w:tblCellMar>
    </w:tblPr>
  </w:style>
  <w:style w:type="table" w:customStyle="1" w:styleId="affffffffffffffff7">
    <w:basedOn w:val="TableNormal"/>
    <w:tblPr>
      <w:tblStyleRowBandSize w:val="1"/>
      <w:tblStyleColBandSize w:val="1"/>
      <w:tblCellMar>
        <w:left w:w="115" w:type="dxa"/>
        <w:right w:w="115" w:type="dxa"/>
      </w:tblCellMar>
    </w:tblPr>
  </w:style>
  <w:style w:type="table" w:customStyle="1" w:styleId="affffffffffffffff8">
    <w:basedOn w:val="TableNormal"/>
    <w:tblPr>
      <w:tblStyleRowBandSize w:val="1"/>
      <w:tblStyleColBandSize w:val="1"/>
      <w:tblCellMar>
        <w:left w:w="115" w:type="dxa"/>
        <w:right w:w="115" w:type="dxa"/>
      </w:tblCellMar>
    </w:tblPr>
  </w:style>
  <w:style w:type="table" w:customStyle="1" w:styleId="affffffffffffffff9">
    <w:basedOn w:val="TableNormal"/>
    <w:tblPr>
      <w:tblStyleRowBandSize w:val="1"/>
      <w:tblStyleColBandSize w:val="1"/>
      <w:tblCellMar>
        <w:top w:w="100" w:type="dxa"/>
        <w:left w:w="100" w:type="dxa"/>
        <w:bottom w:w="100" w:type="dxa"/>
        <w:right w:w="100" w:type="dxa"/>
      </w:tblCellMar>
    </w:tblPr>
  </w:style>
  <w:style w:type="table" w:customStyle="1" w:styleId="affffffffffffffffa">
    <w:basedOn w:val="TableNormal"/>
    <w:tblPr>
      <w:tblStyleRowBandSize w:val="1"/>
      <w:tblStyleColBandSize w:val="1"/>
      <w:tblCellMar>
        <w:top w:w="100" w:type="dxa"/>
        <w:left w:w="100" w:type="dxa"/>
        <w:bottom w:w="100" w:type="dxa"/>
        <w:right w:w="100" w:type="dxa"/>
      </w:tblCellMar>
    </w:tblPr>
  </w:style>
  <w:style w:type="table" w:customStyle="1" w:styleId="affffffffffffffffb">
    <w:basedOn w:val="TableNormal"/>
    <w:tblPr>
      <w:tblStyleRowBandSize w:val="1"/>
      <w:tblStyleColBandSize w:val="1"/>
      <w:tblCellMar>
        <w:top w:w="100" w:type="dxa"/>
        <w:left w:w="100" w:type="dxa"/>
        <w:bottom w:w="100" w:type="dxa"/>
        <w:right w:w="100" w:type="dxa"/>
      </w:tblCellMar>
    </w:tblPr>
  </w:style>
  <w:style w:type="table" w:customStyle="1" w:styleId="affffffffffffffffc">
    <w:basedOn w:val="TableNormal"/>
    <w:tblPr>
      <w:tblStyleRowBandSize w:val="1"/>
      <w:tblStyleColBandSize w:val="1"/>
      <w:tblCellMar>
        <w:top w:w="100" w:type="dxa"/>
        <w:left w:w="100" w:type="dxa"/>
        <w:bottom w:w="100" w:type="dxa"/>
        <w:right w:w="100" w:type="dxa"/>
      </w:tblCellMar>
    </w:tblPr>
  </w:style>
  <w:style w:type="table" w:customStyle="1" w:styleId="affffffffffffffffd">
    <w:basedOn w:val="TableNormal"/>
    <w:tblPr>
      <w:tblStyleRowBandSize w:val="1"/>
      <w:tblStyleColBandSize w:val="1"/>
      <w:tblCellMar>
        <w:top w:w="100" w:type="dxa"/>
        <w:left w:w="100" w:type="dxa"/>
        <w:bottom w:w="100" w:type="dxa"/>
        <w:right w:w="100" w:type="dxa"/>
      </w:tblCellMar>
    </w:tblPr>
  </w:style>
  <w:style w:type="table" w:customStyle="1" w:styleId="affffffffffffffffe">
    <w:basedOn w:val="TableNormal"/>
    <w:tblPr>
      <w:tblStyleRowBandSize w:val="1"/>
      <w:tblStyleColBandSize w:val="1"/>
      <w:tblCellMar>
        <w:top w:w="100" w:type="dxa"/>
        <w:left w:w="100" w:type="dxa"/>
        <w:bottom w:w="100" w:type="dxa"/>
        <w:right w:w="100" w:type="dxa"/>
      </w:tblCellMar>
    </w:tblPr>
  </w:style>
  <w:style w:type="table" w:customStyle="1" w:styleId="afffffffffffffffff">
    <w:basedOn w:val="TableNormal"/>
    <w:tblPr>
      <w:tblStyleRowBandSize w:val="1"/>
      <w:tblStyleColBandSize w:val="1"/>
      <w:tblCellMar>
        <w:top w:w="100" w:type="dxa"/>
        <w:left w:w="100" w:type="dxa"/>
        <w:bottom w:w="100" w:type="dxa"/>
        <w:right w:w="100" w:type="dxa"/>
      </w:tblCellMar>
    </w:tblPr>
  </w:style>
  <w:style w:type="table" w:customStyle="1" w:styleId="afffffffffffffffff0">
    <w:basedOn w:val="TableNormal"/>
    <w:tblPr>
      <w:tblStyleRowBandSize w:val="1"/>
      <w:tblStyleColBandSize w:val="1"/>
      <w:tblCellMar>
        <w:top w:w="100" w:type="dxa"/>
        <w:left w:w="100" w:type="dxa"/>
        <w:bottom w:w="100" w:type="dxa"/>
        <w:right w:w="100" w:type="dxa"/>
      </w:tblCellMar>
    </w:tblPr>
  </w:style>
  <w:style w:type="table" w:customStyle="1" w:styleId="affffffff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2">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3">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ff4">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ff5">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ff6">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ff7">
    <w:basedOn w:val="TableNormal"/>
    <w:pPr>
      <w:spacing w:after="0" w:line="240" w:lineRule="auto"/>
    </w:pPr>
    <w:tblPr>
      <w:tblStyleRowBandSize w:val="1"/>
      <w:tblStyleColBandSize w:val="1"/>
      <w:tblCellMar>
        <w:left w:w="115" w:type="dxa"/>
        <w:right w:w="115" w:type="dxa"/>
      </w:tblCellMar>
    </w:tblPr>
    <w:tcPr>
      <w:shd w:val="clear" w:color="auto" w:fill="CCD4E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afffffffffffffffff8">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9">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a">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b">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c">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d">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e">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f">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f0">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table" w:customStyle="1" w:styleId="affffffffffffffffff1">
    <w:basedOn w:val="TableNormal"/>
    <w:pPr>
      <w:spacing w:after="0" w:line="240" w:lineRule="auto"/>
    </w:pPr>
    <w:tblPr>
      <w:tblStyleRowBandSize w:val="1"/>
      <w:tblStyleColBandSize w:val="1"/>
      <w:tblCellMar>
        <w:left w:w="115" w:type="dxa"/>
        <w:right w:w="115" w:type="dxa"/>
      </w:tblCellMar>
    </w:tblPr>
    <w:tcPr>
      <w:shd w:val="clear" w:color="auto" w:fill="CCD4E5"/>
    </w:tcPr>
  </w:style>
  <w:style w:type="paragraph" w:customStyle="1" w:styleId="ConceptHeaders">
    <w:name w:val="Concept Headers"/>
    <w:basedOn w:val="Normal"/>
    <w:link w:val="ConceptHeadersChar"/>
    <w:qFormat/>
    <w:rsid w:val="00C62AC3"/>
    <w:pPr>
      <w:spacing w:before="180"/>
    </w:pPr>
    <w:rPr>
      <w:rFonts w:ascii="Century Gothic" w:hAnsi="Century Gothic"/>
      <w:i/>
      <w:color w:val="067199"/>
      <w:sz w:val="25"/>
      <w:szCs w:val="25"/>
    </w:rPr>
  </w:style>
  <w:style w:type="character" w:customStyle="1" w:styleId="ConceptHeadersChar">
    <w:name w:val="Concept Headers Char"/>
    <w:basedOn w:val="DefaultParagraphFont"/>
    <w:link w:val="ConceptHeaders"/>
    <w:rsid w:val="00C62AC3"/>
    <w:rPr>
      <w:rFonts w:ascii="Century Gothic" w:eastAsia="MS Mincho" w:hAnsi="Century Gothic" w:cs="Times New Roman"/>
      <w:i/>
      <w:color w:val="067199"/>
      <w:spacing w:val="2"/>
      <w:sz w:val="25"/>
      <w:szCs w:val="25"/>
      <w:lang w:val="en-GB"/>
    </w:rPr>
  </w:style>
  <w:style w:type="paragraph" w:customStyle="1" w:styleId="Footnotes">
    <w:name w:val="Footnotes"/>
    <w:basedOn w:val="FootnoteText"/>
    <w:link w:val="FootnotesChar"/>
    <w:qFormat/>
    <w:rsid w:val="00C62AC3"/>
    <w:rPr>
      <w:rFonts w:asciiTheme="minorHAnsi" w:hAnsiTheme="minorHAnsi" w:cstheme="minorHAnsi"/>
      <w:color w:val="4F5150"/>
      <w:sz w:val="18"/>
      <w:szCs w:val="18"/>
    </w:rPr>
  </w:style>
  <w:style w:type="character" w:customStyle="1" w:styleId="FootnotesChar">
    <w:name w:val="Footnotes Char"/>
    <w:basedOn w:val="FootnoteTextChar"/>
    <w:link w:val="Footnotes"/>
    <w:rsid w:val="00C62AC3"/>
    <w:rPr>
      <w:rFonts w:asciiTheme="minorHAnsi" w:eastAsia="MS Mincho" w:hAnsiTheme="minorHAnsi" w:cstheme="minorHAnsi"/>
      <w:color w:val="4F5150"/>
      <w:spacing w:val="2"/>
      <w:sz w:val="18"/>
      <w:szCs w:val="18"/>
      <w:lang w:val="en-GB"/>
    </w:rPr>
  </w:style>
  <w:style w:type="paragraph" w:customStyle="1" w:styleId="IntersectionSub-Headers">
    <w:name w:val="Intersection Sub-Headers"/>
    <w:basedOn w:val="Normal"/>
    <w:link w:val="IntersectionSub-HeadersChar"/>
    <w:qFormat/>
    <w:rsid w:val="00C62AC3"/>
    <w:pPr>
      <w:spacing w:before="80" w:after="80"/>
    </w:pPr>
    <w:rPr>
      <w:b/>
      <w:color w:val="000000" w:themeColor="text1"/>
    </w:rPr>
  </w:style>
  <w:style w:type="character" w:customStyle="1" w:styleId="IntersectionSub-HeadersChar">
    <w:name w:val="Intersection Sub-Headers Char"/>
    <w:basedOn w:val="DefaultParagraphFont"/>
    <w:link w:val="IntersectionSub-Headers"/>
    <w:rsid w:val="00C62AC3"/>
    <w:rPr>
      <w:rFonts w:ascii="Franklin Gothic Book" w:eastAsia="MS Mincho" w:hAnsi="Franklin Gothic Book" w:cs="Times New Roman"/>
      <w:b/>
      <w:color w:val="000000" w:themeColor="text1"/>
      <w:spacing w:val="2"/>
      <w:szCs w:val="24"/>
      <w:lang w:val="en-GB"/>
    </w:rPr>
  </w:style>
  <w:style w:type="paragraph" w:customStyle="1" w:styleId="IntersectionalHeaders">
    <w:name w:val="Intersectional Headers"/>
    <w:basedOn w:val="Normal"/>
    <w:link w:val="IntersectionalHeadersChar"/>
    <w:qFormat/>
    <w:rsid w:val="00C62AC3"/>
    <w:pPr>
      <w:spacing w:before="80" w:after="80" w:line="276" w:lineRule="auto"/>
    </w:pPr>
    <w:rPr>
      <w:rFonts w:ascii="Century Gothic" w:hAnsi="Century Gothic"/>
      <w:color w:val="0679A2"/>
      <w:spacing w:val="0"/>
      <w:sz w:val="22"/>
      <w:szCs w:val="22"/>
    </w:rPr>
  </w:style>
  <w:style w:type="character" w:customStyle="1" w:styleId="IntersectionalHeadersChar">
    <w:name w:val="Intersectional Headers Char"/>
    <w:basedOn w:val="DefaultParagraphFont"/>
    <w:link w:val="IntersectionalHeaders"/>
    <w:rsid w:val="00C62AC3"/>
    <w:rPr>
      <w:rFonts w:ascii="Century Gothic" w:eastAsia="MS Mincho" w:hAnsi="Century Gothic" w:cs="Times New Roman"/>
      <w:color w:val="0679A2"/>
      <w:sz w:val="22"/>
      <w:szCs w:val="22"/>
      <w:lang w:val="en-GB"/>
    </w:rPr>
  </w:style>
  <w:style w:type="table" w:customStyle="1" w:styleId="VerraTableStyle">
    <w:name w:val="Verra Table Style"/>
    <w:basedOn w:val="TableNormal"/>
    <w:uiPriority w:val="99"/>
    <w:rsid w:val="00C62AC3"/>
    <w:pPr>
      <w:spacing w:after="0" w:line="240" w:lineRule="auto"/>
    </w:pPr>
    <w:rPr>
      <w:rFonts w:asciiTheme="minorHAnsi" w:eastAsiaTheme="minorHAnsi" w:hAnsiTheme="minorHAnsi" w:cstheme="minorBidi"/>
      <w:sz w:val="22"/>
      <w:szCs w:val="22"/>
    </w:rPr>
    <w:tblPr>
      <w:tblStyleRowBandSize w:val="1"/>
    </w:tblPr>
    <w:tblStylePr w:type="firstRow">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l2br w:val="nil"/>
          <w:tr2bl w:val="nil"/>
        </w:tcBorders>
        <w:shd w:val="clear" w:color="auto" w:fill="DAAE28" w:themeFill="accent1"/>
      </w:tcPr>
    </w:tblStylePr>
    <w:tblStylePr w:type="band1Horz">
      <w:tblPr/>
      <w:tcPr>
        <w:shd w:val="clear" w:color="auto" w:fill="F4FFFB" w:themeFill="background2"/>
      </w:tcPr>
    </w:tblStylePr>
    <w:tblStylePr w:type="band2Horz">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F4FFFB"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3928">
      <w:bodyDiv w:val="1"/>
      <w:marLeft w:val="0"/>
      <w:marRight w:val="0"/>
      <w:marTop w:val="0"/>
      <w:marBottom w:val="0"/>
      <w:divBdr>
        <w:top w:val="none" w:sz="0" w:space="0" w:color="auto"/>
        <w:left w:val="none" w:sz="0" w:space="0" w:color="auto"/>
        <w:bottom w:val="none" w:sz="0" w:space="0" w:color="auto"/>
        <w:right w:val="none" w:sz="0" w:space="0" w:color="auto"/>
      </w:divBdr>
    </w:div>
    <w:div w:id="255595132">
      <w:bodyDiv w:val="1"/>
      <w:marLeft w:val="0"/>
      <w:marRight w:val="0"/>
      <w:marTop w:val="0"/>
      <w:marBottom w:val="0"/>
      <w:divBdr>
        <w:top w:val="none" w:sz="0" w:space="0" w:color="auto"/>
        <w:left w:val="none" w:sz="0" w:space="0" w:color="auto"/>
        <w:bottom w:val="none" w:sz="0" w:space="0" w:color="auto"/>
        <w:right w:val="none" w:sz="0" w:space="0" w:color="auto"/>
      </w:divBdr>
    </w:div>
    <w:div w:id="475494723">
      <w:bodyDiv w:val="1"/>
      <w:marLeft w:val="0"/>
      <w:marRight w:val="0"/>
      <w:marTop w:val="0"/>
      <w:marBottom w:val="0"/>
      <w:divBdr>
        <w:top w:val="none" w:sz="0" w:space="0" w:color="auto"/>
        <w:left w:val="none" w:sz="0" w:space="0" w:color="auto"/>
        <w:bottom w:val="none" w:sz="0" w:space="0" w:color="auto"/>
        <w:right w:val="none" w:sz="0" w:space="0" w:color="auto"/>
      </w:divBdr>
    </w:div>
    <w:div w:id="549462575">
      <w:bodyDiv w:val="1"/>
      <w:marLeft w:val="0"/>
      <w:marRight w:val="0"/>
      <w:marTop w:val="0"/>
      <w:marBottom w:val="0"/>
      <w:divBdr>
        <w:top w:val="none" w:sz="0" w:space="0" w:color="auto"/>
        <w:left w:val="none" w:sz="0" w:space="0" w:color="auto"/>
        <w:bottom w:val="none" w:sz="0" w:space="0" w:color="auto"/>
        <w:right w:val="none" w:sz="0" w:space="0" w:color="auto"/>
      </w:divBdr>
    </w:div>
    <w:div w:id="1423061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zack@ncx.com" TargetMode="External"/><Relationship Id="rId18" Type="http://schemas.openxmlformats.org/officeDocument/2006/relationships/image" Target="media/image1.png"/><Relationship Id="rId26" Type="http://schemas.openxmlformats.org/officeDocument/2006/relationships/hyperlink" Target="https://doi.org/10.1002/eap.1497"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www.ncx.com" TargetMode="External"/><Relationship Id="rId17" Type="http://schemas.openxmlformats.org/officeDocument/2006/relationships/header" Target="header1.xml"/><Relationship Id="rId25" Type="http://schemas.openxmlformats.org/officeDocument/2006/relationships/hyperlink" Target="https://doi.org/10.5066/P9KJLB3Q" TargetMode="External"/><Relationship Id="rId2" Type="http://schemas.openxmlformats.org/officeDocument/2006/relationships/customXml" Target="../customXml/item2.xml"/><Relationship Id="rId16" Type="http://schemas.openxmlformats.org/officeDocument/2006/relationships/hyperlink" Target="mailto:jen@ncx.com"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i.org/10.1007/s00362-008-0125-4" TargetMode="External"/><Relationship Id="rId5" Type="http://schemas.openxmlformats.org/officeDocument/2006/relationships/customXml" Target="../customXml/item5.xml"/><Relationship Id="rId15" Type="http://schemas.openxmlformats.org/officeDocument/2006/relationships/hyperlink" Target="mailto:gordon@ncx.com" TargetMode="External"/><Relationship Id="rId23" Type="http://schemas.openxmlformats.org/officeDocument/2006/relationships/hyperlink" Target="https://www.openstreetmap.org"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nan@ncx.com" TargetMode="External"/><Relationship Id="rId22" Type="http://schemas.openxmlformats.org/officeDocument/2006/relationships/image" Target="media/image5.jp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69E939A-9AC0-404D-B76A-B2510A41F976}"/>
      </w:docPartPr>
      <w:docPartBody>
        <w:p w:rsidR="004D377F" w:rsidRDefault="004D377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re Franklin">
    <w:altName w:val="Calibri"/>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00000003" w:usb1="00000000" w:usb2="00000000" w:usb3="00000000" w:csb0="00000001" w:csb1="00000000"/>
  </w:font>
  <w:font w:name="Zilla Slab">
    <w:altName w:val="Calibri"/>
    <w:panose1 w:val="020B0604020202020204"/>
    <w:charset w:val="00"/>
    <w:family w:val="auto"/>
    <w:pitch w:val="variable"/>
    <w:sig w:usb0="A00000FF" w:usb1="5001E47B" w:usb2="00000000" w:usb3="00000000" w:csb0="0000009B" w:csb1="00000000"/>
  </w:font>
  <w:font w:name="Consolas">
    <w:panose1 w:val="020B0609020204030204"/>
    <w:charset w:val="00"/>
    <w:family w:val="modern"/>
    <w:pitch w:val="fixed"/>
    <w:sig w:usb0="E10006FF" w:usb1="4000FCFF" w:usb2="00000009"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venir LT Com 35 Light">
    <w:panose1 w:val="020B0402020203020204"/>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377F"/>
    <w:rsid w:val="004D377F"/>
    <w:rsid w:val="00997A80"/>
    <w:rsid w:val="00CD225A"/>
    <w:rsid w:val="00E76BAC"/>
    <w:rsid w:val="00FE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TzU2KQHNiIWe0P6cyCerIJrAA==">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3" ma:contentTypeDescription="Create a new document." ma:contentTypeScope="" ma:versionID="c9ddc98f05ff36484ceffcc0b12e443f">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bd3d7c11c4eeb2f495357848ea1707ee"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4B1113-A585-405F-BC0D-F4D1DFEE9C3A}">
  <ds:schemaRefs>
    <ds:schemaRef ds:uri="http://schemas.openxmlformats.org/officeDocument/2006/bibliography"/>
  </ds:schemaRefs>
</ds:datastoreItem>
</file>

<file path=customXml/itemProps3.xml><?xml version="1.0" encoding="utf-8"?>
<ds:datastoreItem xmlns:ds="http://schemas.openxmlformats.org/officeDocument/2006/customXml" ds:itemID="{61B5FEC9-B7C8-432C-89F6-1642A74E5D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051150-A66F-43BC-8D20-02D40A2B07D9}">
  <ds:schemaRefs>
    <ds:schemaRef ds:uri="http://schemas.microsoft.com/sharepoint/v3/contenttype/forms"/>
  </ds:schemaRefs>
</ds:datastoreItem>
</file>

<file path=customXml/itemProps5.xml><?xml version="1.0" encoding="utf-8"?>
<ds:datastoreItem xmlns:ds="http://schemas.openxmlformats.org/officeDocument/2006/customXml" ds:itemID="{C5B7320F-25EB-49BC-BACF-8197A3934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47</Pages>
  <Words>13365</Words>
  <Characters>76183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89370</CharactersWithSpaces>
  <SharedDoc>false</SharedDoc>
  <HLinks>
    <vt:vector size="246" baseType="variant">
      <vt:variant>
        <vt:i4>6225989</vt:i4>
      </vt:variant>
      <vt:variant>
        <vt:i4>219</vt:i4>
      </vt:variant>
      <vt:variant>
        <vt:i4>0</vt:i4>
      </vt:variant>
      <vt:variant>
        <vt:i4>5</vt:i4>
      </vt:variant>
      <vt:variant>
        <vt:lpwstr>https://doi.org/10.1002/eap.1497</vt:lpwstr>
      </vt:variant>
      <vt:variant>
        <vt:lpwstr/>
      </vt:variant>
      <vt:variant>
        <vt:i4>5308440</vt:i4>
      </vt:variant>
      <vt:variant>
        <vt:i4>216</vt:i4>
      </vt:variant>
      <vt:variant>
        <vt:i4>0</vt:i4>
      </vt:variant>
      <vt:variant>
        <vt:i4>5</vt:i4>
      </vt:variant>
      <vt:variant>
        <vt:lpwstr>https://doi.org/10.5066/P9KJLB3Q</vt:lpwstr>
      </vt:variant>
      <vt:variant>
        <vt:lpwstr/>
      </vt:variant>
      <vt:variant>
        <vt:i4>327708</vt:i4>
      </vt:variant>
      <vt:variant>
        <vt:i4>213</vt:i4>
      </vt:variant>
      <vt:variant>
        <vt:i4>0</vt:i4>
      </vt:variant>
      <vt:variant>
        <vt:i4>5</vt:i4>
      </vt:variant>
      <vt:variant>
        <vt:lpwstr>https://doi.org/10.1007/s00362-008-0125-4</vt:lpwstr>
      </vt:variant>
      <vt:variant>
        <vt:lpwstr/>
      </vt:variant>
      <vt:variant>
        <vt:i4>2162747</vt:i4>
      </vt:variant>
      <vt:variant>
        <vt:i4>210</vt:i4>
      </vt:variant>
      <vt:variant>
        <vt:i4>0</vt:i4>
      </vt:variant>
      <vt:variant>
        <vt:i4>5</vt:i4>
      </vt:variant>
      <vt:variant>
        <vt:lpwstr>https://www.openstreetmap.org/</vt:lpwstr>
      </vt:variant>
      <vt:variant>
        <vt:lpwstr/>
      </vt:variant>
      <vt:variant>
        <vt:i4>1966137</vt:i4>
      </vt:variant>
      <vt:variant>
        <vt:i4>203</vt:i4>
      </vt:variant>
      <vt:variant>
        <vt:i4>0</vt:i4>
      </vt:variant>
      <vt:variant>
        <vt:i4>5</vt:i4>
      </vt:variant>
      <vt:variant>
        <vt:lpwstr/>
      </vt:variant>
      <vt:variant>
        <vt:lpwstr>_Toc98322310</vt:lpwstr>
      </vt:variant>
      <vt:variant>
        <vt:i4>1507384</vt:i4>
      </vt:variant>
      <vt:variant>
        <vt:i4>197</vt:i4>
      </vt:variant>
      <vt:variant>
        <vt:i4>0</vt:i4>
      </vt:variant>
      <vt:variant>
        <vt:i4>5</vt:i4>
      </vt:variant>
      <vt:variant>
        <vt:lpwstr/>
      </vt:variant>
      <vt:variant>
        <vt:lpwstr>_Toc98322309</vt:lpwstr>
      </vt:variant>
      <vt:variant>
        <vt:i4>1441848</vt:i4>
      </vt:variant>
      <vt:variant>
        <vt:i4>191</vt:i4>
      </vt:variant>
      <vt:variant>
        <vt:i4>0</vt:i4>
      </vt:variant>
      <vt:variant>
        <vt:i4>5</vt:i4>
      </vt:variant>
      <vt:variant>
        <vt:lpwstr/>
      </vt:variant>
      <vt:variant>
        <vt:lpwstr>_Toc98322308</vt:lpwstr>
      </vt:variant>
      <vt:variant>
        <vt:i4>1638456</vt:i4>
      </vt:variant>
      <vt:variant>
        <vt:i4>185</vt:i4>
      </vt:variant>
      <vt:variant>
        <vt:i4>0</vt:i4>
      </vt:variant>
      <vt:variant>
        <vt:i4>5</vt:i4>
      </vt:variant>
      <vt:variant>
        <vt:lpwstr/>
      </vt:variant>
      <vt:variant>
        <vt:lpwstr>_Toc98322307</vt:lpwstr>
      </vt:variant>
      <vt:variant>
        <vt:i4>1572920</vt:i4>
      </vt:variant>
      <vt:variant>
        <vt:i4>179</vt:i4>
      </vt:variant>
      <vt:variant>
        <vt:i4>0</vt:i4>
      </vt:variant>
      <vt:variant>
        <vt:i4>5</vt:i4>
      </vt:variant>
      <vt:variant>
        <vt:lpwstr/>
      </vt:variant>
      <vt:variant>
        <vt:lpwstr>_Toc98322306</vt:lpwstr>
      </vt:variant>
      <vt:variant>
        <vt:i4>1769528</vt:i4>
      </vt:variant>
      <vt:variant>
        <vt:i4>173</vt:i4>
      </vt:variant>
      <vt:variant>
        <vt:i4>0</vt:i4>
      </vt:variant>
      <vt:variant>
        <vt:i4>5</vt:i4>
      </vt:variant>
      <vt:variant>
        <vt:lpwstr/>
      </vt:variant>
      <vt:variant>
        <vt:lpwstr>_Toc98322305</vt:lpwstr>
      </vt:variant>
      <vt:variant>
        <vt:i4>1703992</vt:i4>
      </vt:variant>
      <vt:variant>
        <vt:i4>167</vt:i4>
      </vt:variant>
      <vt:variant>
        <vt:i4>0</vt:i4>
      </vt:variant>
      <vt:variant>
        <vt:i4>5</vt:i4>
      </vt:variant>
      <vt:variant>
        <vt:lpwstr/>
      </vt:variant>
      <vt:variant>
        <vt:lpwstr>_Toc98322304</vt:lpwstr>
      </vt:variant>
      <vt:variant>
        <vt:i4>1900600</vt:i4>
      </vt:variant>
      <vt:variant>
        <vt:i4>161</vt:i4>
      </vt:variant>
      <vt:variant>
        <vt:i4>0</vt:i4>
      </vt:variant>
      <vt:variant>
        <vt:i4>5</vt:i4>
      </vt:variant>
      <vt:variant>
        <vt:lpwstr/>
      </vt:variant>
      <vt:variant>
        <vt:lpwstr>_Toc98322303</vt:lpwstr>
      </vt:variant>
      <vt:variant>
        <vt:i4>1835064</vt:i4>
      </vt:variant>
      <vt:variant>
        <vt:i4>155</vt:i4>
      </vt:variant>
      <vt:variant>
        <vt:i4>0</vt:i4>
      </vt:variant>
      <vt:variant>
        <vt:i4>5</vt:i4>
      </vt:variant>
      <vt:variant>
        <vt:lpwstr/>
      </vt:variant>
      <vt:variant>
        <vt:lpwstr>_Toc98322302</vt:lpwstr>
      </vt:variant>
      <vt:variant>
        <vt:i4>2031672</vt:i4>
      </vt:variant>
      <vt:variant>
        <vt:i4>149</vt:i4>
      </vt:variant>
      <vt:variant>
        <vt:i4>0</vt:i4>
      </vt:variant>
      <vt:variant>
        <vt:i4>5</vt:i4>
      </vt:variant>
      <vt:variant>
        <vt:lpwstr/>
      </vt:variant>
      <vt:variant>
        <vt:lpwstr>_Toc98322301</vt:lpwstr>
      </vt:variant>
      <vt:variant>
        <vt:i4>1966136</vt:i4>
      </vt:variant>
      <vt:variant>
        <vt:i4>143</vt:i4>
      </vt:variant>
      <vt:variant>
        <vt:i4>0</vt:i4>
      </vt:variant>
      <vt:variant>
        <vt:i4>5</vt:i4>
      </vt:variant>
      <vt:variant>
        <vt:lpwstr/>
      </vt:variant>
      <vt:variant>
        <vt:lpwstr>_Toc98322300</vt:lpwstr>
      </vt:variant>
      <vt:variant>
        <vt:i4>1441841</vt:i4>
      </vt:variant>
      <vt:variant>
        <vt:i4>137</vt:i4>
      </vt:variant>
      <vt:variant>
        <vt:i4>0</vt:i4>
      </vt:variant>
      <vt:variant>
        <vt:i4>5</vt:i4>
      </vt:variant>
      <vt:variant>
        <vt:lpwstr/>
      </vt:variant>
      <vt:variant>
        <vt:lpwstr>_Toc98322299</vt:lpwstr>
      </vt:variant>
      <vt:variant>
        <vt:i4>1507377</vt:i4>
      </vt:variant>
      <vt:variant>
        <vt:i4>131</vt:i4>
      </vt:variant>
      <vt:variant>
        <vt:i4>0</vt:i4>
      </vt:variant>
      <vt:variant>
        <vt:i4>5</vt:i4>
      </vt:variant>
      <vt:variant>
        <vt:lpwstr/>
      </vt:variant>
      <vt:variant>
        <vt:lpwstr>_Toc98322298</vt:lpwstr>
      </vt:variant>
      <vt:variant>
        <vt:i4>1572913</vt:i4>
      </vt:variant>
      <vt:variant>
        <vt:i4>125</vt:i4>
      </vt:variant>
      <vt:variant>
        <vt:i4>0</vt:i4>
      </vt:variant>
      <vt:variant>
        <vt:i4>5</vt:i4>
      </vt:variant>
      <vt:variant>
        <vt:lpwstr/>
      </vt:variant>
      <vt:variant>
        <vt:lpwstr>_Toc98322297</vt:lpwstr>
      </vt:variant>
      <vt:variant>
        <vt:i4>1638449</vt:i4>
      </vt:variant>
      <vt:variant>
        <vt:i4>119</vt:i4>
      </vt:variant>
      <vt:variant>
        <vt:i4>0</vt:i4>
      </vt:variant>
      <vt:variant>
        <vt:i4>5</vt:i4>
      </vt:variant>
      <vt:variant>
        <vt:lpwstr/>
      </vt:variant>
      <vt:variant>
        <vt:lpwstr>_Toc98322296</vt:lpwstr>
      </vt:variant>
      <vt:variant>
        <vt:i4>1703985</vt:i4>
      </vt:variant>
      <vt:variant>
        <vt:i4>113</vt:i4>
      </vt:variant>
      <vt:variant>
        <vt:i4>0</vt:i4>
      </vt:variant>
      <vt:variant>
        <vt:i4>5</vt:i4>
      </vt:variant>
      <vt:variant>
        <vt:lpwstr/>
      </vt:variant>
      <vt:variant>
        <vt:lpwstr>_Toc98322295</vt:lpwstr>
      </vt:variant>
      <vt:variant>
        <vt:i4>1769521</vt:i4>
      </vt:variant>
      <vt:variant>
        <vt:i4>107</vt:i4>
      </vt:variant>
      <vt:variant>
        <vt:i4>0</vt:i4>
      </vt:variant>
      <vt:variant>
        <vt:i4>5</vt:i4>
      </vt:variant>
      <vt:variant>
        <vt:lpwstr/>
      </vt:variant>
      <vt:variant>
        <vt:lpwstr>_Toc98322294</vt:lpwstr>
      </vt:variant>
      <vt:variant>
        <vt:i4>1835057</vt:i4>
      </vt:variant>
      <vt:variant>
        <vt:i4>101</vt:i4>
      </vt:variant>
      <vt:variant>
        <vt:i4>0</vt:i4>
      </vt:variant>
      <vt:variant>
        <vt:i4>5</vt:i4>
      </vt:variant>
      <vt:variant>
        <vt:lpwstr/>
      </vt:variant>
      <vt:variant>
        <vt:lpwstr>_Toc98322293</vt:lpwstr>
      </vt:variant>
      <vt:variant>
        <vt:i4>1900593</vt:i4>
      </vt:variant>
      <vt:variant>
        <vt:i4>95</vt:i4>
      </vt:variant>
      <vt:variant>
        <vt:i4>0</vt:i4>
      </vt:variant>
      <vt:variant>
        <vt:i4>5</vt:i4>
      </vt:variant>
      <vt:variant>
        <vt:lpwstr/>
      </vt:variant>
      <vt:variant>
        <vt:lpwstr>_Toc98322292</vt:lpwstr>
      </vt:variant>
      <vt:variant>
        <vt:i4>1966129</vt:i4>
      </vt:variant>
      <vt:variant>
        <vt:i4>89</vt:i4>
      </vt:variant>
      <vt:variant>
        <vt:i4>0</vt:i4>
      </vt:variant>
      <vt:variant>
        <vt:i4>5</vt:i4>
      </vt:variant>
      <vt:variant>
        <vt:lpwstr/>
      </vt:variant>
      <vt:variant>
        <vt:lpwstr>_Toc98322291</vt:lpwstr>
      </vt:variant>
      <vt:variant>
        <vt:i4>2031665</vt:i4>
      </vt:variant>
      <vt:variant>
        <vt:i4>83</vt:i4>
      </vt:variant>
      <vt:variant>
        <vt:i4>0</vt:i4>
      </vt:variant>
      <vt:variant>
        <vt:i4>5</vt:i4>
      </vt:variant>
      <vt:variant>
        <vt:lpwstr/>
      </vt:variant>
      <vt:variant>
        <vt:lpwstr>_Toc98322290</vt:lpwstr>
      </vt:variant>
      <vt:variant>
        <vt:i4>1441840</vt:i4>
      </vt:variant>
      <vt:variant>
        <vt:i4>77</vt:i4>
      </vt:variant>
      <vt:variant>
        <vt:i4>0</vt:i4>
      </vt:variant>
      <vt:variant>
        <vt:i4>5</vt:i4>
      </vt:variant>
      <vt:variant>
        <vt:lpwstr/>
      </vt:variant>
      <vt:variant>
        <vt:lpwstr>_Toc98322289</vt:lpwstr>
      </vt:variant>
      <vt:variant>
        <vt:i4>1507376</vt:i4>
      </vt:variant>
      <vt:variant>
        <vt:i4>71</vt:i4>
      </vt:variant>
      <vt:variant>
        <vt:i4>0</vt:i4>
      </vt:variant>
      <vt:variant>
        <vt:i4>5</vt:i4>
      </vt:variant>
      <vt:variant>
        <vt:lpwstr/>
      </vt:variant>
      <vt:variant>
        <vt:lpwstr>_Toc98322288</vt:lpwstr>
      </vt:variant>
      <vt:variant>
        <vt:i4>1572912</vt:i4>
      </vt:variant>
      <vt:variant>
        <vt:i4>65</vt:i4>
      </vt:variant>
      <vt:variant>
        <vt:i4>0</vt:i4>
      </vt:variant>
      <vt:variant>
        <vt:i4>5</vt:i4>
      </vt:variant>
      <vt:variant>
        <vt:lpwstr/>
      </vt:variant>
      <vt:variant>
        <vt:lpwstr>_Toc98322287</vt:lpwstr>
      </vt:variant>
      <vt:variant>
        <vt:i4>1638448</vt:i4>
      </vt:variant>
      <vt:variant>
        <vt:i4>59</vt:i4>
      </vt:variant>
      <vt:variant>
        <vt:i4>0</vt:i4>
      </vt:variant>
      <vt:variant>
        <vt:i4>5</vt:i4>
      </vt:variant>
      <vt:variant>
        <vt:lpwstr/>
      </vt:variant>
      <vt:variant>
        <vt:lpwstr>_Toc98322286</vt:lpwstr>
      </vt:variant>
      <vt:variant>
        <vt:i4>1703984</vt:i4>
      </vt:variant>
      <vt:variant>
        <vt:i4>53</vt:i4>
      </vt:variant>
      <vt:variant>
        <vt:i4>0</vt:i4>
      </vt:variant>
      <vt:variant>
        <vt:i4>5</vt:i4>
      </vt:variant>
      <vt:variant>
        <vt:lpwstr/>
      </vt:variant>
      <vt:variant>
        <vt:lpwstr>_Toc98322285</vt:lpwstr>
      </vt:variant>
      <vt:variant>
        <vt:i4>1769520</vt:i4>
      </vt:variant>
      <vt:variant>
        <vt:i4>47</vt:i4>
      </vt:variant>
      <vt:variant>
        <vt:i4>0</vt:i4>
      </vt:variant>
      <vt:variant>
        <vt:i4>5</vt:i4>
      </vt:variant>
      <vt:variant>
        <vt:lpwstr/>
      </vt:variant>
      <vt:variant>
        <vt:lpwstr>_Toc98322284</vt:lpwstr>
      </vt:variant>
      <vt:variant>
        <vt:i4>1835056</vt:i4>
      </vt:variant>
      <vt:variant>
        <vt:i4>41</vt:i4>
      </vt:variant>
      <vt:variant>
        <vt:i4>0</vt:i4>
      </vt:variant>
      <vt:variant>
        <vt:i4>5</vt:i4>
      </vt:variant>
      <vt:variant>
        <vt:lpwstr/>
      </vt:variant>
      <vt:variant>
        <vt:lpwstr>_Toc98322283</vt:lpwstr>
      </vt:variant>
      <vt:variant>
        <vt:i4>1900592</vt:i4>
      </vt:variant>
      <vt:variant>
        <vt:i4>35</vt:i4>
      </vt:variant>
      <vt:variant>
        <vt:i4>0</vt:i4>
      </vt:variant>
      <vt:variant>
        <vt:i4>5</vt:i4>
      </vt:variant>
      <vt:variant>
        <vt:lpwstr/>
      </vt:variant>
      <vt:variant>
        <vt:lpwstr>_Toc98322282</vt:lpwstr>
      </vt:variant>
      <vt:variant>
        <vt:i4>1966128</vt:i4>
      </vt:variant>
      <vt:variant>
        <vt:i4>29</vt:i4>
      </vt:variant>
      <vt:variant>
        <vt:i4>0</vt:i4>
      </vt:variant>
      <vt:variant>
        <vt:i4>5</vt:i4>
      </vt:variant>
      <vt:variant>
        <vt:lpwstr/>
      </vt:variant>
      <vt:variant>
        <vt:lpwstr>_Toc98322281</vt:lpwstr>
      </vt:variant>
      <vt:variant>
        <vt:i4>2031664</vt:i4>
      </vt:variant>
      <vt:variant>
        <vt:i4>23</vt:i4>
      </vt:variant>
      <vt:variant>
        <vt:i4>0</vt:i4>
      </vt:variant>
      <vt:variant>
        <vt:i4>5</vt:i4>
      </vt:variant>
      <vt:variant>
        <vt:lpwstr/>
      </vt:variant>
      <vt:variant>
        <vt:lpwstr>_Toc98322280</vt:lpwstr>
      </vt:variant>
      <vt:variant>
        <vt:i4>1441855</vt:i4>
      </vt:variant>
      <vt:variant>
        <vt:i4>17</vt:i4>
      </vt:variant>
      <vt:variant>
        <vt:i4>0</vt:i4>
      </vt:variant>
      <vt:variant>
        <vt:i4>5</vt:i4>
      </vt:variant>
      <vt:variant>
        <vt:lpwstr/>
      </vt:variant>
      <vt:variant>
        <vt:lpwstr>_Toc98322279</vt:lpwstr>
      </vt:variant>
      <vt:variant>
        <vt:i4>8257613</vt:i4>
      </vt:variant>
      <vt:variant>
        <vt:i4>12</vt:i4>
      </vt:variant>
      <vt:variant>
        <vt:i4>0</vt:i4>
      </vt:variant>
      <vt:variant>
        <vt:i4>5</vt:i4>
      </vt:variant>
      <vt:variant>
        <vt:lpwstr>mailto:jen@ncx.com</vt:lpwstr>
      </vt:variant>
      <vt:variant>
        <vt:lpwstr/>
      </vt:variant>
      <vt:variant>
        <vt:i4>7995482</vt:i4>
      </vt:variant>
      <vt:variant>
        <vt:i4>9</vt:i4>
      </vt:variant>
      <vt:variant>
        <vt:i4>0</vt:i4>
      </vt:variant>
      <vt:variant>
        <vt:i4>5</vt:i4>
      </vt:variant>
      <vt:variant>
        <vt:lpwstr>mailto:gordon@ncx.com</vt:lpwstr>
      </vt:variant>
      <vt:variant>
        <vt:lpwstr/>
      </vt:variant>
      <vt:variant>
        <vt:i4>7995465</vt:i4>
      </vt:variant>
      <vt:variant>
        <vt:i4>6</vt:i4>
      </vt:variant>
      <vt:variant>
        <vt:i4>0</vt:i4>
      </vt:variant>
      <vt:variant>
        <vt:i4>5</vt:i4>
      </vt:variant>
      <vt:variant>
        <vt:lpwstr>mailto:nan@ncx.com</vt:lpwstr>
      </vt:variant>
      <vt:variant>
        <vt:lpwstr/>
      </vt:variant>
      <vt:variant>
        <vt:i4>1638453</vt:i4>
      </vt:variant>
      <vt:variant>
        <vt:i4>3</vt:i4>
      </vt:variant>
      <vt:variant>
        <vt:i4>0</vt:i4>
      </vt:variant>
      <vt:variant>
        <vt:i4>5</vt:i4>
      </vt:variant>
      <vt:variant>
        <vt:lpwstr>mailto:zack@ncx.com</vt:lpwstr>
      </vt:variant>
      <vt:variant>
        <vt:lpwstr/>
      </vt:variant>
      <vt:variant>
        <vt:i4>3342450</vt:i4>
      </vt:variant>
      <vt:variant>
        <vt:i4>0</vt:i4>
      </vt:variant>
      <vt:variant>
        <vt:i4>0</vt:i4>
      </vt:variant>
      <vt:variant>
        <vt:i4>5</vt:i4>
      </vt:variant>
      <vt:variant>
        <vt:lpwstr>http://www.ncx.com/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Verra</dc:creator>
  <cp:lastModifiedBy>Michael Holkesvik</cp:lastModifiedBy>
  <cp:revision>5</cp:revision>
  <cp:lastPrinted>2022-02-04T21:03:00Z</cp:lastPrinted>
  <dcterms:created xsi:type="dcterms:W3CDTF">2022-03-17T01:07:00Z</dcterms:created>
  <dcterms:modified xsi:type="dcterms:W3CDTF">2022-10-25T21:47:00Z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ies>
</file>