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Summer 2025 Lab Research Contract</w:t>
        <w:br w:type="textWrapping"/>
        <w:t xml:space="preserve"> Northeastern Illinois University (NEIU)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os00wyev1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 Goals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summer, we aim to: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and apply lab techniques (e.g., protein analysis, data collection).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 the full research cycle—from hypothesis to data analysis.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Contribute meaningfully to group projects.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critical thinking, problem-solving, collaboration, and communication skills.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azqtio3z3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&amp; Responsibilities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Graduate Students: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Mentor undergraduate students.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advanced lab procedures.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 detailed and organized lab notebooks.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Undergraduate Students: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Assist with lab tasks and experiments.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and apply new techniques.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 organized lab notebooks.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School Students: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basic lab and biology concepts.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Assist with lab tasks under supervision.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 foundational research principles (e.g., proteins and their functions).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i7y65a1wz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and Ethical Expectations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lab members must: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Uphold honesty and accountability in data collection, analysis, and reporting.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 credit where due and collaborate respectfully.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 and integrate feedback from mentors, peers, and reviewers.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Abide by NEIU’s research ethics policies:</w:t>
        <w:br w:type="textWrapping"/>
        <w:t xml:space="preserve">https://www.neiu.edu/about/university-leadership/executive-team/legal-affairs-and-general-counsel/ethics-compliance-and-university-records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old9f3ib7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Safety Responsibilities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NEIU lab safety rules (e.g., no food/drink, use of goggles/gloves).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Dress appropriately: lab coat, closed-toe shoes, long pants/skirts, shirts with sleeves, tied-back hair, minimal jewelry.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 all reagents/samples with name, date, and contents.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any broken glassware or equipment immediately.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participants must complete NEIU safety training with Mark Kipp and record the date of completion.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14aifdgmy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Operations &amp; Conduct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 weekly lab meetings.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to 40 hours/week (M–F only; no weekends/holidays).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 progress and hours in daily time sheets.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Contribute to final presentations or reports.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 individual lab notebooks (property of NEIU), properly dated and initialed.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shared online folders for data, literature, and documentation.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Rules: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school students must always be supervised.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researchers must communicate absences in advance.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Time-sensitive work must be prioritized—do not assume someone else will cover it.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After-hours lab access must follow safety guidelines (e.g., buddy system, supervisor approval).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Contact: Prof. Stojkovic (e-stojkovic@neiu.edu)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tnnd330se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Compliance &amp; Acknowledgment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lab members must acknowledge they have read and understood: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contract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ethics policies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Safety training requirements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 ___________________________________ Date________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Consolidated and formatted using OpenAI-chatgpt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eiu.edu/about/university-leadership/executive-team/legal-affairs-and-general-counsel/ethics-compliance-and-university-rec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