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RxChat — RAG Chatbot Implementation Plan</w:t>
      </w:r>
    </w:p>
    <w:p>
      <w:r>
        <w:br w:type="page"/>
      </w:r>
    </w:p>
    <w:p>
      <w:pPr>
        <w:pStyle w:val="Heading2"/>
      </w:pPr>
      <w:r>
        <w:t>Stack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Vite → Vercel</w:t>
            </w:r>
          </w:p>
        </w:tc>
        <w:tc>
          <w:tcPr>
            <w:tcW w:type="dxa" w:w="2880"/>
          </w:tcPr>
          <w:p>
            <w:r>
              <w:t>Chat UI, auth flows, pre-chat disclaimer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Django + DRF → Render</w:t>
            </w:r>
          </w:p>
        </w:tc>
        <w:tc>
          <w:tcPr>
            <w:tcW w:type="dxa" w:w="2880"/>
          </w:tcPr>
          <w:p>
            <w:r>
              <w:t>API, RAG orchestrator, background jobs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Neon Postgres</w:t>
            </w:r>
          </w:p>
        </w:tc>
        <w:tc>
          <w:tcPr>
            <w:tcW w:type="dxa" w:w="2880"/>
          </w:tcPr>
          <w:p>
            <w:r>
              <w:t>Users, conversations, messages, audit logs</w:t>
            </w:r>
          </w:p>
        </w:tc>
      </w:tr>
      <w:tr>
        <w:tc>
          <w:tcPr>
            <w:tcW w:type="dxa" w:w="2880"/>
          </w:tcPr>
          <w:p>
            <w:r>
              <w:t>Vector DB</w:t>
            </w:r>
          </w:p>
        </w:tc>
        <w:tc>
          <w:tcPr>
            <w:tcW w:type="dxa" w:w="2880"/>
          </w:tcPr>
          <w:p>
            <w:r>
              <w:t>Qdrant Cloud (unified collection)</w:t>
            </w:r>
          </w:p>
        </w:tc>
        <w:tc>
          <w:tcPr>
            <w:tcW w:type="dxa" w:w="2880"/>
          </w:tcPr>
          <w:p>
            <w:r>
              <w:t>Drug data embeddings + hybrid search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OpenAI text-embedding-3-small</w:t>
            </w:r>
          </w:p>
        </w:tc>
        <w:tc>
          <w:tcPr>
            <w:tcW w:type="dxa" w:w="2880"/>
          </w:tcPr>
          <w:p>
            <w:r>
              <w:t>Query + document embedding (1536-dim)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DeepSeek (prefix caching + SSE)</w:t>
            </w:r>
          </w:p>
        </w:tc>
        <w:tc>
          <w:tcPr>
            <w:tcW w:type="dxa" w:w="2880"/>
          </w:tcPr>
          <w:p>
            <w:r>
              <w:t>Role-aware answer generation</w:t>
            </w:r>
          </w:p>
        </w:tc>
      </w:tr>
      <w:tr>
        <w:tc>
          <w:tcPr>
            <w:tcW w:type="dxa" w:w="2880"/>
          </w:tcPr>
          <w:p>
            <w:r>
              <w:t>Task Queue</w:t>
            </w:r>
          </w:p>
        </w:tc>
        <w:tc>
          <w:tcPr>
            <w:tcW w:type="dxa" w:w="2880"/>
          </w:tcPr>
          <w:p>
            <w:r>
              <w:t>Django-Q2 (Postgres broker)</w:t>
            </w:r>
          </w:p>
        </w:tc>
        <w:tc>
          <w:tcPr>
            <w:tcW w:type="dxa" w:w="2880"/>
          </w:tcPr>
          <w:p>
            <w:r>
              <w:t>Ingestion jobs, scheduled tasks</w:t>
            </w:r>
          </w:p>
        </w:tc>
      </w:tr>
    </w:tbl>
    <w:p>
      <w:r>
        <w:br w:type="page"/>
      </w:r>
    </w:p>
    <w:p>
      <w:pPr>
        <w:pStyle w:val="Heading2"/>
      </w:pPr>
      <w:r>
        <w:t>Architecture Diagram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User (React SPA on Vercel)                                     │</w:t>
        <w:br/>
        <w:t>│  ├── Chat UI with SSE streaming                                 │</w:t>
        <w:br/>
        <w:t>│  ├── Pre-chat medical disclaimer (shown once per session)       │</w:t>
        <w:br/>
        <w:t>│  └── Auth: email → OTP → profile (role set in profile)          │</w:t>
        <w:br/>
        <w:t>└──────────────┬──────────────────────────────────────────────────┘</w:t>
        <w:br/>
        <w:t xml:space="preserve">               │ HTTPS / SSE</w:t>
        <w:br/>
        <w:t>┌──────────────▼──────────────────────────────────────────────────┐</w:t>
        <w:br/>
        <w:t>│  Django API on Render                                           │</w:t>
        <w:br/>
        <w:t>│  ├── Auth endpoints (existing)                                  │</w:t>
        <w:br/>
        <w:t>│  ├── Chat endpoints (existing — RAG injected transparently)     │</w:t>
        <w:br/>
        <w:t>│  ├── ai_service.py — prompt assembly + DeepSeek streaming       │</w:t>
        <w:br/>
        <w:t>│  └── rag_service.py — embed → search → filter → format         │</w:t>
        <w:br/>
        <w:t>│       │                                                         │</w:t>
        <w:br/>
        <w:t>│       ├── 1. Reformulate query (conversation-aware)             │</w:t>
        <w:br/>
        <w:t>│       ├── 2. Embed query → OpenAI text-embedding-3-small        │</w:t>
        <w:br/>
        <w:t>│       ├── 3. Hybrid search → Qdrant (dense + sparse)            │</w:t>
        <w:br/>
        <w:t>│       ├── 4. Relevance gate (score ≥ 0.75 / 0.50 / discard)    │</w:t>
        <w:br/>
        <w:t>│       └── 5. Augment prompt → DeepSeek (stream response)        │</w:t>
        <w:br/>
        <w:t>└──────────────┬────────┬────────┬────────────────────────────────┘</w:t>
        <w:br/>
        <w:t xml:space="preserve">               │        │        │</w:t>
        <w:br/>
        <w:t xml:space="preserve">    ┌──────────▼──┐  ┌──▼────┐  ┌▼──────────┐</w:t>
        <w:br/>
        <w:t xml:space="preserve">    │  Neon       │  │Qdrant │  │ DeepSeek  │</w:t>
        <w:br/>
        <w:t xml:space="preserve">    │  Postgres   │  │Cloud  │  │ API       │</w:t>
        <w:br/>
        <w:t xml:space="preserve">    │             │  │       │  │           │</w:t>
        <w:br/>
        <w:t xml:space="preserve">    │ Users       │  │drug_  │  │ Prefix    │</w:t>
        <w:br/>
        <w:t xml:space="preserve">    │ Messages    │  │know-  │  │ caching   │</w:t>
        <w:br/>
        <w:t xml:space="preserve">    │ Audit logs  │  │ledge  │  │ SSE       │</w:t>
        <w:br/>
        <w:t xml:space="preserve">    │ Ingestion   │  │(unified│ │ streaming │</w:t>
        <w:br/>
        <w:t xml:space="preserve">    │ metadata    │  │collection)│           │</w:t>
        <w:br/>
        <w:t xml:space="preserve">    └─────────────┘  └───────┘  └───────────┘</w:t>
        <w:br/>
      </w:r>
    </w:p>
    <w:p>
      <w:r>
        <w:br w:type="page"/>
      </w:r>
    </w:p>
    <w:p>
      <w:pPr>
        <w:pStyle w:val="Heading2"/>
      </w:pPr>
      <w:r>
        <w:t>Data Sources</w:t>
      </w:r>
    </w:p>
    <w:p>
      <w:pPr>
        <w:pStyle w:val="Heading3"/>
      </w:pPr>
      <w:r>
        <w:t>Priority &amp;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License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NEML (8th Ed, 2024)</w:t>
            </w:r>
          </w:p>
        </w:tc>
        <w:tc>
          <w:tcPr>
            <w:tcW w:type="dxa" w:w="1440"/>
          </w:tcPr>
          <w:p>
            <w:r>
              <w:t>Nigeria essential medicines</w:t>
            </w:r>
          </w:p>
        </w:tc>
        <w:tc>
          <w:tcPr>
            <w:tcW w:type="dxa" w:w="1440"/>
          </w:tcPr>
          <w:p>
            <w:r>
              <w:t>PDF</w:t>
            </w:r>
          </w:p>
        </w:tc>
        <w:tc>
          <w:tcPr>
            <w:tcW w:type="dxa" w:w="1440"/>
          </w:tcPr>
          <w:p>
            <w:r>
              <w:t>Free (govt)</w:t>
            </w:r>
          </w:p>
        </w:tc>
        <w:tc>
          <w:tcPr>
            <w:tcW w:type="dxa" w:w="1440"/>
          </w:tcPr>
          <w:p>
            <w:r>
              <w:t>Download from health.gov.ng</w:t>
            </w:r>
          </w:p>
        </w:tc>
      </w:tr>
      <w:tr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NAFDAC Greenbook</w:t>
            </w:r>
          </w:p>
        </w:tc>
        <w:tc>
          <w:tcPr>
            <w:tcW w:type="dxa" w:w="1440"/>
          </w:tcPr>
          <w:p>
            <w:r>
              <w:t>Registered drugs in Nigeria</w:t>
            </w:r>
          </w:p>
        </w:tc>
        <w:tc>
          <w:tcPr>
            <w:tcW w:type="dxa" w:w="1440"/>
          </w:tcPr>
          <w:p>
            <w:r>
              <w:t>Web portal</w:t>
            </w:r>
          </w:p>
        </w:tc>
        <w:tc>
          <w:tcPr>
            <w:tcW w:type="dxa" w:w="1440"/>
          </w:tcPr>
          <w:p>
            <w:r>
              <w:t>Free (govt)</w:t>
            </w:r>
          </w:p>
        </w:tc>
        <w:tc>
          <w:tcPr>
            <w:tcW w:type="dxa" w:w="1440"/>
          </w:tcPr>
          <w:p>
            <w:r>
              <w:t>Scrape from greenbook.nafdac.gov.ng</w:t>
            </w:r>
          </w:p>
        </w:tc>
      </w:tr>
      <w:tr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NHIA STG</w:t>
            </w:r>
          </w:p>
        </w:tc>
        <w:tc>
          <w:tcPr>
            <w:tcW w:type="dxa" w:w="1440"/>
          </w:tcPr>
          <w:p>
            <w:r>
              <w:t>Treatment guidelines</w:t>
            </w:r>
          </w:p>
        </w:tc>
        <w:tc>
          <w:tcPr>
            <w:tcW w:type="dxa" w:w="1440"/>
          </w:tcPr>
          <w:p>
            <w:r>
              <w:t>PDF (~124 MB)</w:t>
            </w:r>
          </w:p>
        </w:tc>
        <w:tc>
          <w:tcPr>
            <w:tcW w:type="dxa" w:w="1440"/>
          </w:tcPr>
          <w:p>
            <w:r>
              <w:t>Free (govt)</w:t>
            </w:r>
          </w:p>
        </w:tc>
        <w:tc>
          <w:tcPr>
            <w:tcW w:type="dxa" w:w="1440"/>
          </w:tcPr>
          <w:p>
            <w:r>
              <w:t>Download from nhia.gov.ng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WHO EML</w:t>
            </w:r>
          </w:p>
        </w:tc>
        <w:tc>
          <w:tcPr>
            <w:tcW w:type="dxa" w:w="1440"/>
          </w:tcPr>
          <w:p>
            <w:r>
              <w:t>Global essential medicines</w:t>
            </w:r>
          </w:p>
        </w:tc>
        <w:tc>
          <w:tcPr>
            <w:tcW w:type="dxa" w:w="1440"/>
          </w:tcPr>
          <w:p>
            <w:r>
              <w:t>Excel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Download from essentialmeds.org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DrugBank</w:t>
            </w:r>
          </w:p>
        </w:tc>
        <w:tc>
          <w:tcPr>
            <w:tcW w:type="dxa" w:w="1440"/>
          </w:tcPr>
          <w:p>
            <w:r>
              <w:t>Drug interactions, mechanisms</w:t>
            </w:r>
          </w:p>
        </w:tc>
        <w:tc>
          <w:tcPr>
            <w:tcW w:type="dxa" w:w="1440"/>
          </w:tcPr>
          <w:p>
            <w:r>
              <w:t>XML (~700 MB)</w:t>
            </w:r>
          </w:p>
        </w:tc>
        <w:tc>
          <w:tcPr>
            <w:tcW w:type="dxa" w:w="1440"/>
          </w:tcPr>
          <w:p>
            <w:r>
              <w:t>CC BY-NC 4.0</w:t>
            </w:r>
          </w:p>
        </w:tc>
        <w:tc>
          <w:tcPr>
            <w:tcW w:type="dxa" w:w="1440"/>
          </w:tcPr>
          <w:p>
            <w:r>
              <w:t>Free for dev; commercial license needed later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OpenFDA Labels</w:t>
            </w:r>
          </w:p>
        </w:tc>
        <w:tc>
          <w:tcPr>
            <w:tcW w:type="dxa" w:w="1440"/>
          </w:tcPr>
          <w:p>
            <w:r>
              <w:t>US drug labelling</w:t>
            </w:r>
          </w:p>
        </w:tc>
        <w:tc>
          <w:tcPr>
            <w:tcW w:type="dxa" w:w="1440"/>
          </w:tcPr>
          <w:p>
            <w:r>
              <w:t>JSON API</w:t>
            </w:r>
          </w:p>
        </w:tc>
        <w:tc>
          <w:tcPr>
            <w:tcW w:type="dxa" w:w="1440"/>
          </w:tcPr>
          <w:p>
            <w:r>
              <w:t>Public domain</w:t>
            </w:r>
          </w:p>
        </w:tc>
        <w:tc>
          <w:tcPr>
            <w:tcW w:type="dxa" w:w="1440"/>
          </w:tcPr>
          <w:p>
            <w:r>
              <w:t>Free API, no key needed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EMDEX</w:t>
            </w:r>
          </w:p>
        </w:tc>
        <w:tc>
          <w:tcPr>
            <w:tcW w:type="dxa" w:w="1440"/>
          </w:tcPr>
          <w:p>
            <w:r>
              <w:t>Comprehensive Nigerian drug ref</w:t>
            </w:r>
          </w:p>
        </w:tc>
        <w:tc>
          <w:tcPr>
            <w:tcW w:type="dxa" w:w="1440"/>
          </w:tcPr>
          <w:p>
            <w:r>
              <w:t>API (licensed)</w:t>
            </w:r>
          </w:p>
        </w:tc>
        <w:tc>
          <w:tcPr>
            <w:tcW w:type="dxa" w:w="1440"/>
          </w:tcPr>
          <w:p>
            <w:r>
              <w:t>Commercial</w:t>
            </w:r>
          </w:p>
        </w:tc>
        <w:tc>
          <w:tcPr>
            <w:tcW w:type="dxa" w:w="1440"/>
          </w:tcPr>
          <w:p>
            <w:r>
              <w:t>Contact Editor@Emdex.org for licensing</w:t>
            </w:r>
          </w:p>
        </w:tc>
      </w:tr>
    </w:tbl>
    <w:p>
      <w:pPr>
        <w:pStyle w:val="Heading3"/>
      </w:pPr>
      <w:r>
        <w:t>Storage Estimates</w:t>
      </w:r>
    </w:p>
    <w:p>
      <w:r>
        <w:t>Qdrant Cloud (free tier: 1 GB):</w:t>
        <w:br/>
        <w:t>- P0 sources only: ~55–120 MB ✅ fits in free tier</w:t>
        <w:br/>
        <w:t>- P0 + P1 (curated): ~200–400 MB ⚠️ may need curation</w:t>
        <w:br/>
        <w:t>- All sources: ~255–515 MB ⚠️ curate DrugBank/OpenFDA to Nigerian drugs only</w:t>
      </w:r>
    </w:p>
    <w:p>
      <w:r>
        <w:t>Neon Postgres (free tier: 512 MB):</w:t>
        <w:br/>
        <w:t>- Estimated total: ~100–160 MB ✅ comfortably fits</w:t>
      </w:r>
    </w:p>
    <w:p>
      <w:r>
        <w:br w:type="page"/>
      </w:r>
    </w:p>
    <w:p>
      <w:pPr>
        <w:pStyle w:val="Heading2"/>
      </w:pPr>
      <w:r>
        <w:t>Retrieval Pipeline</w:t>
      </w:r>
    </w:p>
    <w:p>
      <w:pPr>
        <w:pStyle w:val="NoSpacing"/>
      </w:pPr>
      <w:r>
        <w:rPr>
          <w:rFonts w:ascii="Courier New" w:hAnsi="Courier New"/>
          <w:sz w:val="18"/>
        </w:rPr>
        <w:t>User message</w:t>
        <w:br/>
        <w:t xml:space="preserve">    │</w:t>
        <w:br/>
        <w:t xml:space="preserve">    ├── 1. CLASSIFY: drug lookup / general chat / emergency</w:t>
        <w:br/>
        <w:t xml:space="preserve">    │       └── Emergency → safety escalation (skip RAG)</w:t>
        <w:br/>
        <w:t xml:space="preserve">    │</w:t>
        <w:br/>
        <w:t xml:space="preserve">    ├── 2. REFORMULATE: use conversation context for ambiguous queries</w:t>
        <w:br/>
        <w:t xml:space="preserve">    │       └── "What about side effects?" → "side effects of metformin"</w:t>
        <w:br/>
        <w:t xml:space="preserve">    │</w:t>
        <w:br/>
        <w:t xml:space="preserve">    ├── 3. EMBED: OpenAI text-embedding-3-small → 1536-dim vector</w:t>
        <w:br/>
        <w:t xml:space="preserve">    │</w:t>
        <w:br/>
        <w:t xml:space="preserve">    ├── 4. HYBRID SEARCH: Qdrant dense + sparse (BM25)</w:t>
        <w:br/>
        <w:t xml:space="preserve">    │       ├── top_k: 8 (over-retrieve)</w:t>
        <w:br/>
        <w:t xml:space="preserve">    │       ├── score_threshold: 0.50 (pre-filter)</w:t>
        <w:br/>
        <w:t xml:space="preserve">    │       └── metadata filters: source, category (optional)</w:t>
        <w:br/>
        <w:t xml:space="preserve">    │</w:t>
        <w:br/>
        <w:t xml:space="preserve">    ├── 5. RELEVANCE GATE:</w:t>
        <w:br/>
        <w:t xml:space="preserve">    │       ├── ≥ 0.75 → high-confidence context</w:t>
        <w:br/>
        <w:t xml:space="preserve">    │       ├── 0.50–0.75 → supplementary context</w:t>
        <w:br/>
        <w:t xml:space="preserve">    │       └── &lt; 0.50 → discarded</w:t>
        <w:br/>
        <w:t xml:space="preserve">    │       └── Zero chunks pass → NO_CONTEXT_NOTE fallback</w:t>
        <w:br/>
        <w:t xml:space="preserve">    │</w:t>
        <w:br/>
        <w:t xml:space="preserve">    ├── 6. PROMPT ASSEMBLY:</w:t>
        <w:br/>
        <w:t xml:space="preserve">    │       ├── Static prefix (system + behaviour + safety + role)</w:t>
        <w:br/>
        <w:t xml:space="preserve">    │       │   └── DeepSeek prefix caching reuses this block</w:t>
        <w:br/>
        <w:t xml:space="preserve">    │       ├── RAG context (chunks — NOT shown to user)</w:t>
        <w:br/>
        <w:t xml:space="preserve">    │       └── User query</w:t>
        <w:br/>
        <w:t xml:space="preserve">    │</w:t>
        <w:br/>
        <w:t xml:space="preserve">    ├── 7. GENERATE: DeepSeek stream via SSE</w:t>
        <w:br/>
        <w:t xml:space="preserve">    │</w:t>
        <w:br/>
        <w:t xml:space="preserve">    └── 8. LOG: audit metadata to Postgres</w:t>
        <w:br/>
      </w:r>
    </w:p>
    <w:p>
      <w:pPr>
        <w:pStyle w:val="Heading3"/>
      </w:pPr>
      <w:r>
        <w:t>Role Handling</w:t>
      </w:r>
    </w:p>
    <w:p>
      <w:pPr>
        <w:pStyle w:val="ListBullet"/>
      </w:pPr>
      <w:r>
        <w:t>Role is read from UserProfile (set during profile setup)</w:t>
      </w:r>
    </w:p>
    <w:p>
      <w:pPr>
        <w:pStyle w:val="ListBullet"/>
      </w:pPr>
      <w:r>
        <w:t>Retrieval is role-agnostic — same drug data retrieved for all roles</w:t>
      </w:r>
    </w:p>
    <w:p>
      <w:pPr>
        <w:pStyle w:val="ListBullet"/>
      </w:pPr>
      <w:r>
        <w:t>Generation is role-aware — DeepSeek adjusts tone/depth via role prompts</w:t>
      </w:r>
    </w:p>
    <w:p>
      <w:pPr>
        <w:pStyle w:val="ListBullet"/>
      </w:pPr>
      <w:r>
        <w:t>If user implies a different role mid-conversation, AI confirms before switching</w:t>
      </w:r>
    </w:p>
    <w:p>
      <w:r>
        <w:br w:type="page"/>
      </w:r>
    </w:p>
    <w:p>
      <w:pPr>
        <w:pStyle w:val="Heading2"/>
      </w:pPr>
      <w:r>
        <w:t>Implementation Phases</w:t>
      </w:r>
    </w:p>
    <w:p>
      <w:pPr>
        <w:pStyle w:val="Heading3"/>
      </w:pPr>
      <w:r>
        <w:t>Phase 1: Infrastructure (Weeks 1–2)</w:t>
      </w:r>
    </w:p>
    <w:p>
      <w:pPr>
        <w:pStyle w:val="ListBullet"/>
      </w:pPr>
      <w:r>
        <w:t>[ ] Migrate SQLite → Neon Postgres</w:t>
      </w:r>
    </w:p>
    <w:p>
      <w:pPr>
        <w:pStyle w:val="ListBullet"/>
      </w:pPr>
      <w:r>
        <w:t>[ ] Create Qdrant Cloud cluster + unified collection drug_knowledge</w:t>
      </w:r>
    </w:p>
    <w:p>
      <w:pPr>
        <w:pStyle w:val="ListBullet"/>
      </w:pPr>
      <w:r>
        <w:t>[ ] Set up OpenAI API for embeddings</w:t>
      </w:r>
    </w:p>
    <w:p>
      <w:pPr>
        <w:pStyle w:val="ListBullet"/>
      </w:pPr>
      <w:r>
        <w:t>[ ] Remove chromadb, langchain-* from requirements.txt</w:t>
      </w:r>
    </w:p>
    <w:p>
      <w:pPr>
        <w:pStyle w:val="ListBullet"/>
      </w:pPr>
      <w:r>
        <w:t>[ ] Add qdrant-client, pdfplumber to requirements.txt</w:t>
      </w:r>
    </w:p>
    <w:p>
      <w:pPr>
        <w:pStyle w:val="ListBullet"/>
      </w:pPr>
      <w:r>
        <w:t>[ ] Build PDF parsing infrastructure (for NEML, NAFDAC, NHIA STG)</w:t>
      </w:r>
    </w:p>
    <w:p>
      <w:pPr>
        <w:pStyle w:val="ListBullet"/>
      </w:pPr>
      <w:r>
        <w:t>[ ] Build base text chunker (1000 chars, 200 overlap)</w:t>
      </w:r>
    </w:p>
    <w:p>
      <w:pPr>
        <w:pStyle w:val="Heading3"/>
      </w:pPr>
      <w:r>
        <w:t>Phase 2: Ingestion &amp; RAG (Weeks 3–4)</w:t>
      </w:r>
    </w:p>
    <w:p>
      <w:pPr>
        <w:pStyle w:val="ListBullet"/>
      </w:pPr>
      <w:r>
        <w:t>[ ] Build parsers: NEML, NAFDAC Greenbook, NHIA STG, WHO, DrugBank, OpenFDA</w:t>
      </w:r>
    </w:p>
    <w:p>
      <w:pPr>
        <w:pStyle w:val="ListBullet"/>
      </w:pPr>
      <w:r>
        <w:t>[ ] Build embedding + upsert pipeline (OpenAI → Qdrant)</w:t>
      </w:r>
    </w:p>
    <w:p>
      <w:pPr>
        <w:pStyle w:val="ListBullet"/>
      </w:pPr>
      <w:r>
        <w:t>[ ] Build rag_service.py: embed, hybrid search, relevance gate, reformulation</w:t>
      </w:r>
    </w:p>
    <w:p>
      <w:pPr>
        <w:pStyle w:val="ListBullet"/>
      </w:pPr>
      <w:r>
        <w:t>[ ] Integrate RAG into ai_service.py</w:t>
      </w:r>
    </w:p>
    <w:p>
      <w:pPr>
        <w:pStyle w:val="ListBullet"/>
      </w:pPr>
      <w:r>
        <w:t>[ ] Wire into views.py send_message() flow</w:t>
      </w:r>
    </w:p>
    <w:p>
      <w:pPr>
        <w:pStyle w:val="ListBullet"/>
      </w:pPr>
      <w:r>
        <w:t>[ ] Add IngestionRun and AuditLog models</w:t>
      </w:r>
    </w:p>
    <w:p>
      <w:pPr>
        <w:pStyle w:val="ListBullet"/>
      </w:pPr>
      <w:r>
        <w:t>[ ] Create ingest_drugs management command</w:t>
      </w:r>
    </w:p>
    <w:p>
      <w:pPr>
        <w:pStyle w:val="ListBullet"/>
      </w:pPr>
      <w:r>
        <w:t>[ ] Run full ingestion of all P0 + P1 sources</w:t>
      </w:r>
    </w:p>
    <w:p>
      <w:pPr>
        <w:pStyle w:val="Heading3"/>
      </w:pPr>
      <w:r>
        <w:t>Phase 3: Testing &amp; Deploy (Week 5)</w:t>
      </w:r>
    </w:p>
    <w:p>
      <w:pPr>
        <w:pStyle w:val="ListBullet"/>
      </w:pPr>
      <w:r>
        <w:t>[ ] Test with 100+ pharmacy queries (Nigeria-specific + general)</w:t>
      </w:r>
    </w:p>
    <w:p>
      <w:pPr>
        <w:pStyle w:val="ListBullet"/>
      </w:pPr>
      <w:r>
        <w:t>[ ] Test conversation-aware retrieval</w:t>
      </w:r>
    </w:p>
    <w:p>
      <w:pPr>
        <w:pStyle w:val="ListBullet"/>
      </w:pPr>
      <w:r>
        <w:t>[ ] Test hybrid search accuracy</w:t>
      </w:r>
    </w:p>
    <w:p>
      <w:pPr>
        <w:pStyle w:val="ListBullet"/>
      </w:pPr>
      <w:r>
        <w:t>[ ] Test role-based response variations</w:t>
      </w:r>
    </w:p>
    <w:p>
      <w:pPr>
        <w:pStyle w:val="ListBullet"/>
      </w:pPr>
      <w:r>
        <w:t>[ ] Add pre-chat disclaimer to frontend</w:t>
      </w:r>
    </w:p>
    <w:p>
      <w:pPr>
        <w:pStyle w:val="ListBullet"/>
      </w:pPr>
      <w:r>
        <w:t>[ ] Deploy to Render + Vercel</w:t>
      </w:r>
    </w:p>
    <w:p>
      <w:pPr>
        <w:pStyle w:val="ListBullet"/>
      </w:pPr>
      <w:r>
        <w:t>[ ] Create golden test set for ongoing evaluation</w:t>
      </w:r>
    </w:p>
    <w:p>
      <w:pPr>
        <w:pStyle w:val="Heading3"/>
      </w:pPr>
      <w:r>
        <w:t>Phase 4: Hardening (Weeks 6–9)</w:t>
      </w:r>
    </w:p>
    <w:p>
      <w:pPr>
        <w:pStyle w:val="ListBullet"/>
      </w:pPr>
      <w:r>
        <w:t>[ ] Re-ranking (if hybrid search quality insufficient)</w:t>
      </w:r>
    </w:p>
    <w:p>
      <w:pPr>
        <w:pStyle w:val="ListBullet"/>
      </w:pPr>
      <w:r>
        <w:t>[ ] Query classification (drug lookup / general / emergency)</w:t>
      </w:r>
    </w:p>
    <w:p>
      <w:pPr>
        <w:pStyle w:val="ListBullet"/>
      </w:pPr>
      <w:r>
        <w:t>[ ] Rate limiting per subscription tier</w:t>
      </w:r>
    </w:p>
    <w:p>
      <w:pPr>
        <w:pStyle w:val="ListBullet"/>
      </w:pPr>
      <w:r>
        <w:t>[ ] Prompt injection sanitization</w:t>
      </w:r>
    </w:p>
    <w:p>
      <w:pPr>
        <w:pStyle w:val="ListBullet"/>
      </w:pPr>
      <w:r>
        <w:t>[ ] Django-Q2 scheduled jobs (data freshness, OTP cleanup, usage)</w:t>
      </w:r>
    </w:p>
    <w:p>
      <w:pPr>
        <w:pStyle w:val="ListBullet"/>
      </w:pPr>
      <w:r>
        <w:t>[ ] Monitoring + structured logging</w:t>
      </w:r>
    </w:p>
    <w:p>
      <w:pPr>
        <w:pStyle w:val="ListBullet"/>
      </w:pPr>
      <w:r>
        <w:t>[ ] Weekly RAG evaluation against golden test set</w:t>
      </w:r>
    </w:p>
    <w:p>
      <w:pPr>
        <w:pStyle w:val="ListBullet"/>
      </w:pPr>
      <w:r>
        <w:t>[ ] EMDEX integration (when licensed)</w:t>
      </w:r>
    </w:p>
    <w:p>
      <w:pPr>
        <w:pStyle w:val="ListBullet"/>
      </w:pPr>
      <w:r>
        <w:t>[ ] User feedback mechanism (thumbs up/down)</w:t>
      </w:r>
    </w:p>
    <w:p>
      <w:r>
        <w:br w:type="page"/>
      </w:r>
    </w:p>
    <w:p>
      <w:pPr>
        <w:pStyle w:val="Heading2"/>
      </w:pPr>
      <w:r>
        <w:t>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No source citations in UI</w:t>
            </w:r>
          </w:p>
        </w:tc>
        <w:tc>
          <w:tcPr>
            <w:tcW w:type="dxa" w:w="2880"/>
          </w:tcPr>
          <w:p>
            <w:r>
              <w:t>Sources used internally only</w:t>
            </w:r>
          </w:p>
        </w:tc>
        <w:tc>
          <w:tcPr>
            <w:tcW w:type="dxa" w:w="2880"/>
          </w:tcPr>
          <w:p>
            <w:r>
              <w:t>User preference — cleaner chat experience</w:t>
            </w:r>
          </w:p>
        </w:tc>
      </w:tr>
      <w:tr>
        <w:tc>
          <w:tcPr>
            <w:tcW w:type="dxa" w:w="2880"/>
          </w:tcPr>
          <w:p>
            <w:r>
              <w:t>Pre-chat disclaimer only</w:t>
            </w:r>
          </w:p>
        </w:tc>
        <w:tc>
          <w:tcPr>
            <w:tcW w:type="dxa" w:w="2880"/>
          </w:tcPr>
          <w:p>
            <w:r>
              <w:t>Shown once per session, not per message</w:t>
            </w:r>
          </w:p>
        </w:tc>
        <w:tc>
          <w:tcPr>
            <w:tcW w:type="dxa" w:w="2880"/>
          </w:tcPr>
          <w:p>
            <w:r>
              <w:t>User preference — less intrusive</w:t>
            </w:r>
          </w:p>
        </w:tc>
      </w:tr>
      <w:tr>
        <w:tc>
          <w:tcPr>
            <w:tcW w:type="dxa" w:w="2880"/>
          </w:tcPr>
          <w:p>
            <w:r>
              <w:t>Unified Qdrant collection</w:t>
            </w:r>
          </w:p>
        </w:tc>
        <w:tc>
          <w:tcPr>
            <w:tcW w:type="dxa" w:w="2880"/>
          </w:tcPr>
          <w:p>
            <w:r>
              <w:t>Metadata handles classification</w:t>
            </w:r>
          </w:p>
        </w:tc>
        <w:tc>
          <w:tcPr>
            <w:tcW w:type="dxa" w:w="2880"/>
          </w:tcPr>
          <w:p>
            <w:r>
              <w:t>Simpler ops, flexible filtering</w:t>
            </w:r>
          </w:p>
        </w:tc>
      </w:tr>
      <w:tr>
        <w:tc>
          <w:tcPr>
            <w:tcW w:type="dxa" w:w="2880"/>
          </w:tcPr>
          <w:p>
            <w:r>
              <w:t>Hybrid search from day one</w:t>
            </w:r>
          </w:p>
        </w:tc>
        <w:tc>
          <w:tcPr>
            <w:tcW w:type="dxa" w:w="2880"/>
          </w:tcPr>
          <w:p>
            <w:r>
              <w:t>Dense + sparse (BM25)</w:t>
            </w:r>
          </w:p>
        </w:tc>
        <w:tc>
          <w:tcPr>
            <w:tcW w:type="dxa" w:w="2880"/>
          </w:tcPr>
          <w:p>
            <w:r>
              <w:t>Drug names need exact keyword matching</w:t>
            </w:r>
          </w:p>
        </w:tc>
      </w:tr>
      <w:tr>
        <w:tc>
          <w:tcPr>
            <w:tcW w:type="dxa" w:w="2880"/>
          </w:tcPr>
          <w:p>
            <w:r>
              <w:t>No LangChain</w:t>
            </w:r>
          </w:p>
        </w:tc>
        <w:tc>
          <w:tcPr>
            <w:tcW w:type="dxa" w:w="2880"/>
          </w:tcPr>
          <w:p>
            <w:r>
              <w:t>Direct OpenAI + Qdrant clients</w:t>
            </w:r>
          </w:p>
        </w:tc>
        <w:tc>
          <w:tcPr>
            <w:tcW w:type="dxa" w:w="2880"/>
          </w:tcPr>
          <w:p>
            <w:r>
              <w:t>Simpler, fewer dependencies</w:t>
            </w:r>
          </w:p>
        </w:tc>
      </w:tr>
      <w:tr>
        <w:tc>
          <w:tcPr>
            <w:tcW w:type="dxa" w:w="2880"/>
          </w:tcPr>
          <w:p>
            <w:r>
              <w:t>Django-Q2 over Celery</w:t>
            </w:r>
          </w:p>
        </w:tc>
        <w:tc>
          <w:tcPr>
            <w:tcW w:type="dxa" w:w="2880"/>
          </w:tcPr>
          <w:p>
            <w:r>
              <w:t>Postgres broker</w:t>
            </w:r>
          </w:p>
        </w:tc>
        <w:tc>
          <w:tcPr>
            <w:tcW w:type="dxa" w:w="2880"/>
          </w:tcPr>
          <w:p>
            <w:r>
              <w:t>No Redis needed</w:t>
            </w:r>
          </w:p>
        </w:tc>
      </w:tr>
      <w:tr>
        <w:tc>
          <w:tcPr>
            <w:tcW w:type="dxa" w:w="2880"/>
          </w:tcPr>
          <w:p>
            <w:r>
              <w:t>No offline AI fallback</w:t>
            </w:r>
          </w:p>
        </w:tc>
        <w:tc>
          <w:tcPr>
            <w:tcW w:type="dxa" w:w="2880"/>
          </w:tcPr>
          <w:p>
            <w:r>
              <w:t>Show error when backend unreachable</w:t>
            </w:r>
          </w:p>
        </w:tc>
        <w:tc>
          <w:tcPr>
            <w:tcW w:type="dxa" w:w="2880"/>
          </w:tcPr>
          <w:p>
            <w:r>
              <w:t>User preference — no fake responses</w:t>
            </w:r>
          </w:p>
        </w:tc>
      </w:tr>
    </w:tbl>
    <w:p>
      <w:r>
        <w:br w:type="page"/>
      </w:r>
    </w:p>
    <w:p>
      <w:pPr>
        <w:pStyle w:val="Heading2"/>
      </w:pPr>
      <w:r>
        <w:t>Backend File Changes</w:t>
      </w:r>
    </w:p>
    <w:p>
      <w:pPr>
        <w:pStyle w:val="NoSpacing"/>
      </w:pPr>
      <w:r>
        <w:rPr>
          <w:rFonts w:ascii="Courier New" w:hAnsi="Courier New"/>
          <w:sz w:val="18"/>
        </w:rPr>
        <w:t>backend/</w:t>
        <w:br/>
        <w:t>├── chat/</w:t>
        <w:br/>
        <w:t>│   ├── ai_service.py          # [MODIFY] Wire RAG context into prompt</w:t>
        <w:br/>
        <w:t>│   ├── rag_service.py         # [NEW] Embed + hybrid search + reformulation</w:t>
        <w:br/>
        <w:t>│   ├── ingestion/             # [NEW] Data ingestion package</w:t>
        <w:br/>
        <w:t>│   │   ├── __init__.py</w:t>
        <w:br/>
        <w:t>│   │   ├── base.py            # Base parser + chunker</w:t>
        <w:br/>
        <w:t>│   │   ├── neml_parser.py     # NEML PDF parser</w:t>
        <w:br/>
        <w:t>│   │   ├── nafdac_parser.py   # NAFDAC Greenbook scraper</w:t>
        <w:br/>
        <w:t>│   │   ├── nhia_stg_parser.py # NHIA STG PDF parser</w:t>
        <w:br/>
        <w:t>│   │   ├── who_parser.py      # WHO EML Excel parser</w:t>
        <w:br/>
        <w:t>│   │   ├── drugbank_parser.py # DrugBank XML parser</w:t>
        <w:br/>
        <w:t>│   │   └── openfda_parser.py  # OpenFDA JSON API puller</w:t>
        <w:br/>
        <w:t>│   ├── management/commands/</w:t>
        <w:br/>
        <w:t>│   │   └── ingest_drugs.py    # [NEW] Management command</w:t>
        <w:br/>
        <w:t>│   ├── models.py              # [MODIFY] Add IngestionRun, AuditLog</w:t>
        <w:br/>
        <w:t>│   ├── views.py               # [MODIFY] Wire RAG into send_message</w:t>
        <w:br/>
        <w:t>│   └── tasks.py               # [NEW] Django-Q2 task definitions</w:t>
        <w:br/>
        <w:t>├── config/settings.py         # [MODIFY] Neon, Qdrant, OpenAI config</w:t>
        <w:br/>
        <w:t>└── requirements.txt           # [MODIFY] Swap deps</w:t>
        <w:br/>
      </w:r>
    </w:p>
    <w:p>
      <w:r>
        <w:br w:type="page"/>
      </w:r>
    </w:p>
    <w:p>
      <w:pPr>
        <w:pStyle w:val="Heading2"/>
      </w:pPr>
      <w:r>
        <w:t>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Hallucinated drug info</w:t>
            </w:r>
          </w:p>
        </w:tc>
        <w:tc>
          <w:tcPr>
            <w:tcW w:type="dxa" w:w="4320"/>
          </w:tcPr>
          <w:p>
            <w:r>
              <w:t>Relevance threshold, NO_CONTEXT_NOTE fallback, pre-chat disclaimer</w:t>
            </w:r>
          </w:p>
        </w:tc>
      </w:tr>
      <w:tr>
        <w:tc>
          <w:tcPr>
            <w:tcW w:type="dxa" w:w="4320"/>
          </w:tcPr>
          <w:p>
            <w:r>
              <w:t>Nigerian PDF parsing quality</w:t>
            </w:r>
          </w:p>
        </w:tc>
        <w:tc>
          <w:tcPr>
            <w:tcW w:type="dxa" w:w="4320"/>
          </w:tcPr>
          <w:p>
            <w:r>
              <w:t>Manual QA on parsed chunks; OCR fallback for scanned PDFs</w:t>
            </w:r>
          </w:p>
        </w:tc>
      </w:tr>
      <w:tr>
        <w:tc>
          <w:tcPr>
            <w:tcW w:type="dxa" w:w="4320"/>
          </w:tcPr>
          <w:p>
            <w:r>
              <w:t>DrugBank commercial license</w:t>
            </w:r>
          </w:p>
        </w:tc>
        <w:tc>
          <w:tcPr>
            <w:tcW w:type="dxa" w:w="4320"/>
          </w:tcPr>
          <w:p>
            <w:r>
              <w:t>Track source metadata; removable if needed before monetizing</w:t>
            </w:r>
          </w:p>
        </w:tc>
      </w:tr>
      <w:tr>
        <w:tc>
          <w:tcPr>
            <w:tcW w:type="dxa" w:w="4320"/>
          </w:tcPr>
          <w:p>
            <w:r>
              <w:t>EMDEX access</w:t>
            </w:r>
          </w:p>
        </w:tc>
        <w:tc>
          <w:tcPr>
            <w:tcW w:type="dxa" w:w="4320"/>
          </w:tcPr>
          <w:p>
            <w:r>
              <w:t>Contact early; defer to P2 if licensing takes time</w:t>
            </w:r>
          </w:p>
        </w:tc>
      </w:tr>
      <w:tr>
        <w:tc>
          <w:tcPr>
            <w:tcW w:type="dxa" w:w="4320"/>
          </w:tcPr>
          <w:p>
            <w:r>
              <w:t>Qdrant free tier overflow</w:t>
            </w:r>
          </w:p>
        </w:tc>
        <w:tc>
          <w:tcPr>
            <w:tcW w:type="dxa" w:w="4320"/>
          </w:tcPr>
          <w:p>
            <w:r>
              <w:t>Curate DrugBank/OpenFDA to Nigeria-relevant drugs only</w:t>
            </w:r>
          </w:p>
        </w:tc>
      </w:tr>
      <w:tr>
        <w:tc>
          <w:tcPr>
            <w:tcW w:type="dxa" w:w="4320"/>
          </w:tcPr>
          <w:p>
            <w:r>
              <w:t>DeepSeek data residency</w:t>
            </w:r>
          </w:p>
        </w:tc>
        <w:tc>
          <w:tcPr>
            <w:tcW w:type="dxa" w:w="4320"/>
          </w:tcPr>
          <w:p>
            <w:r>
              <w:t>Strip PII before sending; architecture supports LLM swap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