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Check 3 — Academic patterns</w:t>
      </w:r>
    </w:p>
    <w:p>
      <w:pPr>
        <w:pStyle w:val="Subtitle"/>
      </w:pPr>
      <w:r>
        <w:t xml:space="preserve">Evaluating and Setting English Learner Exit Thresholds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Sample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Cross-sectional, and different from Data Checks 1 and 2:</w:t>
            </w:r>
            <w:r>
              <w:t xml:space="preserve"> </w:t>
            </w:r>
            <w:r>
              <w:rPr>
                <w:b/>
                <w:bCs/>
              </w:rPr>
              <w:t xml:space="preserve">every grade-3 EL with a 2025 ELA score</w:t>
            </w:r>
            <w:r>
              <w:t xml:space="preserve"> </w:t>
            </w:r>
            <w:r>
              <w:t xml:space="preserve">– not the entry cohort those stages follow – with former ELs and an English-only group beside them for reference. A student enters on having sat the content test, so the universe is the ELA table joined to roster status, not the other way round. Each grade is a panel of its own and grades are never pooled; this pass renders grade 3, the first grade the spec declares ELA tested in.</w:t>
            </w:r>
          </w:p>
        </w:tc>
      </w:tr>
    </w:tbl>
    <w:bookmarkStart w:id="20" w:name="looking-at"/>
    <w:p>
      <w:pPr>
        <w:pStyle w:val="Heading2"/>
      </w:pPr>
      <w:r>
        <w:t xml:space="preserve">Looking at</w:t>
      </w:r>
    </w:p>
    <w:p>
      <w:pPr>
        <w:pStyle w:val="FirstParagraph"/>
      </w:pPr>
      <w:r>
        <w:t xml:space="preserve">Where academic performance sits relative to English language proficiency, at</w:t>
      </w:r>
      <w:r>
        <w:t xml:space="preserve"> </w:t>
      </w:r>
      <w:r>
        <w:t xml:space="preserve">one point in time. Each ELP band is a column; beside them sit two reference</w:t>
      </w:r>
      <w:r>
        <w:t xml:space="preserve"> </w:t>
      </w:r>
      <w:r>
        <w:t xml:space="preserve">groups the bands are read against — students who have already exited EL</w:t>
      </w:r>
      <w:r>
        <w:t xml:space="preserve"> </w:t>
      </w:r>
      <w:r>
        <w:t xml:space="preserve">status, and students who were never classified.</w:t>
      </w:r>
    </w:p>
    <w:p>
      <w:pPr>
        <w:pStyle w:val="BodyText"/>
      </w:pPr>
      <w:r>
        <w:t xml:space="preserve">The question the figure exists for:</w:t>
      </w:r>
      <w:r>
        <w:t xml:space="preserve"> </w:t>
      </w:r>
      <w:r>
        <w:rPr>
          <w:b/>
          <w:bCs/>
        </w:rPr>
        <w:t xml:space="preserve">at what level of English proficiency</w:t>
      </w:r>
      <w:r>
        <w:rPr>
          <w:b/>
          <w:bCs/>
        </w:rPr>
        <w:t xml:space="preserve"> </w:t>
      </w:r>
      <w:r>
        <w:rPr>
          <w:b/>
          <w:bCs/>
        </w:rPr>
        <w:t xml:space="preserve">does language stop being the dominant constraint on content performance?</w:t>
      </w:r>
      <w:r>
        <w:t xml:space="preserve"> </w:t>
      </w:r>
      <w:r>
        <w:t xml:space="preserve">If the distribution in a band clears the proficiency cut, students at that</w:t>
      </w:r>
      <w:r>
        <w:t xml:space="preserve"> </w:t>
      </w:r>
      <w:r>
        <w:t xml:space="preserve">level of English are performing on the content test the way the state expects</w:t>
      </w:r>
      <w:r>
        <w:t xml:space="preserve"> </w:t>
      </w:r>
      <w:r>
        <w:t xml:space="preserve">of anyone. If it does not, the exit threshold is letting students out — or</w:t>
      </w:r>
      <w:r>
        <w:t xml:space="preserve"> </w:t>
      </w:r>
      <w:r>
        <w:t xml:space="preserve">holding them in — at a level where the content test is still measuring</w:t>
      </w:r>
      <w:r>
        <w:t xml:space="preserve"> </w:t>
      </w:r>
      <w:r>
        <w:t xml:space="preserve">their English as much as their subject knowledge.</w:t>
      </w:r>
    </w:p>
    <w:bookmarkEnd w:id="20"/>
    <w:bookmarkStart w:id="26" w:name="the-panel"/>
    <w:p>
      <w:pPr>
        <w:pStyle w:val="Heading2"/>
      </w:pPr>
      <w:r>
        <w:t xml:space="preserve">The panel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x-panel"/>
          <w:p>
            <w:pPr>
              <w:pStyle w:val="Compact"/>
              <w:jc w:val="center"/>
            </w:pPr>
            <w:r>
              <w:drawing>
                <wp:inline>
                  <wp:extent cx="5334000" cy="300037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heck3_academics_files/figure-docx/fig-box-panel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ELA scale score by Overall Composite band, grade 3, 2025. Former ELs and the English-only group are references, not bands. The diamond is the mean; the red line is the proficiency cut. Groups with fewer than 10 scores are suppressed and not drawn.</w:t>
            </w:r>
          </w:p>
          <w:bookmarkEnd w:id="24"/>
        </w:tc>
      </w:tr>
    </w:tbl>
    <w:p>
      <w:pPr>
        <w:pStyle w:val="BodyText"/>
      </w:pPr>
      <w:r>
        <w:t xml:space="preserve">Scores are paired within the school year, not to the day: the Overall Composite is administered Jan-Mar and the content test later in the year. A student’s language score therefore precedes their content score, which is the right order for this question but is not a controlled interval.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Reading the band axis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band axis is not a proficiency gradient across a stable population. Its top end is constituted by the exit rule (Overall composite proficiency level &gt;= 4.5): a student observed as a current EL at or above the exit threshold is, in most states, in their final year – so the highest bands hold students on their way out rather than a cross-section of highly proficient ELs. Where a state’s rule carries a second criterion, the same cells instead hold students that criterion is blocking, which is a different population again. Read the top of this axis with that in mind, and read the Former ELs column beside it.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summa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The same panel as numbers: ELA, grade 3, 2025. n counts everyone in the group; n scored is how many scores the statistics rest on.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490"/>
              <w:gridCol w:w="778"/>
              <w:gridCol w:w="1328"/>
              <w:gridCol w:w="789"/>
              <w:gridCol w:w="863"/>
              <w:gridCol w:w="1169"/>
              <w:gridCol w:w="973"/>
              <w:gridCol w:w="863"/>
              <w:gridCol w:w="839"/>
              <w:gridCol w:w="802"/>
              <w:gridCol w:w="1731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Group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scored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25th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Median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Mean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75th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Max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IQR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At/above cut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1.0-1.9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774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2.0-2.9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3.0-3.9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4.0-4.4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4.5-4.9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5.0+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 annual ELP score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Former ELs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43%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English-only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816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35%</w:t>
                  </w:r>
                </w:p>
              </w:tc>
            </w:tr>
          </w:tbl>
          <w:bookmarkEnd w:id="25"/>
        </w:tc>
      </w:tr>
    </w:tbl>
    <w:bookmarkEnd w:id="26"/>
    <w:bookmarkStart w:id="32" w:name="where-each-grade-lands"/>
    <w:p>
      <w:pPr>
        <w:pStyle w:val="Heading2"/>
      </w:pPr>
      <w:r>
        <w:t xml:space="preserve">Where each grade lands</w:t>
      </w:r>
    </w:p>
    <w:p>
      <w:pPr>
        <w:pStyle w:val="FirstParagraph"/>
      </w:pPr>
      <w:r>
        <w:t xml:space="preserve">Two readings of the same question. The</w:t>
      </w:r>
      <w:r>
        <w:t xml:space="preserve"> </w:t>
      </w:r>
      <w:r>
        <w:rPr>
          <w:b/>
          <w:bCs/>
        </w:rPr>
        <w:t xml:space="preserve">band</w:t>
      </w:r>
      <w:r>
        <w:t xml:space="preserve"> </w:t>
      </w:r>
      <w:r>
        <w:t xml:space="preserve">column is the first ELP band</w:t>
      </w:r>
      <w:r>
        <w:t xml:space="preserve"> </w:t>
      </w:r>
      <w:r>
        <w:t xml:space="preserve">whose students reach the cut at least half the time — equivalently, the</w:t>
      </w:r>
      <w:r>
        <w:t xml:space="preserve"> </w:t>
      </w:r>
      <w:r>
        <w:t xml:space="preserve">first band whose median clears it. The</w:t>
      </w:r>
      <w:r>
        <w:t xml:space="preserve"> </w:t>
      </w:r>
      <w:r>
        <w:rPr>
          <w:b/>
          <w:bCs/>
        </w:rPr>
        <w:t xml:space="preserve">crossing</w:t>
      </w:r>
      <w:r>
        <w:t xml:space="preserve"> </w:t>
      </w:r>
      <w:r>
        <w:t xml:space="preserve">is the ELP scale score at</w:t>
      </w:r>
      <w:r>
        <w:t xml:space="preserve"> </w:t>
      </w:r>
      <w:r>
        <w:t xml:space="preserve">which a fitted logistic passes 50%. Agreement between them is the evidence;</w:t>
      </w:r>
      <w:r>
        <w:t xml:space="preserve"> </w:t>
      </w:r>
      <w:r>
        <w:t xml:space="preserve">disagreement says the answer depends on how you ask, and has to be read</w:t>
      </w:r>
      <w:r>
        <w:t xml:space="preserve"> </w:t>
      </w:r>
      <w:r>
        <w:t xml:space="preserve">against Prep 2’s composition findings and Data Check 1’s attrition.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landing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Where each grade lands. A dash means no band reached half; the next column says how far the highest band got. Bold marks a landing at or above the band the exit threshold falls in.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205"/>
              <w:gridCol w:w="1046"/>
              <w:gridCol w:w="5312"/>
              <w:gridCol w:w="2627"/>
              <w:gridCol w:w="2734"/>
              <w:gridCol w:w="1365"/>
              <w:gridCol w:w="3871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Subject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Grade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First band at/above the cut for half its students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Highest band's share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Logistic 50% crossing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95% CI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Crossing within observed scores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489—574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498—614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483—570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472—549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453—497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462—521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453—509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448—518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4.5-4.9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441—472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487—573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482—562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464—525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461—524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458—521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5.0+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447—494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456—572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4.5-4.9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448—505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4.5-4.9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427—457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</w:tbl>
          <w:bookmarkEnd w:id="2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landing"/>
          <w:p>
            <w:pPr>
              <w:pStyle w:val="Compact"/>
              <w:jc w:val="center"/>
            </w:pPr>
            <w:r>
              <w:drawing>
                <wp:inline>
                  <wp:extent cx="5334000" cy="3000374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check3_academics_files/figure-docx/fig-landing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The same, read across grades. Triangles mark landings at or above the exit band.</w:t>
            </w:r>
          </w:p>
          <w:bookmarkEnd w:id="31"/>
        </w:tc>
      </w:tr>
    </w:tbl>
    <w:p>
      <w:pPr>
        <w:pStyle w:val="BodyText"/>
      </w:pPr>
      <w:r>
        <w:t xml:space="preserve">Of 18 grade-and-subject panels, 4 have a band where at least half the students reach the cut; in 14 no band does.</w:t>
      </w:r>
      <w:r>
        <w:t xml:space="preserve"> </w:t>
      </w:r>
      <w:r>
        <w:rPr>
          <w:b/>
          <w:bCs/>
        </w:rPr>
        <w:t xml:space="preserve">Every panel that lands, lands at or above the band the exit threshold falls in.</w:t>
      </w:r>
      <w:r>
        <w:t xml:space="preserve"> </w:t>
      </w:r>
      <w:r>
        <w:t xml:space="preserve">Those bands hold students the exit rule is about to remove, so the landing statistic there is describing a population the rule itself constitutes rather than a level students sit at and stay. The logistic crossing falls outside the ELP scores actually observed in 12 of 18 panels: there the curve is being read past its data, and the number is an extrapolation rather than a level anyone was seen at.</w:t>
      </w:r>
    </w:p>
    <w:bookmarkEnd w:id="32"/>
    <w:bookmarkStart w:id="35" w:name="the-fairness-check"/>
    <w:p>
      <w:pPr>
        <w:pStyle w:val="Heading2"/>
      </w:pPr>
      <w:r>
        <w:t xml:space="preserve">The fairness check</w:t>
      </w:r>
    </w:p>
    <w:p>
      <w:pPr>
        <w:pStyle w:val="FirstParagraph"/>
      </w:pPr>
      <w:r>
        <w:t xml:space="preserve">Is the bar being asked of English learners one that English-speaking peers</w:t>
      </w:r>
      <w:r>
        <w:t xml:space="preserve"> </w:t>
      </w:r>
      <w:r>
        <w:t xml:space="preserve">themselves clear? Two ways of asking, both of which change something the main</w:t>
      </w:r>
      <w:r>
        <w:t xml:space="preserve"> </w:t>
      </w:r>
      <w:r>
        <w:t xml:space="preserve">analysis holds fixed.</w:t>
      </w:r>
    </w:p>
    <w:p>
      <w:pPr>
        <w:pStyle w:val="BodyText"/>
      </w:pPr>
      <w:r>
        <w:rPr>
          <w:b/>
          <w:bCs/>
        </w:rPr>
        <w:t xml:space="preserve">(a) A comparable reference group.</w:t>
      </w:r>
      <w:r>
        <w:t xml:space="preserve"> </w:t>
      </w:r>
      <w:r>
        <w:t xml:space="preserve">The English-only column above is every</w:t>
      </w:r>
      <w:r>
        <w:t xml:space="preserve"> </w:t>
      </w:r>
      <w:r>
        <w:t xml:space="preserve">English-only student in the grade. Restricting it to economically</w:t>
      </w:r>
      <w:r>
        <w:t xml:space="preserve"> </w:t>
      </w:r>
      <w:r>
        <w:t xml:space="preserve">disadvantaged students narrows a comparison that otherwise confounds language</w:t>
      </w:r>
      <w:r>
        <w:t xml:space="preserve"> </w:t>
      </w:r>
      <w:r>
        <w:t xml:space="preserve">with poverty. The filter is crude — this delivery carries one</w:t>
      </w:r>
      <w:r>
        <w:t xml:space="preserve"> </w:t>
      </w:r>
      <w:r>
        <w:t xml:space="preserve">free-and-reduced-lunch flag and no parental education — and a matched</w:t>
      </w:r>
      <w:r>
        <w:t xml:space="preserve"> </w:t>
      </w:r>
      <w:r>
        <w:t xml:space="preserve">version is a later addition.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fairness-box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The same panel with the English-only group restricted to economically disadvantaged students. A crude filter, not a match.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490"/>
              <w:gridCol w:w="778"/>
              <w:gridCol w:w="1328"/>
              <w:gridCol w:w="789"/>
              <w:gridCol w:w="863"/>
              <w:gridCol w:w="1169"/>
              <w:gridCol w:w="973"/>
              <w:gridCol w:w="863"/>
              <w:gridCol w:w="839"/>
              <w:gridCol w:w="802"/>
              <w:gridCol w:w="1731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Group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scored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25th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Median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Mean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75th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Max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IQR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At/above cut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1.0-1.9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774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2.0-2.9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3.0-3.9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4.0-4.4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4.5-4.9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5.0+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 annual ELP score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Former ELs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43%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English-only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35%</w:t>
                  </w:r>
                </w:p>
              </w:tc>
            </w:tr>
          </w:tbl>
          <w:bookmarkEnd w:id="33"/>
        </w:tc>
      </w:tr>
    </w:tbl>
    <w:p>
      <w:pPr>
        <w:pStyle w:val="BodyText"/>
      </w:pPr>
      <w:r>
        <w:rPr>
          <w:b/>
          <w:bCs/>
        </w:rPr>
        <w:t xml:space="preserve">(b) A different bar.</w:t>
      </w:r>
      <w:r>
        <w:t xml:space="preserve"> </w:t>
      </w:r>
      <w:r>
        <w:t xml:space="preserve">The identical logistic, with the outcome swapped</w:t>
      </w:r>
      <w:r>
        <w:t xml:space="preserve"> </w:t>
      </w:r>
      <w:r>
        <w:t xml:space="preserve">from</w:t>
      </w:r>
      <w:r>
        <w:t xml:space="preserve"> </w:t>
      </w:r>
      <w:r>
        <w:t xml:space="preserve">“reached the state’s cut”</w:t>
      </w:r>
      <w:r>
        <w:t xml:space="preserve"> </w:t>
      </w:r>
      <w:r>
        <w:t xml:space="preserve">to</w:t>
      </w:r>
      <w:r>
        <w:t xml:space="preserve"> </w:t>
      </w:r>
      <w:r>
        <w:t xml:space="preserve">“reached the English-only group’s own</w:t>
      </w:r>
      <w:r>
        <w:t xml:space="preserve"> </w:t>
      </w:r>
      <w:r>
        <w:t xml:space="preserve">average”</w:t>
      </w:r>
      <w:r>
        <w:t xml:space="preserve">. If the ELP level implied by that bar sits below the one implied by</w:t>
      </w:r>
      <w:r>
        <w:t xml:space="preserve"> </w:t>
      </w:r>
      <w:r>
        <w:t xml:space="preserve">the state’s cut, the state is asking of ELs something the average</w:t>
      </w:r>
      <w:r>
        <w:t xml:space="preserve"> </w:t>
      </w:r>
      <w:r>
        <w:t xml:space="preserve">English-speaking peer does not manage.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fairnes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4: The state’s cut against the English-only average, and the ELP crossing each implies.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205"/>
              <w:gridCol w:w="1046"/>
              <w:gridCol w:w="1340"/>
              <w:gridCol w:w="2624"/>
              <w:gridCol w:w="2844"/>
              <w:gridCol w:w="3662"/>
              <w:gridCol w:w="1487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Subject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Grade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State cut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English-only average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ELP crossing, state cut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ELP crossing, English-only bar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Difference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-7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-41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-34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-84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-66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-8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-10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-21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-55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-85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Math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773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-114</w:t>
                  </w:r>
                </w:p>
              </w:tc>
            </w:tr>
          </w:tbl>
          <w:bookmarkEnd w:id="34"/>
        </w:tc>
      </w:tr>
    </w:tbl>
    <w:p>
      <w:pPr>
        <w:pStyle w:val="BodyText"/>
      </w:pPr>
      <w:r>
        <w:t xml:space="preserve">In 7 of 18 panels the English-only group’s own average score sits BELOW the state’s proficiency cut – the bar being asked of English learners is one the average English-speaking peer does not clear. Swapping the bar moves the implied ELP crossing by a median of -9 scale points. A persistent gap is a construct-validity signal, not a threshold recommendation: an ELP test measures English proficiency, and a content cut is not automatically a language-access cut. It goes to the Decision stage rather than being settled here.</w:t>
      </w:r>
    </w:p>
    <w:bookmarkEnd w:id="35"/>
    <w:bookmarkStart w:id="36" w:name="looking-for"/>
    <w:p>
      <w:pPr>
        <w:pStyle w:val="Heading2"/>
      </w:pPr>
      <w:r>
        <w:t xml:space="preserve">Looking for</w:t>
      </w:r>
    </w:p>
    <w:p>
      <w:pPr>
        <w:pStyle w:val="FirstParagraph"/>
      </w:pPr>
      <w:r>
        <w:t xml:space="preserve">Three things, read together rather than one at a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the boxes cross the cut.</w:t>
      </w:r>
      <w:r>
        <w:t xml:space="preserve"> </w:t>
      </w:r>
      <w:r>
        <w:t xml:space="preserve">The band whose distribution first</w:t>
      </w:r>
      <w:r>
        <w:t xml:space="preserve"> </w:t>
      </w:r>
      <w:r>
        <w:t xml:space="preserve">reaches the proficiency line is the empirical answer to</w:t>
      </w:r>
      <w:r>
        <w:t xml:space="preserve"> </w:t>
      </w:r>
      <w:r>
        <w:t xml:space="preserve">“how much English</w:t>
      </w:r>
      <w:r>
        <w:t xml:space="preserve"> </w:t>
      </w:r>
      <w:r>
        <w:t xml:space="preserve">is enough for this content test”</w:t>
      </w:r>
      <w:r>
        <w:t xml:space="preserve"> </w:t>
      </w:r>
      <w:r>
        <w:t xml:space="preserve">— at this grade, in this year.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that compares to the exit threshold.</w:t>
      </w:r>
      <w:r>
        <w:t xml:space="preserve"> </w:t>
      </w:r>
      <w:r>
        <w:t xml:space="preserve">A gap in either direction is</w:t>
      </w:r>
      <w:r>
        <w:t xml:space="preserve"> </w:t>
      </w:r>
      <w:r>
        <w:t xml:space="preserve">the finding. Exiting students below the crossing means they leave while</w:t>
      </w:r>
      <w:r>
        <w:t xml:space="preserve"> </w:t>
      </w:r>
      <w:r>
        <w:t xml:space="preserve">the content test is still partly a language test; exiting well above it</w:t>
      </w:r>
      <w:r>
        <w:t xml:space="preserve"> </w:t>
      </w:r>
      <w:r>
        <w:t xml:space="preserve">means the state is holding students longer than its own content standard</w:t>
      </w:r>
      <w:r>
        <w:t xml:space="preserve"> </w:t>
      </w:r>
      <w:r>
        <w:t xml:space="preserve">requires.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Whether the English-only column clears the cut itself.</w:t>
      </w:r>
      <w:r>
        <w:t xml:space="preserve"> </w:t>
      </w:r>
      <w:r>
        <w:t xml:space="preserve">If it does not,</w:t>
      </w:r>
      <w:r>
        <w:t xml:space="preserve"> </w:t>
      </w:r>
      <w:r>
        <w:t xml:space="preserve">the bar being asked of ELs is one that English-speaking peers do not meet,</w:t>
      </w:r>
      <w:r>
        <w:t xml:space="preserve"> </w:t>
      </w:r>
      <w:r>
        <w:t xml:space="preserve">which is a construct-validity problem rather than a threshold one. That is</w:t>
      </w:r>
      <w:r>
        <w:t xml:space="preserve"> </w:t>
      </w:r>
      <w:r>
        <w:t xml:space="preserve">what the fairness check above tests directly.</w:t>
      </w:r>
    </w:p>
    <w:bookmarkEnd w:id="36"/>
    <w:bookmarkStart w:id="37" w:name="interpreting-it"/>
    <w:p>
      <w:pPr>
        <w:pStyle w:val="Heading2"/>
      </w:pPr>
      <w:r>
        <w:t xml:space="preserve">Interpreting it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cross-section, not growth.</w:t>
      </w:r>
      <w:r>
        <w:t xml:space="preserve"> </w:t>
      </w:r>
      <w:r>
        <w:t xml:space="preserve">A band’s distribution describes the</w:t>
      </w:r>
      <w:r>
        <w:t xml:space="preserve"> </w:t>
      </w:r>
      <w:r>
        <w:t xml:space="preserve">students in it this year, not a path any student took. Students move between</w:t>
      </w:r>
      <w:r>
        <w:t xml:space="preserve"> </w:t>
      </w:r>
      <w:r>
        <w:t xml:space="preserve">bands year to year, and the students in the top band this year are not last</w:t>
      </w:r>
      <w:r>
        <w:t xml:space="preserve"> </w:t>
      </w:r>
      <w:r>
        <w:t xml:space="preserve">year’s top band plus progress.</w:t>
      </w:r>
    </w:p>
    <w:p>
      <w:pPr>
        <w:pStyle w:val="BodyText"/>
      </w:pPr>
      <w:r>
        <w:t xml:space="preserve">The reference columns carry most of the interpretive weight. Former ELs are</w:t>
      </w:r>
      <w:r>
        <w:t xml:space="preserve"> </w:t>
      </w:r>
      <w:r>
        <w:t xml:space="preserve">the group the exit rule has already acted on; the English-only group is the</w:t>
      </w:r>
      <w:r>
        <w:t xml:space="preserve"> </w:t>
      </w:r>
      <w:r>
        <w:t xml:space="preserve">standard the content test was built around. A band’s position between those</w:t>
      </w:r>
      <w:r>
        <w:t xml:space="preserve"> </w:t>
      </w:r>
      <w:r>
        <w:t xml:space="preserve">two is more informative than its position against the cut alone.</w:t>
      </w:r>
    </w:p>
    <w:bookmarkEnd w:id="37"/>
    <w:bookmarkStart w:id="38" w:name="what-is-not-here"/>
    <w:p>
      <w:pPr>
        <w:pStyle w:val="Heading2"/>
      </w:pPr>
      <w:r>
        <w:t xml:space="preserve">What is not here</w:t>
      </w:r>
    </w:p>
    <w:p>
      <w:pPr>
        <w:pStyle w:val="FirstParagraph"/>
      </w:pPr>
      <w:r>
        <w:t xml:space="preserve">All 18 grade-and-subject panels are computed; the figure</w:t>
      </w:r>
      <w:r>
        <w:t xml:space="preserve"> </w:t>
      </w:r>
      <w:r>
        <w:t xml:space="preserve">draws one of them and the tables carry them all. Four things are still</w:t>
      </w:r>
      <w:r>
        <w:t xml:space="preserve"> </w:t>
      </w:r>
      <w:r>
        <w:t xml:space="preserve">absent.</w:t>
      </w:r>
    </w:p>
    <w:p>
      <w:pPr>
        <w:pStyle w:val="BodyText"/>
      </w:pPr>
      <w:r>
        <w:rPr>
          <w:b/>
          <w:bCs/>
        </w:rPr>
        <w:t xml:space="preserve">A matched English-only group.</w:t>
      </w:r>
      <w:r>
        <w:t xml:space="preserve"> </w:t>
      </w:r>
      <w:r>
        <w:t xml:space="preserve">The fairness check filters on a single</w:t>
      </w:r>
      <w:r>
        <w:t xml:space="preserve"> </w:t>
      </w:r>
      <w:r>
        <w:t xml:space="preserve">free-and-reduced-lunch flag. Propensity matching — and, where a delivery</w:t>
      </w:r>
      <w:r>
        <w:t xml:space="preserve"> </w:t>
      </w:r>
      <w:r>
        <w:t xml:space="preserve">carries it, parental education — would make the comparison a comparison</w:t>
      </w:r>
      <w:r>
        <w:t xml:space="preserve"> </w:t>
      </w:r>
      <w:r>
        <w:t xml:space="preserve">rather than a narrowing. This delivery has no parental-education field, so</w:t>
      </w:r>
      <w:r>
        <w:t xml:space="preserve"> </w:t>
      </w:r>
      <w:r>
        <w:t xml:space="preserve">the crude version is the ceiling here.</w:t>
      </w:r>
    </w:p>
    <w:p>
      <w:pPr>
        <w:pStyle w:val="BodyText"/>
      </w:pPr>
      <w:r>
        <w:rPr>
          <w:b/>
          <w:bCs/>
        </w:rPr>
        <w:t xml:space="preserve">The contested-zone models.</w:t>
      </w:r>
      <w:r>
        <w:t xml:space="preserve"> </w:t>
      </w:r>
      <w:r>
        <w:t xml:space="preserve">Type-gated, and this spec is Type 1: with a</w:t>
      </w:r>
      <w:r>
        <w:t xml:space="preserve"> </w:t>
      </w:r>
      <w:r>
        <w:t xml:space="preserve">single overall criterion there is no second criterion to disagree with it, so</w:t>
      </w:r>
      <w:r>
        <w:t xml:space="preserve"> </w:t>
      </w:r>
      <w:r>
        <w:t xml:space="preserve">there is no contested zone to model. A Type 2–6 state would get box plots</w:t>
      </w:r>
      <w:r>
        <w:t xml:space="preserve"> </w:t>
      </w:r>
      <w:r>
        <w:t xml:space="preserve">split by the second criterion within band, and one logistic with an</w:t>
      </w:r>
      <w:r>
        <w:t xml:space="preserve"> </w:t>
      </w:r>
      <w:r>
        <w:t xml:space="preserve">interaction presented as two predicted curves.</w:t>
      </w:r>
    </w:p>
    <w:p>
      <w:pPr>
        <w:pStyle w:val="BodyText"/>
      </w:pPr>
      <w:r>
        <w:rPr>
          <w:b/>
          <w:bCs/>
        </w:rPr>
        <w:t xml:space="preserve">Confidence around the crossings.</w:t>
      </w:r>
      <w:r>
        <w:t xml:space="preserve"> </w:t>
      </w:r>
      <w:r>
        <w:t xml:space="preserve">The logistic reports a point. A</w:t>
      </w:r>
      <w:r>
        <w:t xml:space="preserve"> </w:t>
      </w:r>
      <w:r>
        <w:t xml:space="preserve">delivery-quality answer wants an interval around it, and the intervals would</w:t>
      </w:r>
      <w:r>
        <w:t xml:space="preserve"> </w:t>
      </w:r>
      <w:r>
        <w:t xml:space="preserve">be wide wherever the crossing is already an extrapolation.</w:t>
      </w:r>
    </w:p>
    <w:p>
      <w:pPr>
        <w:pStyle w:val="BodyText"/>
      </w:pPr>
      <w:r>
        <w:rPr>
          <w:b/>
          <w:bCs/>
        </w:rPr>
        <w:t xml:space="preserve">A year dimension.</w:t>
      </w:r>
      <w:r>
        <w:t xml:space="preserve"> </w:t>
      </w:r>
      <w:r>
        <w:t xml:space="preserve">Each panel takes the most recent year the pairing is</w:t>
      </w:r>
      <w:r>
        <w:t xml:space="preserve"> </w:t>
      </w:r>
      <w:r>
        <w:t xml:space="preserve">available. Whether the landing moves year to year is a question this stage</w:t>
      </w:r>
      <w:r>
        <w:t xml:space="preserve"> </w:t>
      </w:r>
      <w:r>
        <w:t xml:space="preserve">could answer and does not yet ask.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this panel can and cannot say here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On simulated data this is</w:t>
            </w:r>
            <w:r>
              <w:t xml:space="preserve"> </w:t>
            </w:r>
            <w:r>
              <w:rPr>
                <w:b/>
                <w:bCs/>
              </w:rPr>
              <w:t xml:space="preserve">machinery, not a finding.</w:t>
            </w:r>
            <w:r>
              <w:t xml:space="preserve"> </w:t>
            </w:r>
            <w:r>
              <w:t xml:space="preserve">Every gap between EL</w:t>
            </w:r>
            <w:r>
              <w:t xml:space="preserve"> </w:t>
            </w:r>
            <w:r>
              <w:t xml:space="preserve">and English-only students in this simulation is a parameter of the generator,</w:t>
            </w:r>
            <w:r>
              <w:t xml:space="preserve"> </w:t>
            </w:r>
            <w:r>
              <w:t xml:space="preserve">not a measurement of anything. The figure demonstrates that the panel builds,</w:t>
            </w:r>
            <w:r>
              <w:t xml:space="preserve"> </w:t>
            </w:r>
            <w:r>
              <w:t xml:space="preserve">suppresses and renders correctly; it is not evidence about any state’s</w:t>
            </w:r>
            <w:r>
              <w:t xml:space="preserve"> </w:t>
            </w:r>
            <w:r>
              <w:t xml:space="preserve">students. Run against a real delivery, the same figure is the stage’s</w:t>
            </w:r>
            <w:r>
              <w:t xml:space="preserve"> </w:t>
            </w:r>
            <w:r>
              <w:t xml:space="preserve">substantive output.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Decide before moving 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Whether the crossing point, once the later passes report it across every</w:t>
            </w:r>
            <w:r>
              <w:t xml:space="preserve"> </w:t>
            </w:r>
            <w:r>
              <w:t xml:space="preserve">grade, is stable enough to inform a threshold — or whether it moves by</w:t>
            </w:r>
            <w:r>
              <w:t xml:space="preserve"> </w:t>
            </w:r>
            <w:r>
              <w:t xml:space="preserve">grade in ways Prep 2 and Data Check 1 explain.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Whether the English-only comparison should be economically matched or</w:t>
            </w:r>
            <w:r>
              <w:t xml:space="preserve"> </w:t>
            </w:r>
            <w:r>
              <w:t xml:space="preserve">taken whole, and on which variable, given what this delivery carries.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Which grades carry enough students, after suppression, to be read at all.</w:t>
            </w:r>
          </w:p>
        </w:tc>
      </w:tr>
    </w:tbl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Check 3 — Academic patterns</dc:title>
  <dc:creator/>
  <cp:keywords/>
  <dcterms:created xsi:type="dcterms:W3CDTF">2026-10-09T16:41:30Z</dcterms:created>
  <dcterms:modified xsi:type="dcterms:W3CDTF">2026-10-09T16:41:30Z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rams">
    <vt:lpwstr/>
  </property>
  <property fmtid="{D5CDD505-2E9C-101B-9397-08002B2CF9AE}" pid="9" name="subtitle">
    <vt:lpwstr>Evaluating and Setting English Learner Exit Thresholds</vt:lpwstr>
  </property>
  <property fmtid="{D5CDD505-2E9C-101B-9397-08002B2CF9AE}" pid="10" name="toc-title">
    <vt:lpwstr>Table of contents</vt:lpwstr>
  </property>
</Properties>
</file>