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4.png" ContentType="image/png"/>
  <Override PartName="/word/media/rId28.png" ContentType="image/png"/>
  <Override PartName="/word/media/rId52.png" ContentType="image/png"/>
  <Override PartName="/word/media/rId38.png" ContentType="image/png"/>
  <Override PartName="/word/media/rId34.png" ContentType="image/png"/>
  <Override PartName="/word/media/rId6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 Step 2 — Population analysis</w:t>
      </w:r>
    </w:p>
    <w:p>
      <w:pPr>
        <w:pStyle w:val="Subtitle"/>
      </w:pPr>
      <w:r>
        <w:t xml:space="preserve">Evaluating and Setting English Learner Exit Thresholds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Full statewide EL population: every student identified as an English learner (current and former, within the monitoring window), observed across 11 years (2015–2025). Not a single cohort. Never-EL students enter only as the enrollment denominator.</w:t>
            </w:r>
          </w:p>
        </w:tc>
      </w:tr>
    </w:tbl>
    <w:bookmarkStart w:id="20" w:name="looking-at"/>
    <w:p>
      <w:pPr>
        <w:pStyle w:val="Heading2"/>
      </w:pPr>
      <w:r>
        <w:t xml:space="preserve">Looking at</w:t>
      </w:r>
    </w:p>
    <w:p>
      <w:pPr>
        <w:pStyle w:val="FirstParagraph"/>
      </w:pPr>
      <w:r>
        <w:t xml:space="preserve">Trends over time, grade-level distribution, district variation, entry-grade</w:t>
      </w:r>
      <w:r>
        <w:t xml:space="preserve"> </w:t>
      </w:r>
      <w:r>
        <w:t xml:space="preserve">patterns, and demographic profiles (home language, disability status,</w:t>
      </w:r>
      <w:r>
        <w:t xml:space="preserve"> </w:t>
      </w:r>
      <w:r>
        <w:t xml:space="preserve">alternate-assessment participation, and newcomer vs. long-term EL indicators</w:t>
      </w:r>
      <w:r>
        <w:t xml:space="preserve"> </w:t>
      </w:r>
      <w:r>
        <w:t xml:space="preserve">where the delivery carries them).</w:t>
      </w:r>
    </w:p>
    <w:bookmarkEnd w:id="20"/>
    <w:bookmarkStart w:id="21" w:name="looking-for"/>
    <w:p>
      <w:pPr>
        <w:pStyle w:val="Heading2"/>
      </w:pPr>
      <w:r>
        <w:t xml:space="preserve">Looking for</w:t>
      </w:r>
    </w:p>
    <w:p>
      <w:pPr>
        <w:pStyle w:val="FirstParagraph"/>
      </w:pPr>
      <w:r>
        <w:t xml:space="preserve">Two things, not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shape of the EL population in its own right.</w:t>
      </w:r>
      <w:r>
        <w:t xml:space="preserve"> </w:t>
      </w:r>
      <w:r>
        <w:t xml:space="preserve">Where EL students</w:t>
      </w:r>
      <w:r>
        <w:t xml:space="preserve"> </w:t>
      </w:r>
      <w:r>
        <w:t xml:space="preserve">concentrate by grade and district, how large the long-term-EL share is,</w:t>
      </w:r>
      <w:r>
        <w:t xml:space="preserve"> </w:t>
      </w:r>
      <w:r>
        <w:t xml:space="preserve">and how uneven entry patterns are. A reclassification policy technically</w:t>
      </w:r>
      <w:r>
        <w:t xml:space="preserve"> </w:t>
      </w:r>
      <w:r>
        <w:t xml:space="preserve">applies to everyone but lands unevenly: some grades and districts will feel</w:t>
      </w:r>
      <w:r>
        <w:t xml:space="preserve"> </w:t>
      </w:r>
      <w:r>
        <w:t xml:space="preserve">a threshold change far more than others, simply because that is where the</w:t>
      </w:r>
      <w:r>
        <w:t xml:space="preserve"> </w:t>
      </w:r>
      <w:r>
        <w:t xml:space="preserve">EL students 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compositional facts that shape the later stages.</w:t>
      </w:r>
      <w:r>
        <w:t xml:space="preserve"> </w:t>
      </w:r>
      <w:r>
        <w:t xml:space="preserve">Heavily K/1</w:t>
      </w:r>
      <w:r>
        <w:t xml:space="preserve"> </w:t>
      </w:r>
      <w:r>
        <w:t xml:space="preserve">entry, cumulative attrition by grade, and a concentrated long-term-EL</w:t>
      </w:r>
      <w:r>
        <w:t xml:space="preserve"> </w:t>
      </w:r>
      <w:r>
        <w:t xml:space="preserve">presence are what will later justify weighting certain grades’ evidence</w:t>
      </w:r>
      <w:r>
        <w:t xml:space="preserve"> </w:t>
      </w:r>
      <w:r>
        <w:t xml:space="preserve">more cautiously, and analyzing newly arrived and long-term ELs as separate</w:t>
      </w:r>
      <w:r>
        <w:t xml:space="preserve"> </w:t>
      </w:r>
      <w:r>
        <w:t xml:space="preserve">groups rather than one pooled population.</w:t>
      </w:r>
    </w:p>
    <w:bookmarkEnd w:id="21"/>
    <w:bookmarkStart w:id="23" w:name="data-coverage"/>
    <w:p>
      <w:pPr>
        <w:pStyle w:val="Heading2"/>
      </w:pPr>
      <w:r>
        <w:t xml:space="preserve">Data coverage</w:t>
      </w:r>
    </w:p>
    <w:p>
      <w:pPr>
        <w:pStyle w:val="FirstParagraph"/>
      </w:pPr>
      <w:r>
        <w:t xml:space="preserve">Counts come from the roster only (the base table has rows only where a test</w:t>
      </w:r>
      <w:r>
        <w:t xml:space="preserve"> </w:t>
      </w:r>
      <w:r>
        <w:t xml:space="preserve">happened; the roster is the counting frame). Everything counted here is built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Overall Composite</w:t>
      </w:r>
      <w:r>
        <w:t xml:space="preserve"> </w:t>
      </w:r>
      <w:r>
        <w:t xml:space="preserve">— the score this state reports as a</w:t>
      </w:r>
      <w:r>
        <w:t xml:space="preserve"> </w:t>
      </w:r>
      <w:r>
        <w:t xml:space="preserve">student’s overall English language proficiency result. The</w:t>
      </w:r>
      <w:r>
        <w:t xml:space="preserve"> </w:t>
      </w:r>
      <w:r>
        <w:t xml:space="preserve">“Annual</w:t>
      </w:r>
      <w:r>
        <w:t xml:space="preserve"> </w:t>
      </w:r>
      <w:r>
        <w:t xml:space="preserve">Overall Composite”</w:t>
      </w:r>
      <w:r>
        <w:t xml:space="preserve"> </w:t>
      </w:r>
      <w:r>
        <w:t xml:space="preserve">column counts student-years with an annual-form</w:t>
      </w:r>
      <w:r>
        <w:t xml:space="preserve"> </w:t>
      </w:r>
      <w:r>
        <w:t xml:space="preserve">result; alternate-form takers are reported as a group and never banded,</w:t>
      </w:r>
      <w:r>
        <w:t xml:space="preserve"> </w:t>
      </w:r>
      <w:r>
        <w:t xml:space="preserve">because their levels are on a different scale.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coverag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Roster coverage by year. Cells under 10 are suppressed.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00"/>
              <w:gridCol w:w="1670"/>
              <w:gridCol w:w="3161"/>
              <w:gridCol w:w="1914"/>
              <w:gridCol w:w="2122"/>
              <w:gridCol w:w="1633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Annual Overall Composite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Alternate form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annual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Former ELs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16,176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15,216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894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3,281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17,385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4,736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20,176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18,894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1,181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6,410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21,537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20,126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7,893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22,510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21,014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9,327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23,334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20,860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10,493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24,058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5,476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11,131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23,195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11,226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24,762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22,938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11,995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24,830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22,963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12,341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23,037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1,732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12,515</w:t>
                  </w:r>
                </w:p>
              </w:tc>
            </w:tr>
          </w:tbl>
          <w:bookmarkEnd w:id="22"/>
        </w:tc>
      </w:tr>
    </w:tbl>
    <w:bookmarkEnd w:id="23"/>
    <w:bookmarkStart w:id="33" w:name="el-counts-over-time"/>
    <w:p>
      <w:pPr>
        <w:pStyle w:val="Heading2"/>
      </w:pPr>
      <w:r>
        <w:t xml:space="preserve">1. EL counts over time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counts-year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counts-year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Current English learners by year. Dashed line: average across the panel.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el-share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el-share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Current ELs as a share of total enrollment (weighted by SAMPLE_WEIGHT).</w:t>
            </w:r>
          </w:p>
          <w:bookmarkEnd w:id="3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el-sha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Total enrollment and the EL share, weighted by SAMPLE_WEIGHT.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00"/>
              <w:gridCol w:w="2721"/>
              <w:gridCol w:w="1670"/>
              <w:gridCol w:w="1340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Enrollment (weighted)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 share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124,867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16,176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128,288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131,096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20,176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15.4%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134,070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21,537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135,827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22,510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136,787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23,334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137,909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24,058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139,481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139,407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24,762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139,691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24,830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17.8%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139,293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17.9%</w:t>
                  </w:r>
                </w:p>
              </w:tc>
            </w:tr>
          </w:tbl>
          <w:bookmarkEnd w:id="32"/>
        </w:tc>
      </w:tr>
    </w:tbl>
    <w:bookmarkEnd w:id="33"/>
    <w:bookmarkStart w:id="43" w:name="grade-level-distribution"/>
    <w:p>
      <w:pPr>
        <w:pStyle w:val="Heading2"/>
      </w:pPr>
      <w:r>
        <w:t xml:space="preserve">2. Grade-level distribution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grade-span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grade-span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Current ELs by grade span and year (100% stacked).</w:t>
            </w:r>
          </w:p>
          <w:bookmarkEnd w:id="3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grade-latest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grade-lates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Current ELs by grade, 2025. The dashed line is the average across grades.</w:t>
            </w:r>
          </w:p>
          <w:bookmarkEnd w:id="4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grade-shar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Share of current ELs in each grade, by year (column percentages). Read down a column for concentration; read across a row for drift.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73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rPr>
                <w:trHeight w:val="566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Grade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2025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14.7%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12.8%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11.9%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10.5%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10.3%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9.8%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9.5%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9.7%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9.7%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9.7%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11.0%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11.8%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11.4%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9.5%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8.0%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7.2%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6.6%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5.9%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5.5%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5.1%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4.6%</w:t>
                  </w:r>
                </w:p>
              </w:tc>
            </w:tr>
            <w:tr>
              <w:trPr>
                <w:trHeight w:val="551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1.4%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1.5%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1.8%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1.9%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2.1%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2.2%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2.9%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3.3%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3.7%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3.8%</w:t>
                  </w:r>
                </w:p>
              </w:tc>
            </w:tr>
          </w:tbl>
          <w:bookmarkEnd w:id="42"/>
        </w:tc>
      </w:tr>
    </w:tbl>
    <w:bookmarkEnd w:id="43"/>
    <w:bookmarkStart w:id="50" w:name="district-variation"/>
    <w:p>
      <w:pPr>
        <w:pStyle w:val="Heading2"/>
      </w:pPr>
      <w:r>
        <w:t xml:space="preserve">3. District variation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istricts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districts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Current ELs by district, ranked (districts are ranked, not named). The dotted line is at 100 ELs. The districts to the left of the dashed line hold two-thirds of all current ELs.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district-bi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Districts by EL enrollment band, 2025. Band edges [PROPOSED – CONFIRM].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71"/>
              <w:gridCol w:w="1291"/>
              <w:gridCol w:w="1670"/>
              <w:gridCol w:w="1755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District EL count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Districts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Share of ELs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&lt;100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101-999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1,000+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24,204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97.1%</w:t>
                  </w:r>
                </w:p>
              </w:tc>
            </w:tr>
          </w:tbl>
          <w:bookmarkEnd w:id="4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distric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Districts that together hold two-thirds of current ELs. These are where a threshold change lands hardest.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49"/>
              <w:gridCol w:w="1169"/>
              <w:gridCol w:w="1670"/>
              <w:gridCol w:w="2245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Rank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District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Cumulative share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4,937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3,933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2,005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63.9%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D06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1,782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71.1%</w:t>
                  </w:r>
                </w:p>
              </w:tc>
            </w:tr>
          </w:tbl>
          <w:bookmarkEnd w:id="49"/>
        </w:tc>
      </w:tr>
    </w:tbl>
    <w:bookmarkEnd w:id="50"/>
    <w:bookmarkStart w:id="58" w:name="X1b1c12b2add3e43c341a3395d4de17ecaf36f2e"/>
    <w:p>
      <w:pPr>
        <w:pStyle w:val="Heading2"/>
      </w:pPr>
      <w:r>
        <w:t xml:space="preserve">4. Entry-grade patterns and candidate cohorts</w:t>
      </w:r>
    </w:p>
    <w:p>
      <w:pPr>
        <w:pStyle w:val="FirstParagraph"/>
      </w:pPr>
      <w:r>
        <w:t xml:space="preserve">Each student’s entry into EL status is dated from the roster, using the first</w:t>
      </w:r>
      <w:r>
        <w:t xml:space="preserve"> </w:t>
      </w:r>
      <w:r>
        <w:t xml:space="preserve">of the fields in</w:t>
      </w:r>
      <w:r>
        <w:t xml:space="preserve"> </w:t>
      </w:r>
      <w:r>
        <w:rPr>
          <w:rStyle w:val="VerbatimChar"/>
        </w:rPr>
        <w:t xml:space="preserve">spec$data$entry_sources</w:t>
      </w:r>
      <w:r>
        <w:t xml:space="preserve"> </w:t>
      </w:r>
      <w:r>
        <w:t xml:space="preserve">that is delivered and non-missing</w:t>
      </w:r>
      <w:r>
        <w:t xml:space="preserve"> </w:t>
      </w:r>
      <w:r>
        <w:t xml:space="preserve">(by default</w:t>
      </w:r>
      <w:r>
        <w:t xml:space="preserve"> </w:t>
      </w:r>
      <w:r>
        <w:rPr>
          <w:rStyle w:val="VerbatimChar"/>
        </w:rPr>
        <w:t xml:space="preserve">LEP_PROGRAM_START_DATE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COHORT_START_YEAR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YEAR_IN_STATUS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ENTRY_GRADE</w:t>
      </w:r>
      <w:r>
        <w:t xml:space="preserve">, which assumes one grade per year). A state’s own count of</w:t>
      </w:r>
      <w:r>
        <w:t xml:space="preserve"> </w:t>
      </w:r>
      <w:r>
        <w:t xml:space="preserve">years in the program maps onto</w:t>
      </w:r>
      <w:r>
        <w:t xml:space="preserve"> </w:t>
      </w:r>
      <w:r>
        <w:rPr>
          <w:rStyle w:val="VerbatimChar"/>
        </w:rPr>
        <w:t xml:space="preserve">YEAR_IN_STATUS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spec$data$columns$roster</w:t>
      </w:r>
      <w:r>
        <w:t xml:space="preserve">; whether that count codes a student’s first year as</w:t>
      </w:r>
      <w:r>
        <w:t xml:space="preserve"> </w:t>
      </w:r>
      <w:r>
        <w:t xml:space="preserve">1 or as 0 is detected from entrants the panel observes, unless the spec says.</w:t>
      </w:r>
      <w:r>
        <w:t xml:space="preserve"> </w:t>
      </w:r>
      <w:r>
        <w:t xml:space="preserve">A delivered start date reads on the academic calendar (a September date</w:t>
      </w:r>
      <w:r>
        <w:t xml:space="preserve"> </w:t>
      </w:r>
      <w:r>
        <w:t xml:space="preserve">belongs to the next spring year) unless</w:t>
      </w:r>
      <w:r>
        <w:t xml:space="preserve"> </w:t>
      </w:r>
      <w:r>
        <w:rPr>
          <w:rStyle w:val="VerbatimChar"/>
        </w:rPr>
        <w:t xml:space="preserve">spec$data$entry_date_rule</w:t>
      </w:r>
      <w:r>
        <w:t xml:space="preserve"> </w:t>
      </w:r>
      <w:r>
        <w:t xml:space="preserve">says</w:t>
      </w:r>
      <w:r>
        <w:t xml:space="preserve"> </w:t>
      </w:r>
      <w:r>
        <w:t xml:space="preserve">otherwise. With none of these fields, the panel itself dates entry only when</w:t>
      </w:r>
      <w:r>
        <w:t xml:space="preserve"> </w:t>
      </w:r>
      <w:r>
        <w:t xml:space="preserve">the student first turns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panel opens (a student in K in</w:t>
      </w:r>
      <w:r>
        <w:t xml:space="preserve"> </w:t>
      </w:r>
      <w:r>
        <w:t xml:space="preserve">the panel’s first year is also taken as a K entrant that year). A student</w:t>
      </w:r>
      <w:r>
        <w:t xml:space="preserve"> </w:t>
      </w:r>
      <w:r>
        <w:t xml:space="preserve">already EL in the panel’s first year with nothing delivered to date them has an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entry: their time in status is a lower bound, and they are excluded</w:t>
      </w:r>
      <w:r>
        <w:t xml:space="preserve"> </w:t>
      </w:r>
      <w:r>
        <w:t xml:space="preserve">from the entry views and from any Check 1 cohort.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entry-sourc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How each ever-current student’s entry year was resolved. Rows below the delivered fields are what the panel can do on its own.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638"/>
              <w:gridCol w:w="1352"/>
              <w:gridCol w:w="1157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Entry year dated from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Students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Share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LEP_PROGRAM_START_DATE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59,816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100.0%</w:t>
                  </w:r>
                </w:p>
              </w:tc>
            </w:tr>
          </w:tbl>
          <w:bookmarkEnd w:id="51"/>
        </w:tc>
      </w:tr>
    </w:tbl>
    <w:p>
      <w:pPr>
        <w:pStyle w:val="BodyText"/>
      </w:pPr>
      <w:r>
        <w:t xml:space="preserve">On the first observed current year of in-panel entrants,</w:t>
      </w:r>
      <w:r>
        <w:t xml:space="preserve"> </w:t>
      </w:r>
      <w:r>
        <w:rPr>
          <w:rStyle w:val="VerbatimChar"/>
        </w:rPr>
        <w:t xml:space="preserve">YEAR_IN_STATUS</w:t>
      </w:r>
      <w:r>
        <w:t xml:space="preserve"> </w:t>
      </w:r>
      <w:r>
        <w:t xml:space="preserve">is 1 for 100.0% of them, so it is read as counting the current year (first year = 1) [DERIVED - VERIFY].</w:t>
      </w:r>
    </w:p>
    <w:p>
      <w:pPr>
        <w:pStyle w:val="BodyText"/>
      </w:pPr>
      <w:r>
        <w:t xml:space="preserve">Delivered entry fields cover 100.0% of ever-current students. Where the panel also observes the entry (43,640 students first current after 2015), the delivered year matches the first current year for 100.0%; 0 delivered years fell after an observed current year and were pulled back to it.</w:t>
      </w:r>
    </w:p>
    <w:p>
      <w:pPr>
        <w:pStyle w:val="BodyText"/>
      </w:pPr>
      <w:r>
        <w:t xml:space="preserve">Left-truncation recomputed here agrees with the delivered</w:t>
      </w:r>
      <w:r>
        <w:t xml:space="preserve"> </w:t>
      </w:r>
      <w:r>
        <w:rPr>
          <w:rStyle w:val="VerbatimChar"/>
        </w:rPr>
        <w:t xml:space="preserve">LEFT_TRUNCATED</w:t>
      </w:r>
      <w:r>
        <w:t xml:space="preserve"> </w:t>
      </w:r>
      <w:r>
        <w:t xml:space="preserve">flag for 100.0% of students.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entry-grade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entry-grade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Grade at entry into EL status, among students whose entry falls inside the panel.</w:t>
            </w:r>
          </w:p>
          <w:bookmarkEnd w:id="5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entry-by-yea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Students entering EL status, by entry year and grade (entry observed inside the panel).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93"/>
              <w:gridCol w:w="811"/>
              <w:gridCol w:w="678"/>
              <w:gridCol w:w="678"/>
              <w:gridCol w:w="678"/>
              <w:gridCol w:w="678"/>
              <w:gridCol w:w="678"/>
              <w:gridCol w:w="678"/>
              <w:gridCol w:w="678"/>
              <w:gridCol w:w="678"/>
              <w:gridCol w:w="678"/>
              <w:gridCol w:w="589"/>
              <w:gridCol w:w="589"/>
              <w:gridCol w:w="589"/>
            </w:tblGrid>
            <w:tr>
              <w:trPr>
                <w:trHeight w:val="566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Entry 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2,373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2,360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2,350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2,370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3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51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2,410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273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</w:tbl>
          <w:bookmarkEnd w:id="56"/>
        </w:tc>
      </w:tr>
    </w:tbl>
    <w:p>
      <w:pPr>
        <w:pStyle w:val="BodyText"/>
      </w:pPr>
      <w:r>
        <w:t xml:space="preserve">Candidate K-start cohorts for Data Check 1 are below. They are the same cohorts</w:t>
      </w:r>
      <w:r>
        <w:t xml:space="preserve"> </w:t>
      </w:r>
      <w:r>
        <w:t xml:space="preserve">Check 1 selects from: membership is the shared cohort derivation, and</w:t>
      </w:r>
      <w:r>
        <w:t xml:space="preserve"> </w:t>
      </w:r>
      <w:r>
        <w:t xml:space="preserve">left-truncated students are excluded by construction.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entry-cohor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8: Candidate K-start cohorts for Data Check 1. Seeing the full exit window needs 7 observed years under first-former-year exit dating; shorter cohorts are usable but censored.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87"/>
              <w:gridCol w:w="1303"/>
              <w:gridCol w:w="2049"/>
              <w:gridCol w:w="2855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Entry 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Entrants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Years observed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Covers full exit window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2,410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</w:t>
                  </w:r>
                </w:p>
              </w:tc>
            </w:tr>
          </w:tbl>
          <w:bookmarkEnd w:id="57"/>
        </w:tc>
      </w:tr>
    </w:tbl>
    <w:bookmarkEnd w:id="58"/>
    <w:bookmarkStart w:id="65" w:name="time-in-status-new-vs.-long-term-els"/>
    <w:p>
      <w:pPr>
        <w:pStyle w:val="Heading2"/>
      </w:pPr>
      <w:r>
        <w:t xml:space="preserve">5. Time in status: new vs. long-term ELs</w:t>
      </w:r>
    </w:p>
    <w:p>
      <w:pPr>
        <w:pStyle w:val="FirstParagraph"/>
      </w:pPr>
      <w:r>
        <w:t xml:space="preserve">Years in status count from the entry year resolved in section 4, not from a</w:t>
      </w:r>
      <w:r>
        <w:t xml:space="preserve"> </w:t>
      </w:r>
      <w:r>
        <w:t xml:space="preserve">student’s first appearance in the panel. A student whose entry is unknown</w:t>
      </w:r>
      <w:r>
        <w:t xml:space="preserve"> </w:t>
      </w:r>
      <w:r>
        <w:t xml:space="preserve">(already EL when the panel opened, nothing delivered to date them) has only a</w:t>
      </w:r>
      <w:r>
        <w:t xml:space="preserve"> </w:t>
      </w:r>
      <w:r>
        <w:t xml:space="preserve">lower bound: the years they have been observed as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. Such a student</w:t>
      </w:r>
      <w:r>
        <w:t xml:space="preserve"> </w:t>
      </w:r>
      <w:r>
        <w:t xml:space="preserve">counts as long-term once observed for 6+</w:t>
      </w:r>
      <w:r>
        <w:t xml:space="preserve"> </w:t>
      </w:r>
      <w:r>
        <w:t xml:space="preserve">years, and is otherwise carried as</w:t>
      </w:r>
      <w:r>
        <w:t xml:space="preserve"> </w:t>
      </w:r>
      <w:r>
        <w:rPr>
          <w:i/>
          <w:iCs/>
        </w:rPr>
        <w:t xml:space="preserve">unknown</w:t>
      </w:r>
      <w:r>
        <w:t xml:space="preserve">, which is why the long-term share</w:t>
      </w:r>
      <w:r>
        <w:t xml:space="preserve"> </w:t>
      </w:r>
      <w:r>
        <w:t xml:space="preserve">is reported as a range (at least / at most). The two bounds meet once every</w:t>
      </w:r>
      <w:r>
        <w:t xml:space="preserve"> </w:t>
      </w:r>
      <w:r>
        <w:t xml:space="preserve">student’s entry is dated.</w:t>
      </w:r>
    </w:p>
    <w:p>
      <w:pPr>
        <w:pStyle w:val="BodyText"/>
      </w:pPr>
      <w:r>
        <w:t xml:space="preserve">Distributions only. Per the slide-38 guardrail, no mean or average time in</w:t>
      </w:r>
      <w:r>
        <w:t xml:space="preserve"> </w:t>
      </w:r>
      <w:r>
        <w:t xml:space="preserve">status is computed anywhere in this document: a mean of durations across</w:t>
      </w:r>
      <w:r>
        <w:t xml:space="preserve"> </w:t>
      </w:r>
      <w:r>
        <w:t xml:space="preserve">students who entered at different grades, and are censored at different</w:t>
      </w:r>
      <w:r>
        <w:t xml:space="preserve"> </w:t>
      </w:r>
      <w:r>
        <w:t xml:space="preserve">points, describes no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time-yea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9: New and long-term ELs by year. Long-term = 6+ years in status [DERIVED – VERIFY].</w:t>
            </w:r>
            <w:r>
              <w:t xml:space="preserve"> </w:t>
            </w:r>
            <w:r>
              <w:t xml:space="preserve">“At least”</w:t>
            </w:r>
            <w:r>
              <w:t xml:space="preserve"> </w:t>
            </w:r>
            <w:r>
              <w:t xml:space="preserve">counts students dated or observed current for 6+ years;</w:t>
            </w:r>
            <w:r>
              <w:t xml:space="preserve"> </w:t>
            </w:r>
            <w:r>
              <w:t xml:space="preserve">“at most”</w:t>
            </w:r>
            <w:r>
              <w:t xml:space="preserve"> </w:t>
            </w:r>
            <w:r>
              <w:t xml:space="preserve">adds every student whose entry is unknown and could be. First-year shares count dated entries only.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00"/>
              <w:gridCol w:w="1670"/>
              <w:gridCol w:w="2367"/>
              <w:gridCol w:w="2721"/>
              <w:gridCol w:w="2745"/>
              <w:gridCol w:w="2000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First year in 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Long-term EL, at least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Long-term EL, at most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Entry unknown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16,176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18,492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20,176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21,537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22,510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23,334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24,058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24,762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24,830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24,938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</w:tbl>
          <w:bookmarkEnd w:id="5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time-grade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time-grade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Years in EL status among current ELs, by grade, 2025. Grey marks unknown entry, observed for fewer years than the long-term threshold.</w:t>
            </w:r>
          </w:p>
          <w:bookmarkEnd w:id="6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time-grad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10: New and long-term shares by grade, 2025. This is the table that tells you where a pooled all-EL analysis would mix two different populations.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046"/>
              <w:gridCol w:w="1670"/>
              <w:gridCol w:w="2367"/>
              <w:gridCol w:w="1841"/>
              <w:gridCol w:w="2000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Grade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ELs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First year in 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Long-term 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Entry unknown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2,410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100.0%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2,942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2,846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2,365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1,986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1,801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54.2%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1,146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62.9%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958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68.1%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</w:tbl>
          <w:bookmarkEnd w:id="64"/>
        </w:tc>
      </w:tr>
    </w:tbl>
    <w:bookmarkEnd w:id="65"/>
    <w:bookmarkStart w:id="71" w:name="initial-elp-level"/>
    <w:p>
      <w:pPr>
        <w:pStyle w:val="Heading2"/>
      </w:pPr>
      <w:r>
        <w:t xml:space="preserve">6. Initial ELP level</w:t>
      </w:r>
    </w:p>
    <w:p>
      <w:pPr>
        <w:pStyle w:val="FirstParagraph"/>
      </w:pPr>
      <w:r>
        <w:t xml:space="preserve">The Overall Composite level at entry, banded per the spec. Only</w:t>
      </w:r>
      <w:r>
        <w:t xml:space="preserve"> </w:t>
      </w:r>
      <w:r>
        <w:t xml:space="preserve">students whose entry is observed inside the panel have an initial level. Alternate-form takers are</w:t>
      </w:r>
      <w:r>
        <w:t xml:space="preserve"> </w:t>
      </w:r>
      <w:r>
        <w:t xml:space="preserve">counted as a group and never banded: the alternate scale is a different</w:t>
      </w:r>
      <w:r>
        <w:t xml:space="preserve"> </w:t>
      </w:r>
      <w:r>
        <w:t xml:space="preserve">measurement scale.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initial-elp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prep2_population_files/figure-docx/fig-initial-elp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Initial ELP level (the banded Overall Composite level), among entrants observed at entry.</w:t>
            </w:r>
          </w:p>
          <w:bookmarkEnd w:id="6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tbl-initial-el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11: Initial ELP at entry. Bands are the spec’s [DERIVED – VERIFY].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018"/>
              <w:gridCol w:w="1084"/>
              <w:gridCol w:w="1034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Initial ELP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Share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1.0-1.9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21,866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45.6%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2.0-2.9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19,671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3.0-3.9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4,756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4.0-4.4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5.0+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alternate form (excluded from bands)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annual score observed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1,154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2.4%</w:t>
                  </w:r>
                </w:p>
              </w:tc>
            </w:tr>
          </w:tbl>
          <w:bookmarkEnd w:id="70"/>
        </w:tc>
      </w:tr>
    </w:tbl>
    <w:p>
      <w:pPr>
        <w:pStyle w:val="BodyText"/>
      </w:pPr>
      <w:r>
        <w:t xml:space="preserve">The band recomputed here from the Overall Composite (first annual result at or after entry) agrees with the delivered</w:t>
      </w:r>
      <w:r>
        <w:t xml:space="preserve"> </w:t>
      </w:r>
      <w:r>
        <w:rPr>
          <w:rStyle w:val="VerbatimChar"/>
        </w:rPr>
        <w:t xml:space="preserve">INITIAL_ELP</w:t>
      </w:r>
      <w:r>
        <w:t xml:space="preserve"> </w:t>
      </w:r>
      <w:r>
        <w:t xml:space="preserve">for 100.0% of the 46,677 entrants carrying both.</w:t>
      </w:r>
    </w:p>
    <w:bookmarkEnd w:id="71"/>
    <w:bookmarkStart w:id="73" w:name="demographic-profile"/>
    <w:p>
      <w:pPr>
        <w:pStyle w:val="Heading2"/>
      </w:pPr>
      <w:r>
        <w:t xml:space="preserve">7. Demographic profile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profi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12: Profile of current ELs, 2025. Shares are within-EL and unweighted; cells under 10 suppressed; long value lists collapsed to the top entries. Columns not delivered are simply absent.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941"/>
              <w:gridCol w:w="2397"/>
              <w:gridCol w:w="1084"/>
              <w:gridCol w:w="1034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Share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13,671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por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2,041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ara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cmn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hat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guj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kor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3.7%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HOME_LANGUAGE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tgl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esl_pullout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7,548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esl_pushin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5,442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sheltered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3,212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bilingual_trans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2,701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bilingual_tw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newcomer_program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2,273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SERVICE_MODEL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refused_services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IEP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IEP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4,546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(missing)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20,392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1,085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OHI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AUT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SPED_CLASSIFICATION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OTH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GENDER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12,699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GENDER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12,177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GENDER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X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FRL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18,162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72.8%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FRL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6,776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FRL_DETAIL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15,425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FRL_DETAIL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6,776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27.2%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FRL_DETAIL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ELP_FORM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annual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24,769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99.3%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ELP_FORM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alternate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NEWCOMER_FLAG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20,095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80.6%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NEWCOMER_FLAG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4,843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19.4%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SIFE_FLAG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23,412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93.9%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SIFE_FLAG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6.1%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IMMIGRANT_STATUS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12,796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IMMIGRANT_STATUS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12,142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48.7%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MIGRANT_STATUS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23,935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96.0%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MIGRANT_STATUS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TIME_IN_STATUS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year (new)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4,364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17.5%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TIME_IN_STATUS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2-5 years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14,329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57.5%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TIME_IN_STATUS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6+ years (long-term)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6,245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25.0%</w:t>
                  </w:r>
                </w:p>
              </w:tc>
            </w:tr>
          </w:tbl>
          <w:bookmarkEnd w:id="72"/>
        </w:tc>
      </w:tr>
    </w:tbl>
    <w:bookmarkEnd w:id="73"/>
    <w:bookmarkStart w:id="75" w:name="former-els-in-monitoring"/>
    <w:p>
      <w:pPr>
        <w:pStyle w:val="Heading2"/>
      </w:pPr>
      <w:r>
        <w:t xml:space="preserve">8. Former ELs in monitoring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monitori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13: Former ELs by monitoring year [PROPOSED – CONFIRM view].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900"/>
              <w:gridCol w:w="2244"/>
              <w:gridCol w:w="2244"/>
              <w:gridCol w:w="2244"/>
              <w:gridCol w:w="2244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Monitoring year 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Monitoring year 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Monitoring year 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Monitoring year 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1,436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1,009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1,815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2,397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1,749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2,309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1,672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1,271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2,977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2,568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1,579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3,061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2,879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2,464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2,089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3,120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2,933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2,317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2,837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2,992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2,606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3,792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2,713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2,844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2,646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3,470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3,621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2,577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2,673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3,331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3,341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3,426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2,417</w:t>
                  </w:r>
                </w:p>
              </w:tc>
            </w:tr>
          </w:tbl>
          <w:bookmarkEnd w:id="74"/>
        </w:tc>
      </w:tr>
    </w:tbl>
    <w:bookmarkEnd w:id="75"/>
    <w:bookmarkStart w:id="76" w:name="interpreting"/>
    <w:p>
      <w:pPr>
        <w:pStyle w:val="Heading2"/>
      </w:pPr>
      <w:r>
        <w:t xml:space="preserve">Interpreting</w:t>
      </w:r>
    </w:p>
    <w:p>
      <w:pPr>
        <w:pStyle w:val="FirstParagraph"/>
      </w:pPr>
      <w:r>
        <w:t xml:space="preserve">This step is not just a technical prerequisite for choosing analytic samples.</w:t>
      </w:r>
      <w:r>
        <w:t xml:space="preserve"> </w:t>
      </w:r>
      <w:r>
        <w:t xml:space="preserve">It is the interpretive backdrop for every Data Check that follows. A</w:t>
      </w:r>
      <w:r>
        <w:t xml:space="preserve"> </w:t>
      </w:r>
      <w:r>
        <w:t xml:space="preserve">grade-level finding, a district pattern, or a subgroup difference in Data</w:t>
      </w:r>
      <w:r>
        <w:t xml:space="preserve"> </w:t>
      </w:r>
      <w:r>
        <w:t xml:space="preserve">Checks 1–4 has to be read through what this step shows: is that grade,</w:t>
      </w:r>
      <w:r>
        <w:t xml:space="preserve"> </w:t>
      </w:r>
      <w:r>
        <w:t xml:space="preserve">district, or subgroup representative of the EL population, or an outlier</w:t>
      </w:r>
      <w:r>
        <w:t xml:space="preserve"> </w:t>
      </w:r>
      <w:r>
        <w:t xml:space="preserve">shaped by unusual entry timing, thin N, or a concentrated long-term-EL</w:t>
      </w:r>
      <w:r>
        <w:t xml:space="preserve"> </w:t>
      </w:r>
      <w:r>
        <w:t xml:space="preserve">presence? Skipped or skimmed, this step lets later results be taken at face</w:t>
      </w:r>
      <w:r>
        <w:t xml:space="preserve"> </w:t>
      </w:r>
      <w:r>
        <w:t xml:space="preserve">value when they actually reflect population idiosyncrasy rather than anything</w:t>
      </w:r>
      <w:r>
        <w:t xml:space="preserve"> </w:t>
      </w:r>
      <w:r>
        <w:t xml:space="preserve">about the exit threshold.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Resist the urge to average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Nothing above averages across groups, and nothing reports a mean time in</w:t>
            </w:r>
            <w:r>
              <w:t xml:space="preserve"> </w:t>
            </w:r>
            <w:r>
              <w:t xml:space="preserve">status. Grade, district, and duration groups are shown as distributions and</w:t>
            </w:r>
            <w:r>
              <w:t xml:space="preserve"> </w:t>
            </w:r>
            <w:r>
              <w:t xml:space="preserve">shares so that the concentration itself stays visible. Keep it that way in</w:t>
            </w:r>
            <w:r>
              <w:t xml:space="preserve"> </w:t>
            </w:r>
            <w:r>
              <w:t xml:space="preserve">the stages that follow.</w:t>
            </w:r>
          </w:p>
        </w:tc>
      </w:tr>
    </w:tbl>
    <w:bookmarkEnd w:id="76"/>
    <w:bookmarkStart w:id="77" w:name="X0360a0cbc2fc1b0a67218756fbde7b67c8487e2"/>
    <w:p>
      <w:pPr>
        <w:pStyle w:val="Heading2"/>
      </w:pPr>
      <w:r>
        <w:t xml:space="preserve">Additional check — Types 2–6: criteria crosswalk</w:t>
      </w:r>
    </w:p>
    <w:p>
      <w:pPr>
        <w:pStyle w:val="FirstParagraph"/>
      </w:pPr>
      <w:r>
        <w:t xml:space="preserve">The exit rule is declared as Type 1 (a single overall composite), so the criteria crosswalk does not apply.</w:t>
      </w:r>
      <w:r>
        <w:t xml:space="preserve"> </w:t>
      </w:r>
      <w:r>
        <w:rPr>
          <w:rStyle w:val="VerbatimChar"/>
        </w:rPr>
        <w:t xml:space="preserve">criteria_crosswalk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blocked_groups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contested_zone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the results object. Declare the additional criteria in</w:t>
      </w:r>
      <w:r>
        <w:t xml:space="preserve"> </w:t>
      </w:r>
      <w:r>
        <w:rPr>
          <w:rStyle w:val="VerbatimChar"/>
        </w:rPr>
        <w:t xml:space="preserve">spec$policy$exit$pathways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 </w:t>
      </w:r>
      <w:r>
        <w:t xml:space="preserve">to activate this check.</w:t>
      </w:r>
    </w:p>
    <w:bookmarkEnd w:id="77"/>
    <w:bookmarkStart w:id="78" w:name="decide-before-moving-on"/>
    <w:p>
      <w:pPr>
        <w:pStyle w:val="Heading2"/>
      </w:pPr>
      <w:r>
        <w:t xml:space="preserve">Decide before moving 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Panel.</w:t>
      </w:r>
      <w:r>
        <w:t xml:space="preserve"> </w:t>
      </w:r>
      <w:r>
        <w:t xml:space="preserve">11 years (2015–2025).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Size.</w:t>
      </w:r>
      <w:r>
        <w:t xml:space="preserve"> </w:t>
      </w:r>
      <w:r>
        <w:t xml:space="preserve">24,938 current ELs in 2025 (11-year average 22,339).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Grade concentration (2025).</w:t>
      </w:r>
      <w:r>
        <w:t xml:space="preserve"> </w:t>
      </w:r>
      <w:r>
        <w:t xml:space="preserve">Grades 2, 3, 1 hold 34.2% of current ELs; K-5 holds 61.3%.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Districts (2025).</w:t>
      </w:r>
      <w:r>
        <w:t xml:space="preserve"> </w:t>
      </w:r>
      <w:r>
        <w:t xml:space="preserve">6 of 12 districts hold two-thirds of current ELs; 0 districts serve fewer than 100.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Entry.</w:t>
      </w:r>
      <w:r>
        <w:t xml:space="preserve"> </w:t>
      </w:r>
      <w:r>
        <w:t xml:space="preserve">62.0% of observed entrants enter in K or grade 1. K-start cohorts that cover the full exit window: 2015 (n = 2,373, 11 years observed); 2016 (n = 2,360, 10 years observed); 2017 (n = 2,411, 9 years observed); 2018 (n = 2,403, 8 years observed); 2019 (n = 2,374, 7 years observed) (plus 6 shorter cohorts, censored at the window’s edge).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in status (2025).</w:t>
      </w:r>
      <w:r>
        <w:t xml:space="preserve"> </w:t>
      </w:r>
      <w:r>
        <w:t xml:space="preserve">17.5% of current ELs are in their first year; 25.0% have 6+ years (long-term); entry is unknown for 0.0% (already EL when the panel opened, no entry field delivered).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Alternate-form ELP.</w:t>
      </w:r>
      <w:r>
        <w:t xml:space="preserve"> </w:t>
      </w:r>
      <w:r>
        <w:t xml:space="preserve">0.7% of current ELs in 2025 take the alternate form (reported as a group, never banded).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Decide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Which cohorts and subgroups are large and stable enough to analyze reliably?</w:t>
            </w:r>
            <w:r>
              <w:t xml:space="preserve"> </w:t>
            </w:r>
            <w:r>
              <w:t xml:space="preserve">Is there a clean K-start cohort for Data Check 1 (observed at entry, not pandemic-distorted, N well above the suppression floor)?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Which grades, districts, or subgroups are most likely to be affected by any eventual policy change</w:t>
            </w:r>
            <w:r>
              <w:t xml:space="preserve"> </w:t>
            </w:r>
            <w:r>
              <w:t xml:space="preserve">and warrant closer attention throughout?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Where would a single pooled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“all ELs together”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analysis obscure more than it reveals?</w:t>
            </w:r>
            <w:r>
              <w:t xml:space="preserve"> </w:t>
            </w:r>
            <w:r>
              <w:t xml:space="preserve">Most notably: newly arrived vs. long-term ELs, and the grades where the long-term share is concentrated.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Spec: SIM. Simulated data, contract 0.4.0. stateELP 0.0.0.9000, run 2026-10-09.</w:t>
      </w:r>
    </w:p>
    <w:p>
      <w:pPr>
        <w:pStyle w:val="BodyText"/>
      </w:pPr>
      <w:r>
        <w:rPr>
          <w:i/>
          <w:iCs/>
        </w:rPr>
        <w:t xml:space="preserve">These figures describe a synthetic fixture. No number here describes any real state.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66" Target="media/rId6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 Step 2 — Population analysis</dc:title>
  <dc:creator/>
  <cp:keywords/>
  <dcterms:created xsi:type="dcterms:W3CDTF">2026-10-09T16:35:51Z</dcterms:created>
  <dcterms:modified xsi:type="dcterms:W3CDTF">2026-10-09T16:35:51Z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ubtitle">
    <vt:lpwstr>Evaluating and Setting English Learner Exit Thresholds</vt:lpwstr>
  </property>
  <property fmtid="{D5CDD505-2E9C-101B-9397-08002B2CF9AE}" pid="10" name="toc-title">
    <vt:lpwstr>Table of contents</vt:lpwstr>
  </property>
</Properties>
</file>