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sz w:val="32"/>
          <w:szCs w:val="32"/>
        </w:rPr>
      </w:pPr>
      <w:r>
        <w:rPr>
          <w:b/>
          <w:bCs/>
          <w:sz w:val="32"/>
          <w:szCs w:val="32"/>
        </w:rPr>
        <w:t>Regional Integration as a Stumbling Block:</w:t>
      </w:r>
    </w:p>
    <w:p>
      <w:pPr>
        <w:pStyle w:val="Normal"/>
        <w:spacing w:before="0" w:after="80"/>
        <w:jc w:val="center"/>
        <w:rPr>
          <w:sz w:val="32"/>
          <w:szCs w:val="32"/>
        </w:rPr>
      </w:pPr>
      <w:r>
        <w:rPr>
          <w:b/>
          <w:bCs/>
          <w:sz w:val="32"/>
          <w:szCs w:val="32"/>
        </w:rPr>
        <w:t>Gravity Evidence from EU–ACP Trade</w:t>
      </w:r>
    </w:p>
    <w:p>
      <w:pPr>
        <w:pStyle w:val="Normal"/>
        <w:spacing w:before="0" w:after="120"/>
        <w:jc w:val="center"/>
        <w:rPr/>
      </w:pPr>
      <w:r>
        <w:rPr/>
      </w:r>
    </w:p>
    <w:p>
      <w:pPr>
        <w:pStyle w:val="Normal"/>
        <w:spacing w:before="0" w:after="60"/>
        <w:jc w:val="center"/>
        <w:rPr>
          <w:sz w:val="24"/>
          <w:szCs w:val="24"/>
        </w:rPr>
      </w:pPr>
      <w:r>
        <w:rPr>
          <w:sz w:val="24"/>
          <w:szCs w:val="24"/>
        </w:rPr>
        <w:t>Noah Damski</w:t>
      </w:r>
    </w:p>
    <w:p>
      <w:pPr>
        <w:pStyle w:val="Normal"/>
        <w:spacing w:before="0" w:after="60"/>
        <w:jc w:val="center"/>
        <w:rPr>
          <w:sz w:val="24"/>
          <w:szCs w:val="24"/>
        </w:rPr>
      </w:pPr>
      <w:r>
        <w:rPr>
          <w:sz w:val="24"/>
          <w:szCs w:val="24"/>
        </w:rPr>
        <w:t>University of Florida, INS4930</w:t>
      </w:r>
    </w:p>
    <w:p>
      <w:pPr>
        <w:pStyle w:val="Normal"/>
        <w:spacing w:before="0" w:after="240"/>
        <w:jc w:val="center"/>
        <w:rPr>
          <w:sz w:val="24"/>
          <w:szCs w:val="24"/>
        </w:rPr>
      </w:pPr>
      <w:r>
        <w:rPr>
          <w:sz w:val="24"/>
          <w:szCs w:val="24"/>
        </w:rPr>
        <w:t>April 2026</w:t>
      </w:r>
    </w:p>
    <w:p>
      <w:pPr>
        <w:pStyle w:val="Normal"/>
        <w:spacing w:before="480" w:after="160"/>
        <w:rPr>
          <w:sz w:val="28"/>
          <w:szCs w:val="28"/>
        </w:rPr>
      </w:pPr>
      <w:r>
        <w:rPr>
          <w:b/>
          <w:bCs/>
          <w:sz w:val="28"/>
          <w:szCs w:val="28"/>
        </w:rPr>
        <w:t>1. Introduction</w:t>
      </w:r>
    </w:p>
    <w:p>
      <w:pPr>
        <w:pStyle w:val="Normal"/>
        <w:spacing w:before="0" w:after="160"/>
        <w:ind w:firstLine="720"/>
        <w:rPr>
          <w:sz w:val="24"/>
          <w:szCs w:val="24"/>
        </w:rPr>
      </w:pPr>
      <w:r>
        <w:rPr>
          <w:sz w:val="24"/>
          <w:szCs w:val="24"/>
        </w:rPr>
        <w:t>Since the signing of the Cotonou Partnership Agreement in 2000, the European Union (EU) has simultaneously pursued deeper preferential trade ties with African, Caribbean, and Pacific (ACP) countries while encouraging those countries to strengthen their own regional economic communities. By 2021, Economic Partnership Agreements (EPAs) covering six of the seven ACP Regional Economic Communities (RECs) had been provisionally applied, at least in part, encompassing the majority of ACP countries and hundreds of billions of dollars in annual bilateral trade. During the same period, intra-REC trade shares rose across most ACP blocs as regional integration deepened through tariff liberalization, common external tariffs, and investment in corridor infrastructure. If growing intra-bloc trade displaces demand for European goods rather than expanding overall import demand, the EU's investment in EPA negotiations risks undermining its own trade objectives.</w:t>
      </w:r>
    </w:p>
    <w:p>
      <w:pPr>
        <w:pStyle w:val="Normal"/>
        <w:spacing w:before="0" w:after="160"/>
        <w:ind w:firstLine="720"/>
        <w:rPr>
          <w:sz w:val="24"/>
          <w:szCs w:val="24"/>
        </w:rPr>
      </w:pPr>
      <w:r>
        <w:rPr>
          <w:sz w:val="24"/>
          <w:szCs w:val="24"/>
        </w:rPr>
        <w:t>The academic literature on preferential trade agreements has long debated whether regional blocs serve as building blocks or stumbling blocks toward broader trade liberalization. Most empirical work on this question has examined North–North or North–South agreements, asking whether wealthier blocs undermine multilateral openness or whether agreements between wealthier and developing economies raise Southern exports. Whether South–South regional integration among developing-country blocs crowds out or complements a concurrent preferential relationship with a major Northern partner is a conceptually distinct question that has received limited systematic empirical attention.</w:t>
      </w:r>
    </w:p>
    <w:p>
      <w:pPr>
        <w:pStyle w:val="Normal"/>
        <w:spacing w:before="0" w:after="160"/>
        <w:ind w:firstLine="720"/>
        <w:rPr>
          <w:sz w:val="24"/>
          <w:szCs w:val="24"/>
        </w:rPr>
      </w:pPr>
      <w:r>
        <w:rPr>
          <w:sz w:val="24"/>
          <w:szCs w:val="24"/>
        </w:rPr>
        <w:t>This paper investigates whether intra-regional integration acts as a stumbling block to EU–ACP trade. The pooled association between intra-REC trade orientation and bilateral EU–ACP flows is negative but too imprecise to anchor the analysis on its own, so the analysis is disaggregated to identify more robust patterns. Two clear findings emerge alongside one null result. First, separately assessing bilateral flows by direction reveals that the stumbling-block effect is concentrated entirely in EU exports to ACP markets (β = −0.699, p &lt; 0.01), with no corresponding effect on ACP exports to the EU. The second finding is that the stumbling-block effect holds across all seven RECs, although only five RECs result in statistically significant coefficients for interpretation.</w:t>
      </w:r>
    </w:p>
    <w:p>
      <w:pPr>
        <w:pStyle w:val="Normal"/>
        <w:spacing w:before="0" w:after="160"/>
        <w:ind w:firstLine="720"/>
        <w:rPr>
          <w:sz w:val="24"/>
          <w:szCs w:val="24"/>
        </w:rPr>
      </w:pPr>
      <w:r>
        <w:rPr>
          <w:sz w:val="24"/>
          <w:szCs w:val="24"/>
        </w:rPr>
        <w:t>Together, these results suggest import substitution as the primary mechanism for the change in EU-ACP trade. As regional sourcing becomes cheaper, regionally produced goods displace EU imports in ACP domestic markets, while ACP exports to Europe remain unaffected. The third question investigates whether EU-ACP EPAs detectably moderate this relationship in either direction. This is found to have a null impact. I avoid reliance on an inconclusive pooled result and instead identify the specific direction and mechanism through which intra-ACP integration reduces EU–ACP trade. It is EU exports to ACP markets that fall as regional sourcing deepens, not ACP exports to Europe. EPA coverage neither offsets nor amplifies this relationship.</w:t>
      </w:r>
    </w:p>
    <w:p>
      <w:pPr>
        <w:pStyle w:val="Normal"/>
        <w:spacing w:before="0" w:after="160"/>
        <w:ind w:firstLine="720"/>
        <w:rPr>
          <w:sz w:val="24"/>
          <w:szCs w:val="24"/>
        </w:rPr>
      </w:pPr>
      <w:r>
        <w:rPr>
          <w:sz w:val="24"/>
          <w:szCs w:val="24"/>
        </w:rPr>
        <w:t>Section 2 provides institutional background, Section 3 reviews the literature, Section 4 describes the data and methodological strategy, and Sections 5 and 6 present results and conclusions.</w:t>
      </w:r>
    </w:p>
    <w:p>
      <w:pPr>
        <w:pStyle w:val="Normal"/>
        <w:spacing w:before="480" w:after="160"/>
        <w:rPr>
          <w:sz w:val="28"/>
          <w:szCs w:val="28"/>
        </w:rPr>
      </w:pPr>
      <w:r>
        <w:rPr>
          <w:b/>
          <w:bCs/>
          <w:sz w:val="28"/>
          <w:szCs w:val="28"/>
        </w:rPr>
        <w:t>2. Institutional Background</w:t>
      </w:r>
    </w:p>
    <w:p>
      <w:pPr>
        <w:pStyle w:val="Normal"/>
        <w:spacing w:before="280" w:after="80"/>
        <w:rPr>
          <w:sz w:val="24"/>
          <w:szCs w:val="24"/>
        </w:rPr>
      </w:pPr>
      <w:r>
        <w:rPr>
          <w:b/>
          <w:bCs/>
          <w:i/>
          <w:iCs/>
          <w:sz w:val="24"/>
          <w:szCs w:val="24"/>
        </w:rPr>
        <w:t>The Cotonou Partnership Agreement</w:t>
      </w:r>
    </w:p>
    <w:p>
      <w:pPr>
        <w:pStyle w:val="Normal"/>
        <w:spacing w:before="0" w:after="160"/>
        <w:ind w:firstLine="720"/>
        <w:rPr>
          <w:sz w:val="24"/>
          <w:szCs w:val="24"/>
        </w:rPr>
      </w:pPr>
      <w:r>
        <w:rPr>
          <w:sz w:val="24"/>
          <w:szCs w:val="24"/>
        </w:rPr>
        <w:t>The Cotonou Partnership Agreement, signed in June 2000 and entering into force in 2003, superseded the Lomé Conventions that had governed EU–ACP relations since 1975. Under Lomé, ACP countries received non-reciprocal preferential access to European markets, an arrangement the WTO eventually ruled incompatible with its non-discrimination obligations. Cotonou's central innovation was to replace these one-sided preferences with Economic Partnership Agreements: reciprocal free trade arrangements negotiated between the EU and ACP regional groupings rather than individual countries.</w:t>
      </w:r>
    </w:p>
    <w:p>
      <w:pPr>
        <w:pStyle w:val="Normal"/>
        <w:spacing w:before="0" w:after="160"/>
        <w:ind w:firstLine="720"/>
        <w:rPr>
          <w:sz w:val="24"/>
          <w:szCs w:val="24"/>
        </w:rPr>
      </w:pPr>
      <w:r>
        <w:rPr>
          <w:sz w:val="24"/>
          <w:szCs w:val="24"/>
        </w:rPr>
        <w:t>Negotiating at the REC level was a deliberate choice. By requiring ACP blocs to present a unified front, the EU tied the terms of market access directly to the depth of each region's internal cohesion, making the relationship between intra-REC integration and EU–ACP trade a matter of institutional design rather than incidental correlation. The variation in IT share across blocs is, in part, a product of how seriously each bloc took its EPA obligations, a variation this paper uses to identify the stumbling-block effect. The reciprocity requirement imposed an asymmetric burden, however. ACP countries were now required to gradually open their own markets to EU goods, something they had never had to do under Lomé. This burden fell unevenly across blocs: those whose domestic policies already aligned closely with EU standards faced a smoother adjustment than those starting further away, introducing a structural source of heterogeneity that the REC-level analysis in Section 5.4 directly exploits.</w:t>
      </w:r>
    </w:p>
    <w:p>
      <w:pPr>
        <w:pStyle w:val="Normal"/>
        <w:spacing w:before="280" w:after="80"/>
        <w:rPr>
          <w:sz w:val="24"/>
          <w:szCs w:val="24"/>
        </w:rPr>
      </w:pPr>
      <w:r>
        <w:rPr>
          <w:b/>
          <w:bCs/>
          <w:i/>
          <w:iCs/>
          <w:sz w:val="24"/>
          <w:szCs w:val="24"/>
        </w:rPr>
        <w:t>ACP Regional Groupings</w:t>
      </w:r>
    </w:p>
    <w:p>
      <w:pPr>
        <w:pStyle w:val="Normal"/>
        <w:spacing w:before="0" w:after="160"/>
        <w:ind w:firstLine="720"/>
        <w:rPr>
          <w:sz w:val="24"/>
          <w:szCs w:val="24"/>
        </w:rPr>
      </w:pPr>
      <w:r>
        <w:rPr>
          <w:sz w:val="24"/>
          <w:szCs w:val="24"/>
        </w:rPr>
        <w:t xml:space="preserve">The ACP group is organized into seven Regional Economic Communities (RECs), each with distinct characteristics. I consider blocs only as they are involved in EU-ACP EPA negotiations, rather than considering the multi-varied blocs some of these ACP countries are members of.  Five of the seven RECs are African. </w:t>
      </w:r>
    </w:p>
    <w:p>
      <w:pPr>
        <w:pStyle w:val="Normal"/>
        <w:spacing w:before="0" w:after="160"/>
        <w:ind w:firstLine="720"/>
        <w:rPr>
          <w:sz w:val="24"/>
          <w:szCs w:val="24"/>
        </w:rPr>
      </w:pPr>
      <w:r>
        <w:rPr>
          <w:sz w:val="24"/>
          <w:szCs w:val="24"/>
        </w:rPr>
        <w:t>The ECOWAS EPA group covers fifteen West African members, plus Mauritania for 1995–2000, before its withdrawal from the Community. The SADC grouping in the sample comprises eight countries. Six are EPA signatories: the five Southern African Customs Union (SACU) members — Botswana, Eswatini, Lesotho, Namibia, and South Africa — and Mozambique. Angola and the Democratic Republic of the Congo are SADC members that never signed the agreement; they are retained in the bloc for the purpose of measuring intra-regional trade and are coded as non-EPA throughout, which supplies never-treated variation within the SADC subsample. The EAC EPA group also operates as a customs union among five East African members. The Eastern and Southern Africa EPA group (ESA) covers twelve countries drawn primarily from COMESA membership. The Central Africa group comprises seven countries. Six are members of the Central African Economic and Monetary Community (CEMAC), and the seventh is São Tomé and Príncipe.</w:t>
      </w:r>
    </w:p>
    <w:p>
      <w:pPr>
        <w:pStyle w:val="Normal"/>
        <w:bidi w:val="0"/>
        <w:spacing w:before="0" w:after="160"/>
        <w:ind w:firstLine="720"/>
        <w:rPr>
          <w:sz w:val="24"/>
          <w:szCs w:val="24"/>
        </w:rPr>
      </w:pPr>
      <w:r>
        <w:rPr>
          <w:sz w:val="24"/>
          <w:szCs w:val="24"/>
        </w:rPr>
        <w:t xml:space="preserve">Outside Africa, Caribbean ACP countries are organized under CARIFORUM, comprising CARICOM members plus the Dominican Republic. CARIFORUM is the most institutionally advanced REC in the sample and the only one to have signed a full-scope agreement with the EU. Pacific ACP countries participate through the Pacific Islands Forum (PIF), fifteen states in the sample once Timor-Leste is added from its Cotonou accession in 2003. PIF members span a vast stretch of the Pacific Ocean, and bilateral trade among them is correspondingly sparse: nearly a quarter of Pacific dyad-years record no EU trade at all, the highest share of any bloc. </w:t>
      </w:r>
    </w:p>
    <w:p>
      <w:pPr>
        <w:pStyle w:val="Normal"/>
        <w:spacing w:before="280" w:after="80"/>
        <w:rPr>
          <w:sz w:val="24"/>
          <w:szCs w:val="24"/>
        </w:rPr>
      </w:pPr>
      <w:r>
        <w:rPr>
          <w:b/>
          <w:bCs/>
          <w:i/>
          <w:iCs/>
          <w:sz w:val="24"/>
          <w:szCs w:val="24"/>
        </w:rPr>
        <w:t>EPA Implementation Timeline</w:t>
      </w:r>
    </w:p>
    <w:p>
      <w:pPr>
        <w:pStyle w:val="Normal"/>
        <w:spacing w:before="0" w:after="160"/>
        <w:ind w:firstLine="720"/>
        <w:rPr>
          <w:sz w:val="24"/>
          <w:szCs w:val="24"/>
        </w:rPr>
      </w:pPr>
      <w:r>
        <w:rPr>
          <w:sz w:val="24"/>
          <w:szCs w:val="24"/>
        </w:rPr>
        <w:t>EPA negotiations began formally in 2002, with an original deadline of December 2007 that most regions failed to meet. What emerged instead was a staggered rollout of provisional applications. The timing and scope vary enough across and within blocs to support the identification strategy used in Section 5.</w:t>
      </w:r>
    </w:p>
    <w:p>
      <w:pPr>
        <w:pStyle w:val="Normal"/>
        <w:spacing w:before="0" w:after="160"/>
        <w:ind w:firstLine="720"/>
        <w:rPr>
          <w:sz w:val="24"/>
          <w:szCs w:val="24"/>
        </w:rPr>
      </w:pPr>
      <w:r>
        <w:rPr>
          <w:sz w:val="24"/>
          <w:szCs w:val="24"/>
        </w:rPr>
        <w:t>CARIFORUM concluded the first EPA, provisionally applied from December 2008, and remains the only bloc to have secured a full-scope agreement covering services and investment alongside goods. Fourteen of its fifteen members are covered. Haiti signed in December 2009 but has never applied the agreement pending domestic ratification, continuing to trade with the EU under Everything But Arms, and is coded as non-EPA throughout. On the opposite end of the spectrum, the EAC signed its EPA in September 2016 but has never put it into effect, leaving all five members counted as non-EPA countries throughout the sample period. This serves as a control group for EPA trade effects within-Africa. Of the twelve ESA countries, four provisionally applied their bloc’s agreement in May 2012, with Comoros added in February 2019. Within the Central Africa group, only Cameroon applied its agreement, in August 2014. Of the fifteen ECOWAS members, only Côte d'Ivoire and Ghana provisionally applied their rudimentary EPAs, in 2016. Papua New Guinea and Fiji alone hold Pacific EPAs, in force since December 2009 and July 2014.</w:t>
      </w:r>
    </w:p>
    <w:p>
      <w:pPr>
        <w:pStyle w:val="Normal"/>
        <w:spacing w:before="0" w:after="160"/>
        <w:ind w:firstLine="720"/>
        <w:rPr/>
      </w:pPr>
      <w:r>
        <w:rPr>
          <w:sz w:val="24"/>
          <w:szCs w:val="24"/>
        </w:rPr>
        <w:t xml:space="preserve">By 2021, EPA coverage spanned </w:t>
      </w:r>
      <w:r>
        <w:rPr>
          <w:sz w:val="24"/>
          <w:szCs w:val="24"/>
        </w:rPr>
        <w:t xml:space="preserve">fourteen </w:t>
      </w:r>
      <w:r>
        <w:rPr>
          <w:sz w:val="24"/>
          <w:szCs w:val="24"/>
        </w:rPr>
        <w:t xml:space="preserve">CARIFORUM members, </w:t>
      </w:r>
      <w:r>
        <w:rPr>
          <w:sz w:val="24"/>
          <w:szCs w:val="24"/>
        </w:rPr>
        <w:t xml:space="preserve">the </w:t>
      </w:r>
      <w:r>
        <w:rPr>
          <w:sz w:val="24"/>
          <w:szCs w:val="24"/>
        </w:rPr>
        <w:t>six countries considered for the SADC EPA bloc, four ESA signatories plus Comoros, Cameroon, Côte d'Ivoire, Ghana, Papua New Guinea, and Fiji. No EAC member carried active EPA status. This application among eligible states — varying both across and within blocs — supports the correlation of both the EPA effect and, whether EPA coverage moderates the stumbling-block relationship hypothesis from EPA coverage. This is evident in the interaction model in Section 5.3.</w:t>
      </w:r>
    </w:p>
    <w:p>
      <w:pPr>
        <w:pStyle w:val="Normal"/>
        <w:spacing w:before="480" w:after="160"/>
        <w:rPr>
          <w:sz w:val="28"/>
          <w:szCs w:val="28"/>
        </w:rPr>
      </w:pPr>
      <w:r>
        <w:rPr>
          <w:b/>
          <w:bCs/>
          <w:sz w:val="28"/>
          <w:szCs w:val="28"/>
        </w:rPr>
        <w:t>3. Literature Review</w:t>
      </w:r>
    </w:p>
    <w:p>
      <w:pPr>
        <w:pStyle w:val="Normal"/>
        <w:spacing w:before="280" w:after="80"/>
        <w:ind w:firstLine="720"/>
        <w:rPr>
          <w:sz w:val="24"/>
          <w:szCs w:val="24"/>
        </w:rPr>
      </w:pPr>
      <w:r>
        <w:rPr>
          <w:sz w:val="24"/>
          <w:szCs w:val="24"/>
        </w:rPr>
        <w:t>This paper draws on three bodies of literature: the debate over whether preferential trade agreements function as building blocks or stumbling blocks toward broader liberalization, the gravity-based evidence on ACP trade specifically, and the empirical record on EPA implementation. Anderson and van Wincoop (2003) provide the theoretical basis for the gravity model. Santos Silva and Tenreyro (2006) demonstrate why PPML is preferred when trade data contain zeros and heteroskedasticity. Head and Mayer (2014) and Baier, Bergstrand, and Feng (2014) address fixed-effects identification and the endogeneity of trade agreements. Those details are taken up in Section 4, where the estimating equation makes their relevance most concrete.</w:t>
      </w:r>
    </w:p>
    <w:p>
      <w:pPr>
        <w:pStyle w:val="Normal"/>
        <w:spacing w:before="280" w:after="80"/>
        <w:rPr>
          <w:sz w:val="24"/>
          <w:szCs w:val="24"/>
        </w:rPr>
      </w:pPr>
      <w:r>
        <w:rPr>
          <w:b/>
          <w:bCs/>
          <w:i/>
          <w:iCs/>
          <w:sz w:val="24"/>
          <w:szCs w:val="24"/>
        </w:rPr>
        <w:t>Building Blocks or Stumbling Blocks?</w:t>
      </w:r>
    </w:p>
    <w:p>
      <w:pPr>
        <w:pStyle w:val="Normal"/>
        <w:spacing w:before="0" w:after="160"/>
        <w:ind w:firstLine="720"/>
        <w:rPr>
          <w:sz w:val="24"/>
          <w:szCs w:val="24"/>
        </w:rPr>
      </w:pPr>
      <w:r>
        <w:rPr>
          <w:sz w:val="24"/>
          <w:szCs w:val="24"/>
        </w:rPr>
        <w:t>The central question is whether preferential trade agreements function as building blocks toward broader liberalization or stumbling blocks against it. The tension was stated most sharply by Bhagwati (1993), whose formulation set the terms of a debate that persists today. In the building-block view, regional integration reduces transaction costs, aligns regulatory environments, and creates larger, more coherent markets that raise total trade with all partners, including outsiders. Freund and Ornelas (2010) offer the most comprehensive review of the theoretical and empirical literature and reach a cautious endorsement for regional integration efforts. EPAs tend to be building blocks, neither systematically erecting new barriers to non-members nor derailing multilateral progress. Baier and Bergstrand (2007) strengthened this reading empirically, showing that FTAs approximately double members’ bilateral trade over time once endogeneity is properly addressed. More recently, Baier, Yotov, and Zylkin (2019) found that this aggregate picture conceals significant heterogeneity, as deep agreements generate substantially larger gains than shallow ones.</w:t>
      </w:r>
    </w:p>
    <w:p>
      <w:pPr>
        <w:pStyle w:val="Normal"/>
        <w:spacing w:before="0" w:after="160"/>
        <w:ind w:firstLine="720"/>
        <w:rPr>
          <w:sz w:val="24"/>
          <w:szCs w:val="24"/>
        </w:rPr>
      </w:pPr>
      <w:r>
        <w:rPr>
          <w:sz w:val="24"/>
          <w:szCs w:val="24"/>
        </w:rPr>
        <w:t>Rule-based institutions more broadly have faced scrutiny on similar grounds. Rose (2004) found that formal WTO membership had no detectable effect on bilateral trade, casting doubt on the trade-creating credentials of rule-based institutions. More pointedly, Frankel, Stein, and Wei (1995) demonstrated that South–South trading blocs are structurally more prone to trade diversion than their North–North counterparts. Agreements between developed economies integrate partners with modest efficiency gaps and substantial productive complementarity, so trade reorientation toward bloc partners tends to expand rather than displace efficient sourcing. South–South arrangements integrate economies at comparable and often limited development levels, so that trade is more likely to be diverted from Northern partners to preferential Southern partners that are rarely more efficient than global alternatives.</w:t>
      </w:r>
    </w:p>
    <w:p>
      <w:pPr>
        <w:pStyle w:val="Normal"/>
        <w:spacing w:before="280" w:after="80"/>
        <w:rPr>
          <w:sz w:val="24"/>
          <w:szCs w:val="24"/>
        </w:rPr>
      </w:pPr>
      <w:r>
        <w:rPr>
          <w:b/>
          <w:bCs/>
          <w:i/>
          <w:iCs/>
          <w:sz w:val="24"/>
          <w:szCs w:val="24"/>
        </w:rPr>
        <w:t>ACP-Specific Evidence</w:t>
      </w:r>
    </w:p>
    <w:p>
      <w:pPr>
        <w:pStyle w:val="Normal"/>
        <w:spacing w:before="0" w:after="160"/>
        <w:ind w:firstLine="720"/>
        <w:rPr>
          <w:sz w:val="24"/>
          <w:szCs w:val="24"/>
        </w:rPr>
      </w:pPr>
      <w:r>
        <w:rPr>
          <w:sz w:val="24"/>
          <w:szCs w:val="24"/>
        </w:rPr>
        <w:t>The gravity literature on ACP trade is fragmented, mirroring the institutional diversity of the grouping itself. Carrère (2004) found positive intra-bloc effects from African regional agreements alongside significant diversion from extra-African partners, consistent with a stumbling-block reading at the continental level and with the import substitution channel examined in Section 5.</w:t>
      </w:r>
    </w:p>
    <w:p>
      <w:pPr>
        <w:pStyle w:val="Normal"/>
        <w:spacing w:before="0" w:after="160"/>
        <w:ind w:firstLine="720"/>
        <w:rPr>
          <w:sz w:val="24"/>
          <w:szCs w:val="24"/>
        </w:rPr>
      </w:pPr>
      <w:r>
        <w:rPr>
          <w:sz w:val="24"/>
          <w:szCs w:val="24"/>
        </w:rPr>
        <w:t>Standaert (2015) documented the enormous institutional heterogeneity across African RECs and cautioned against treating aggregate estimates as informative about any particular bloc, a warning the REC-level subsample analysis in Section 5.4 takes seriously. Jones and Mond (2021) examine individual ACP agreements in isolation, and Nguyen (2019) tests for aggregate diversion without separating the North–South and South–South channels. Neither asks how the depth of South–South integration reshapes the terms of a concurrent preferential relationship with a major Northern partner.</w:t>
      </w:r>
    </w:p>
    <w:p>
      <w:pPr>
        <w:pStyle w:val="Normal"/>
        <w:spacing w:before="0" w:after="160"/>
        <w:ind w:firstLine="720"/>
        <w:rPr>
          <w:sz w:val="24"/>
          <w:szCs w:val="24"/>
        </w:rPr>
      </w:pPr>
      <w:r>
        <w:rPr>
          <w:sz w:val="24"/>
          <w:szCs w:val="24"/>
        </w:rPr>
        <w:t>The EPA-specific evidence adds a further layer of complexity. Rodrik (2018) argues that modern EPAs reach into regulatory harmonization and domestic policy commitments that developing-country institutions are ill-equipped to deliver. This mismatch, combined with the reciprocity requirement under Cotonou, raises questions about whether EPAs generate the trade gains their design assumes. Stender et al. (2021) confirm this skepticism empirically, finding no general increase in total EU–ACP trade following EPA implementation. That finding anticipates the null moderation result in Section 5.</w:t>
      </w:r>
    </w:p>
    <w:p>
      <w:pPr>
        <w:pStyle w:val="Normal"/>
        <w:spacing w:before="280" w:after="80"/>
        <w:rPr>
          <w:sz w:val="24"/>
          <w:szCs w:val="24"/>
        </w:rPr>
      </w:pPr>
      <w:r>
        <w:rPr>
          <w:b/>
          <w:bCs/>
          <w:i/>
          <w:iCs/>
          <w:sz w:val="24"/>
          <w:szCs w:val="24"/>
        </w:rPr>
        <w:t>The Scholarship Gap</w:t>
      </w:r>
    </w:p>
    <w:p>
      <w:pPr>
        <w:pStyle w:val="Normal"/>
        <w:spacing w:before="0" w:after="160"/>
        <w:ind w:firstLine="720"/>
        <w:rPr>
          <w:sz w:val="24"/>
          <w:szCs w:val="24"/>
        </w:rPr>
      </w:pPr>
      <w:r>
        <w:rPr>
          <w:sz w:val="24"/>
          <w:szCs w:val="24"/>
        </w:rPr>
        <w:t>Each of these bodies of literature treats one dimension of the problem in isolation. Building-block studies focus on members' own trade, treating outsiders as secondary. ACP gravity work considers the North–South and South–South channels separately. EPA studies assess preferential access without accounting for how far regional integration has already advanced. None ask what happens at their intersection: how the depth of South–South integration shapes the terms of a concurrent North–South preferential relationship. This paper closes that gap using a PPML gravity framework suited to the zero-heavy bilateral flows that characterize EU–ACP trade.</w:t>
      </w:r>
    </w:p>
    <w:p>
      <w:pPr>
        <w:pStyle w:val="Normal"/>
        <w:spacing w:before="480" w:after="160"/>
        <w:rPr>
          <w:sz w:val="28"/>
          <w:szCs w:val="28"/>
        </w:rPr>
      </w:pPr>
      <w:r>
        <w:rPr>
          <w:b/>
          <w:bCs/>
          <w:sz w:val="28"/>
          <w:szCs w:val="28"/>
        </w:rPr>
        <w:t>4. Data and Methodology</w:t>
      </w:r>
    </w:p>
    <w:p>
      <w:pPr>
        <w:pStyle w:val="Normal"/>
        <w:spacing w:before="280" w:after="80"/>
        <w:rPr>
          <w:sz w:val="24"/>
          <w:szCs w:val="24"/>
        </w:rPr>
      </w:pPr>
      <w:r>
        <w:rPr>
          <w:b/>
          <w:bCs/>
          <w:i/>
          <w:iCs/>
          <w:sz w:val="24"/>
          <w:szCs w:val="24"/>
        </w:rPr>
        <w:t>Data Sources and Panel Construction</w:t>
      </w:r>
    </w:p>
    <w:p>
      <w:pPr>
        <w:pStyle w:val="Normal"/>
        <w:spacing w:before="0" w:after="160"/>
        <w:ind w:firstLine="720"/>
        <w:rPr>
          <w:sz w:val="24"/>
          <w:szCs w:val="24"/>
        </w:rPr>
      </w:pPr>
      <w:r>
        <w:rPr>
          <w:sz w:val="24"/>
          <w:szCs w:val="24"/>
        </w:rPr>
        <w:t>The analysis uses a bilateral trade panel covering 1995–2021, with 78 ACP countries paired against EU-27 member states plus the United Kingdom; exports and imports enter as separate directional flows. Pre-accession bilateral flows for enlargement cohorts are included throughout the sample; level shifts around accession dates are absorbed by the exporter-year fixed effects.</w:t>
      </w:r>
    </w:p>
    <w:p>
      <w:pPr>
        <w:pStyle w:val="Normal"/>
        <w:spacing w:before="0" w:after="160"/>
        <w:ind w:firstLine="720"/>
        <w:rPr>
          <w:sz w:val="24"/>
          <w:szCs w:val="24"/>
        </w:rPr>
      </w:pPr>
      <w:r>
        <w:rPr>
          <w:sz w:val="24"/>
          <w:szCs w:val="24"/>
        </w:rPr>
        <w:t>Bilateral trade flow data come from the BACI database (CEPII, HS92 V202601). BACI reconciles differences between what exporters report sending and what importers report receiving, producing a single harmonized trade value for each country pair and year. Distance, common official language, and colonial history come from the CEPII Gravity dataset (V202211). GDP and population come from the World Bank's World Development Indicators; Cook Islands and Niue, absent from the standard WDI country set, are patched from Pacific Community (SPC) statistical publications. EPA status is coded from the year of provisional application, verified against the provisional application notices published in the Official Journal of the European Union, accessed via EUR-Lex. The United Kingdom is included as an EU partner through 2020, its last year under the EU's common commercial policy, and excluded thereafter. After these adjustments, the final estimation sample contains approximately 47,600 observations.</w:t>
      </w:r>
    </w:p>
    <w:p>
      <w:pPr>
        <w:pStyle w:val="Normal"/>
        <w:spacing w:before="280" w:after="80"/>
        <w:rPr>
          <w:sz w:val="24"/>
          <w:szCs w:val="24"/>
        </w:rPr>
      </w:pPr>
      <w:r>
        <w:rPr>
          <w:b/>
          <w:bCs/>
          <w:i/>
          <w:iCs/>
          <w:sz w:val="24"/>
          <w:szCs w:val="24"/>
        </w:rPr>
        <w:t>Key Variables</w:t>
      </w:r>
    </w:p>
    <w:p>
      <w:pPr>
        <w:pStyle w:val="Normal"/>
        <w:spacing w:before="0" w:after="160"/>
        <w:ind w:firstLine="720"/>
        <w:rPr>
          <w:sz w:val="24"/>
          <w:szCs w:val="24"/>
        </w:rPr>
      </w:pPr>
      <w:r>
        <w:rPr>
          <w:sz w:val="24"/>
          <w:szCs w:val="24"/>
        </w:rPr>
        <w:t>The central explanatory variable is the intra-REC trade share, referred to throughout as the IT share. For each ACP country in each year, it measures the fraction of that country's total merchandise trade — exports plus imports combined — that flows to and from other members of the same Regional Economic Community. A country with an IT share of 0.20 conducts 20 percent of all its trade within its own bloc. Within-country changes in that share, observed simultaneously across all EU trading partners, identify the coefficient of interest.</w:t>
      </w:r>
    </w:p>
    <w:p>
      <w:pPr>
        <w:pStyle w:val="Normal"/>
        <w:spacing w:before="0" w:after="160"/>
        <w:ind w:firstLine="720"/>
        <w:rPr>
          <w:sz w:val="24"/>
          <w:szCs w:val="24"/>
        </w:rPr>
      </w:pPr>
      <w:r>
        <w:rPr>
          <w:sz w:val="24"/>
          <w:szCs w:val="24"/>
        </w:rPr>
        <w:t>The EPA indicator takes the value one from the year an Economic Partnership Agreement is provisionally applied, and zero otherwise. Countries that signed but never put their EPA into effect, including all five EAC members, are treated as non-EPA throughout.</w:t>
      </w:r>
    </w:p>
    <w:p>
      <w:pPr>
        <w:pStyle w:val="Normal"/>
        <w:spacing w:before="0" w:after="160"/>
        <w:ind w:firstLine="720"/>
        <w:rPr>
          <w:sz w:val="24"/>
          <w:szCs w:val="24"/>
        </w:rPr>
      </w:pPr>
      <w:r>
        <w:rPr>
          <w:sz w:val="24"/>
          <w:szCs w:val="24"/>
        </w:rPr>
        <w:t>Two additional integration measures are constructed to support robustness. The first, IT intensity, scales the raw IT share by the REC's share of global merchandise trade. A raw IT share of 15 percent means something different if the REC accounts for a large share of world trade than if the whole bloc is marginal globally. IT intensity adjusts for this by dividing the IT share by the REC's share of global merchandise trade. The second robustness measure reconstructs the IT share denominator using only non-EU trade partners, excluding EU bilateral flows entirely. This ensures that the integration measure cannot move mechanically with changes in EU bilateral trade, a potential endogeneity concern discussed in the Limitations subsection below.</w:t>
      </w:r>
    </w:p>
    <w:p>
      <w:pPr>
        <w:pStyle w:val="Normal"/>
        <w:spacing w:before="280" w:after="80"/>
        <w:rPr>
          <w:sz w:val="24"/>
          <w:szCs w:val="24"/>
        </w:rPr>
      </w:pPr>
      <w:r>
        <w:rPr>
          <w:b/>
          <w:bCs/>
          <w:i/>
          <w:iCs/>
          <w:sz w:val="24"/>
          <w:szCs w:val="24"/>
        </w:rPr>
        <w:t>Gravity Strategy</w:t>
      </w:r>
    </w:p>
    <w:p>
      <w:pPr>
        <w:pStyle w:val="Normal"/>
        <w:spacing w:before="0" w:after="160"/>
        <w:ind w:firstLine="720"/>
        <w:rPr>
          <w:sz w:val="24"/>
          <w:szCs w:val="24"/>
        </w:rPr>
      </w:pPr>
      <w:r>
        <w:rPr>
          <w:sz w:val="24"/>
          <w:szCs w:val="24"/>
        </w:rPr>
        <w:t>I utilize a structural gravity model, an approach that originates with Tinbergen (1962) and was formalized theoretically by Anderson and van Wincoop (2003). The baseline estimating equation is:</w:t>
      </w:r>
    </w:p>
    <w:p>
      <w:pPr>
        <w:pStyle w:val="Normal"/>
        <w:spacing w:before="80" w:after="80"/>
        <w:ind w:start="720"/>
        <w:rPr>
          <w:sz w:val="24"/>
          <w:szCs w:val="24"/>
        </w:rPr>
      </w:pPr>
      <w:r>
        <w:rPr>
          <w:i/>
          <w:iCs/>
          <w:sz w:val="24"/>
          <w:szCs w:val="24"/>
        </w:rPr>
        <w:t>Xᵢⱼₜ = exp(β₁ ln(dᵢⱼ) + β₂ Langᵢⱼ + β₃ Colonyᵢⱼ + β ITshareᵢ,ₜ + γ EPAᵢ,ₜ + μⱼₜ + ηᵢ + λₜ) · εᵢⱼₜ</w:t>
      </w:r>
    </w:p>
    <w:p>
      <w:pPr>
        <w:pStyle w:val="Normal"/>
        <w:spacing w:before="0" w:after="160"/>
        <w:ind w:firstLine="720"/>
        <w:rPr>
          <w:sz w:val="24"/>
          <w:szCs w:val="24"/>
        </w:rPr>
      </w:pPr>
      <w:r>
        <w:rPr>
          <w:sz w:val="24"/>
          <w:szCs w:val="24"/>
        </w:rPr>
        <w:t>where Xᵢⱼₜ is the bilateral trade flow; dᵢⱼ is bilateral distance; Langᵢⱼ and Colonyᵢⱼ are indicators for a common official language and colonial tie; ITshareᵢ,ₜ is the intra-REC trade share of country i in year t; EPAᵢ,ₜ indicates that an EPA is in force; μⱼₜ are EU-importer × year fixed effects; ηᵢ are ACP-country fixed effects; and λₜ are year fixed effects. Standard errors are clustered at the pair level throughout. All models are estimated using the fixest package in R (Bergé, 2018). The coefficient of interest, β, captures the association between regional integration depth and bilateral EU–ACP trade flows. A negative estimate supports the stumbling-block hypothesis.</w:t>
      </w:r>
    </w:p>
    <w:p>
      <w:pPr>
        <w:pStyle w:val="Normal"/>
        <w:spacing w:before="0" w:after="160"/>
        <w:ind w:firstLine="720"/>
        <w:rPr>
          <w:sz w:val="24"/>
          <w:szCs w:val="24"/>
        </w:rPr>
      </w:pPr>
      <w:r>
        <w:rPr>
          <w:sz w:val="24"/>
          <w:szCs w:val="24"/>
        </w:rPr>
        <w:t>The PPML estimator is used for two reasons. First, a meaningful share of country-pair observations record zero trade. PPML accommodates zeros naturally, while log-linear models must drop them or apply corrections that introduce their own problems. Second, trade data are inherently heteroskedastic. Santos Silva and Tenreyro (2006) showed that PPML provides consistent estimates under heteroskedasticity, whereas OLS applied to log-linearized trade does not. The IT share is constructed directly from observed trade flows rather than estimated from a prior regression, so no correction to standard errors for generated regressors is needed.</w:t>
      </w:r>
    </w:p>
    <w:p>
      <w:pPr>
        <w:pStyle w:val="Normal"/>
        <w:spacing w:before="0" w:after="160"/>
        <w:ind w:firstLine="720"/>
        <w:rPr>
          <w:sz w:val="24"/>
          <w:szCs w:val="24"/>
        </w:rPr>
      </w:pPr>
      <w:r>
        <w:rPr>
          <w:sz w:val="24"/>
          <w:szCs w:val="24"/>
        </w:rPr>
        <w:t>A natural choice would be ACP-country × year fixed effects, which would absorb all country-specific annual variation. This is not possible here because the IT share takes exactly one value per ACP country per year, and including those effects would eliminate the variation used to estimate the coefficient of interest. The specification instead uses separate ACP-country and year fixed effects. ACP-country effects absorb time-invariant characteristics such as geography and institutional history, while year effects absorb shocks common to all countries simultaneously, such as global recessions or commodity price cycles. Country-specific changes over time outside these dimensions remain only partially controlled for, a constraint discussed below.</w:t>
      </w:r>
    </w:p>
    <w:p>
      <w:pPr>
        <w:pStyle w:val="Normal"/>
        <w:spacing w:before="280" w:after="80"/>
        <w:rPr>
          <w:sz w:val="24"/>
          <w:szCs w:val="24"/>
        </w:rPr>
      </w:pPr>
      <w:r>
        <w:rPr>
          <w:b/>
          <w:bCs/>
          <w:i/>
          <w:iCs/>
          <w:sz w:val="24"/>
          <w:szCs w:val="24"/>
        </w:rPr>
        <w:t>Limitations</w:t>
      </w:r>
    </w:p>
    <w:p>
      <w:pPr>
        <w:pStyle w:val="Normal"/>
        <w:spacing w:before="0" w:after="160"/>
        <w:ind w:firstLine="720"/>
        <w:rPr>
          <w:sz w:val="24"/>
          <w:szCs w:val="24"/>
        </w:rPr>
      </w:pPr>
      <w:r>
        <w:rPr>
          <w:sz w:val="24"/>
          <w:szCs w:val="24"/>
        </w:rPr>
        <w:t>Two limitations constrain how far the results can be interpreted causally, each addressed to the extent the data allow. The primary concern is mechanical endogeneity. The IT share denominator is the ACP country's total merchandise trade, which includes bilateral trade with EU partners. If EU bilateral flows contracted simultaneously across all partners, the IT share would rise mechanically, not because regional integration had deepened, but simply because the denominator had shrunk. The primary design response, reported in column (4) of Table 5, reconstructs the denominator from non-EU trade partners only, ensuring the regressor cannot move with changes in EU bilateral flows.</w:t>
      </w:r>
    </w:p>
    <w:p>
      <w:pPr>
        <w:pStyle w:val="Normal"/>
        <w:spacing w:before="0" w:after="160"/>
        <w:ind w:firstLine="720"/>
        <w:rPr>
          <w:sz w:val="24"/>
          <w:szCs w:val="24"/>
        </w:rPr>
      </w:pPr>
      <w:r>
        <w:rPr>
          <w:sz w:val="24"/>
          <w:szCs w:val="24"/>
        </w:rPr>
        <w:t>The ex-EU specification returns −0.084 (s.e. 0.414), confirming that the stumbling-block sign does not originate from a denominator artifact. The attenuation is expected: excluding EU trade compresses the measured integration variable and reduces statistical power. One residual concern is that intra-REC flows appear in both numerator and denominator even in the ex-EU measure, so the mechanical contamination is reduced rather than fully eliminated. But a denominator artifact would have no reason to generate the asymmetric pattern the data show — EU exports fall while ACP exports are unaffected — and all seven REC subsamples return negative estimates independently. This is why the directional decomposition and the REC-level estimates carry the primary evidentiary weight. The direction of any remaining bias runs against the finding: an ACP economic boom that simultaneously raises the IT share and EU import demand would attenuate the negative coefficient, making the baseline estimates conservative.</w:t>
      </w:r>
    </w:p>
    <w:p>
      <w:pPr>
        <w:pStyle w:val="Normal"/>
        <w:spacing w:before="0" w:after="160"/>
        <w:ind w:firstLine="720"/>
        <w:rPr>
          <w:sz w:val="24"/>
          <w:szCs w:val="24"/>
        </w:rPr>
      </w:pPr>
      <w:r>
        <w:rPr>
          <w:sz w:val="24"/>
          <w:szCs w:val="24"/>
        </w:rPr>
        <w:t>The second limitation concerns the five SACU members of the SADC group. Because SACU operates as a single customs territory, its members do not consistently report bilateral flows with one another separately in the way most countries do, leaving 25 of 216 SADC country-year observations (11.6 percent) without a directly constructed IT share. These values are imputed from the annual mean of the non-SACU SADC members. Column (8) of Table 6 re-estimates the baseline dropping only those imputed observations and holding the rest of the sample fixed; this is the direct test of whether the imputation drives the result. Column (7) drops all five SACU members entirely and returns −1.460 (p &lt; 0.01), but this is a test of sample sensitivity to SACU rather than of the imputation, since it also removes South Africa and the four highest intra-regional trade shares in the panel. Because SACU members make up most of the SADC group in the sample, column (7) does speak to the reliability of the SADC subsample estimate in Table 4.</w:t>
      </w:r>
    </w:p>
    <w:p>
      <w:pPr>
        <w:pStyle w:val="Normal"/>
        <w:spacing w:before="0" w:after="160"/>
        <w:ind w:firstLine="720"/>
        <w:rPr>
          <w:sz w:val="24"/>
          <w:szCs w:val="24"/>
        </w:rPr>
      </w:pPr>
      <w:r>
        <w:rPr>
          <w:sz w:val="24"/>
          <w:szCs w:val="24"/>
        </w:rPr>
        <w:t>One further constraint deserves mention. The identification structure that prevents ACP-country × year fixed effects also means country-specific income growth is not directly controlled for. ACP-country fixed effects absorb each country's average income level and year fixed effects absorb trends common to all countries, but a country growing unusually fast while deepening regional integration would confound the estimate. This cannot be fully resolved within the current design. The conclusion returns to this point.</w:t>
      </w:r>
    </w:p>
    <w:p>
      <w:pPr>
        <w:pStyle w:val="Normal"/>
        <w:spacing w:before="480" w:after="160"/>
        <w:rPr>
          <w:sz w:val="28"/>
          <w:szCs w:val="28"/>
        </w:rPr>
      </w:pPr>
      <w:r>
        <w:rPr>
          <w:b/>
          <w:bCs/>
          <w:sz w:val="28"/>
          <w:szCs w:val="28"/>
        </w:rPr>
        <w:t>5. Results</w:t>
      </w:r>
    </w:p>
    <w:p>
      <w:pPr>
        <w:pStyle w:val="Normal"/>
        <w:spacing w:before="280" w:after="80"/>
        <w:rPr>
          <w:sz w:val="24"/>
          <w:szCs w:val="24"/>
        </w:rPr>
      </w:pPr>
      <w:r>
        <w:rPr>
          <w:b/>
          <w:bCs/>
          <w:i/>
          <w:iCs/>
          <w:sz w:val="24"/>
          <w:szCs w:val="24"/>
        </w:rPr>
        <w:t>5.1  Establishing the Gravity Baseline</w:t>
      </w:r>
    </w:p>
    <w:p>
      <w:pPr>
        <w:pStyle w:val="Normal"/>
        <w:spacing w:before="0" w:after="160"/>
        <w:ind w:firstLine="720"/>
        <w:rPr>
          <w:sz w:val="24"/>
          <w:szCs w:val="24"/>
        </w:rPr>
      </w:pPr>
      <w:r>
        <w:rPr>
          <w:sz w:val="24"/>
          <w:szCs w:val="24"/>
        </w:rPr>
        <w:t>Table 1 presents the core estimates. Column (1) reports the PPML baseline without the IT share. The distance elasticity of −1.580 (s.e. 0.615, p &lt; 0.05) sits within the range surveyed by Head and Mayer (2014). A common official language raises bilateral trade by 139%. Language ties closely track colonial relationships in this sample, so the coefficient proxies for a broader bundle of institutional connections. The colonial tie indicator is positive (0.391, s.e. 0.198) and significant at the 5% level in the baseline. It falls to the 10% level once the IT share enters in column (2), though the sign and magnitude are stable throughout all PPML specifications. The EPA indicator is effectively zero across both columns (−0.034, −0.035).</w:t>
      </w:r>
    </w:p>
    <w:p>
      <w:pPr>
        <w:pStyle w:val="Normal"/>
        <w:spacing w:before="0" w:after="160"/>
        <w:ind w:firstLine="720"/>
        <w:rPr>
          <w:sz w:val="24"/>
          <w:szCs w:val="24"/>
        </w:rPr>
      </w:pPr>
      <w:r>
        <w:rPr>
          <w:sz w:val="24"/>
          <w:szCs w:val="24"/>
        </w:rPr>
        <w:t>Column (2) introduces the IT share. The pooled coefficient is −0.341 (s.e. 0.283, p = 0.23), negative and directionally consistent with the stumbling-block hypothesis, but short of conventional significance. Pooling two channels with such different responses produces the wide confidence interval seen here.</w:t>
      </w:r>
    </w:p>
    <w:p>
      <w:pPr>
        <w:pStyle w:val="Normal"/>
        <w:spacing w:before="0" w:after="160"/>
        <w:ind w:firstLine="720"/>
        <w:rPr>
          <w:sz w:val="24"/>
          <w:szCs w:val="24"/>
        </w:rPr>
      </w:pPr>
      <w:r>
        <w:rPr>
          <w:sz w:val="24"/>
          <w:szCs w:val="24"/>
        </w:rPr>
        <w:t xml:space="preserve">The IT intensity specification in column (4) rescales integration by each REC's share of world trade and returns a negative, significant coefficient (−0.005, p &lt; 0.01). The negative direction therefore does not depend on how the integration variable is constructed. The OLS benchmark in column (5), estimated on log trade excluding zero-trade pairs, returns a much larger coefficient of −1.455 (s.e. 0.228, p &lt; 0.01). This gap is expected, and its direction is informative. Log-linear OLS discards zero-trade pairs and is inconsistent under heteroskedasticity; Santos Silva and Tenreyro (2006) show that these features tend to produce upward-biased coefficients in absolute value, and the OLS estimate is consistent with that prediction. PPML, which accommodates zeros and is robust to heteroskedasticity, returns the more conservative −0.341 and is the credible benchmark throughout. </w:t>
      </w:r>
    </w:p>
    <w:p>
      <w:pPr>
        <w:pStyle w:val="Normal"/>
        <w:spacing w:before="0" w:after="160"/>
        <w:ind w:firstLine="720"/>
        <w:rPr>
          <w:sz w:val="24"/>
          <w:szCs w:val="24"/>
        </w:rPr>
      </w:pPr>
      <w:r>
        <w:rPr>
          <w:sz w:val="24"/>
          <w:szCs w:val="24"/>
        </w:rPr>
        <w:t xml:space="preserve">Table 2 translates the pooled coefficient into predicted trade differences at representative IT share levels, relative to a country with an IT share of zero. Because the pooled estimate does not reach conventional significance, these figures are illustrative rather than evidential, conveying the order of magnitude implied by the point estimate rather than precise causal estimates. At the sample mean IT share of 0.116, the pooled coefficient implies trade roughly 3.9% lower than the zero-integration baseline; at the 90th percentile (IT share = 0.255), −8.3%. Every confidence interval spans zero, a direct consequence of the pooled estimate's imprecision and the directional asymmetry documented below. SADC members, with the highest mean IT share (0.271), face the largest implied reduction under the pooled estimate. The directional decomposition in Section 5.2 carries the primary evidentiary weight. </w:t>
      </w:r>
    </w:p>
    <w:p>
      <w:pPr>
        <w:pStyle w:val="Normal"/>
        <w:spacing w:before="0" w:after="160"/>
        <w:rPr/>
      </w:pPr>
      <w:r>
        <w:rPr>
          <w:b/>
          <w:bCs/>
          <w:sz w:val="22"/>
          <w:szCs w:val="22"/>
        </w:rPr>
        <w:t>Table 1: Gravity Estimates — EU–ACP Bilateral Trade, Main Specifications</w:t>
      </w:r>
    </w:p>
    <w:tbl>
      <w:tblPr>
        <w:tblW w:w="9360" w:type="dxa"/>
        <w:jc w:val="start"/>
        <w:tblInd w:w="0" w:type="dxa"/>
        <w:tblLayout w:type="fixed"/>
        <w:tblCellMar>
          <w:top w:w="36" w:type="dxa"/>
          <w:start w:w="80" w:type="dxa"/>
          <w:bottom w:w="36" w:type="dxa"/>
          <w:end w:w="50" w:type="dxa"/>
        </w:tblCellMar>
        <w:tblLook w:val="0000" w:firstRow="0" w:noVBand="0" w:lastRow="0" w:firstColumn="0" w:lastColumn="0" w:noHBand="0"/>
      </w:tblPr>
      <w:tblGrid>
        <w:gridCol w:w="1627"/>
        <w:gridCol w:w="1468"/>
        <w:gridCol w:w="1508"/>
        <w:gridCol w:w="1668"/>
        <w:gridCol w:w="1717"/>
        <w:gridCol w:w="1372"/>
      </w:tblGrid>
      <w:tr>
        <w:trPr/>
        <w:tc>
          <w:tcPr>
            <w:tcW w:w="1627" w:type="dxa"/>
            <w:tcBorders>
              <w:top w:val="single" w:sz="8" w:space="0" w:color="000000"/>
              <w:bottom w:val="single" w:sz="4" w:space="0" w:color="000000"/>
            </w:tcBorders>
            <w:vAlign w:val="center"/>
          </w:tcPr>
          <w:p>
            <w:pPr>
              <w:pStyle w:val="Normal"/>
              <w:jc w:val="center"/>
              <w:rPr/>
            </w:pPr>
            <w:r>
              <w:rPr/>
            </w:r>
          </w:p>
        </w:tc>
        <w:tc>
          <w:tcPr>
            <w:tcW w:w="1468" w:type="dxa"/>
            <w:tcBorders>
              <w:top w:val="single" w:sz="8" w:space="0" w:color="000000"/>
              <w:bottom w:val="single" w:sz="4" w:space="0" w:color="000000"/>
            </w:tcBorders>
            <w:vAlign w:val="center"/>
          </w:tcPr>
          <w:p>
            <w:pPr>
              <w:pStyle w:val="Normal"/>
              <w:jc w:val="center"/>
              <w:rPr/>
            </w:pPr>
            <w:r>
              <w:rPr>
                <w:b/>
                <w:bCs/>
                <w:sz w:val="15"/>
                <w:szCs w:val="15"/>
              </w:rPr>
              <w:t>(1) Baseline PPML</w:t>
            </w:r>
          </w:p>
        </w:tc>
        <w:tc>
          <w:tcPr>
            <w:tcW w:w="1508" w:type="dxa"/>
            <w:tcBorders>
              <w:top w:val="single" w:sz="8" w:space="0" w:color="000000"/>
              <w:bottom w:val="single" w:sz="4" w:space="0" w:color="000000"/>
            </w:tcBorders>
            <w:vAlign w:val="center"/>
          </w:tcPr>
          <w:p>
            <w:pPr>
              <w:pStyle w:val="Normal"/>
              <w:jc w:val="center"/>
              <w:rPr/>
            </w:pPr>
            <w:r>
              <w:rPr>
                <w:b/>
                <w:bCs/>
                <w:sz w:val="15"/>
                <w:szCs w:val="15"/>
              </w:rPr>
              <w:t>(2) IT Share PPML</w:t>
            </w:r>
          </w:p>
        </w:tc>
        <w:tc>
          <w:tcPr>
            <w:tcW w:w="1668" w:type="dxa"/>
            <w:tcBorders>
              <w:top w:val="single" w:sz="8" w:space="0" w:color="000000"/>
              <w:bottom w:val="single" w:sz="4" w:space="0" w:color="000000"/>
            </w:tcBorders>
            <w:vAlign w:val="center"/>
          </w:tcPr>
          <w:p>
            <w:pPr>
              <w:pStyle w:val="Normal"/>
              <w:jc w:val="center"/>
              <w:rPr/>
            </w:pPr>
            <w:r>
              <w:rPr>
                <w:b/>
                <w:bCs/>
                <w:sz w:val="15"/>
                <w:szCs w:val="15"/>
              </w:rPr>
              <w:t>(3) Interaction PPML</w:t>
            </w:r>
          </w:p>
        </w:tc>
        <w:tc>
          <w:tcPr>
            <w:tcW w:w="1717" w:type="dxa"/>
            <w:tcBorders>
              <w:top w:val="single" w:sz="8" w:space="0" w:color="000000"/>
              <w:bottom w:val="single" w:sz="4" w:space="0" w:color="000000"/>
            </w:tcBorders>
            <w:vAlign w:val="center"/>
          </w:tcPr>
          <w:p>
            <w:pPr>
              <w:pStyle w:val="Normal"/>
              <w:jc w:val="center"/>
              <w:rPr/>
            </w:pPr>
            <w:r>
              <w:rPr>
                <w:b/>
                <w:bCs/>
                <w:sz w:val="15"/>
                <w:szCs w:val="15"/>
              </w:rPr>
              <w:t>(4) IT Intensity PPML</w:t>
            </w:r>
          </w:p>
        </w:tc>
        <w:tc>
          <w:tcPr>
            <w:tcW w:w="1372" w:type="dxa"/>
            <w:tcBorders>
              <w:top w:val="single" w:sz="8" w:space="0" w:color="000000"/>
              <w:bottom w:val="single" w:sz="4" w:space="0" w:color="000000"/>
            </w:tcBorders>
            <w:vAlign w:val="center"/>
          </w:tcPr>
          <w:p>
            <w:pPr>
              <w:pStyle w:val="Normal"/>
              <w:jc w:val="center"/>
              <w:rPr/>
            </w:pPr>
            <w:r>
              <w:rPr>
                <w:b/>
                <w:bCs/>
                <w:sz w:val="15"/>
                <w:szCs w:val="15"/>
              </w:rPr>
              <w:t>(5) IT Share OLS</w:t>
            </w:r>
          </w:p>
        </w:tc>
      </w:tr>
      <w:tr>
        <w:trPr/>
        <w:tc>
          <w:tcPr>
            <w:tcW w:w="1627" w:type="dxa"/>
            <w:tcBorders/>
            <w:tcMar>
              <w:start w:w="100" w:type="dxa"/>
            </w:tcMar>
            <w:vAlign w:val="center"/>
          </w:tcPr>
          <w:p>
            <w:pPr>
              <w:pStyle w:val="Normal"/>
              <w:jc w:val="center"/>
              <w:rPr/>
            </w:pPr>
            <w:r>
              <w:rPr>
                <w:i/>
                <w:iCs/>
                <w:sz w:val="17"/>
                <w:szCs w:val="17"/>
              </w:rPr>
              <w:t>ln(Distance)</w:t>
            </w:r>
          </w:p>
        </w:tc>
        <w:tc>
          <w:tcPr>
            <w:tcW w:w="1468" w:type="dxa"/>
            <w:tcBorders/>
            <w:vAlign w:val="center"/>
          </w:tcPr>
          <w:p>
            <w:pPr>
              <w:pStyle w:val="Normal"/>
              <w:jc w:val="center"/>
              <w:rPr/>
            </w:pPr>
            <w:r>
              <w:rPr>
                <w:sz w:val="17"/>
                <w:szCs w:val="17"/>
              </w:rPr>
              <w:t>−</w:t>
            </w:r>
            <w:r>
              <w:rPr>
                <w:sz w:val="17"/>
                <w:szCs w:val="17"/>
              </w:rPr>
              <w:t>1.580**</w:t>
            </w:r>
          </w:p>
        </w:tc>
        <w:tc>
          <w:tcPr>
            <w:tcW w:w="1508" w:type="dxa"/>
            <w:tcBorders/>
            <w:vAlign w:val="center"/>
          </w:tcPr>
          <w:p>
            <w:pPr>
              <w:pStyle w:val="Normal"/>
              <w:jc w:val="center"/>
              <w:rPr/>
            </w:pPr>
            <w:r>
              <w:rPr>
                <w:sz w:val="17"/>
                <w:szCs w:val="17"/>
              </w:rPr>
              <w:t>−</w:t>
            </w:r>
            <w:r>
              <w:rPr>
                <w:sz w:val="17"/>
                <w:szCs w:val="17"/>
              </w:rPr>
              <w:t>1.625**</w:t>
            </w:r>
          </w:p>
        </w:tc>
        <w:tc>
          <w:tcPr>
            <w:tcW w:w="1668" w:type="dxa"/>
            <w:tcBorders/>
            <w:vAlign w:val="center"/>
          </w:tcPr>
          <w:p>
            <w:pPr>
              <w:pStyle w:val="Normal"/>
              <w:jc w:val="center"/>
              <w:rPr/>
            </w:pPr>
            <w:r>
              <w:rPr>
                <w:sz w:val="17"/>
                <w:szCs w:val="17"/>
              </w:rPr>
              <w:t>−</w:t>
            </w:r>
            <w:r>
              <w:rPr>
                <w:sz w:val="17"/>
                <w:szCs w:val="17"/>
              </w:rPr>
              <w:t>1.625**</w:t>
            </w:r>
          </w:p>
        </w:tc>
        <w:tc>
          <w:tcPr>
            <w:tcW w:w="1717" w:type="dxa"/>
            <w:tcBorders/>
            <w:vAlign w:val="center"/>
          </w:tcPr>
          <w:p>
            <w:pPr>
              <w:pStyle w:val="Normal"/>
              <w:jc w:val="center"/>
              <w:rPr/>
            </w:pPr>
            <w:r>
              <w:rPr>
                <w:sz w:val="17"/>
                <w:szCs w:val="17"/>
              </w:rPr>
              <w:t>−</w:t>
            </w:r>
            <w:r>
              <w:rPr>
                <w:sz w:val="17"/>
                <w:szCs w:val="17"/>
              </w:rPr>
              <w:t>1.602**</w:t>
            </w:r>
          </w:p>
        </w:tc>
        <w:tc>
          <w:tcPr>
            <w:tcW w:w="1372" w:type="dxa"/>
            <w:tcBorders/>
            <w:vAlign w:val="center"/>
          </w:tcPr>
          <w:p>
            <w:pPr>
              <w:pStyle w:val="Normal"/>
              <w:jc w:val="center"/>
              <w:rPr/>
            </w:pPr>
            <w:r>
              <w:rPr>
                <w:sz w:val="17"/>
                <w:szCs w:val="17"/>
              </w:rPr>
              <w:t>−</w:t>
            </w:r>
            <w:r>
              <w:rPr>
                <w:sz w:val="17"/>
                <w:szCs w:val="17"/>
              </w:rPr>
              <w:t>1.188***</w:t>
            </w:r>
          </w:p>
        </w:tc>
      </w:tr>
      <w:tr>
        <w:trPr/>
        <w:tc>
          <w:tcPr>
            <w:tcW w:w="1627" w:type="dxa"/>
            <w:tcBorders/>
            <w:tcMar>
              <w:start w:w="100" w:type="dxa"/>
            </w:tcMar>
            <w:vAlign w:val="center"/>
          </w:tcPr>
          <w:p>
            <w:pPr>
              <w:pStyle w:val="Normal"/>
              <w:jc w:val="center"/>
              <w:rPr/>
            </w:pPr>
            <w:r>
              <w:rPr/>
            </w:r>
          </w:p>
        </w:tc>
        <w:tc>
          <w:tcPr>
            <w:tcW w:w="1468" w:type="dxa"/>
            <w:tcBorders/>
            <w:vAlign w:val="center"/>
          </w:tcPr>
          <w:p>
            <w:pPr>
              <w:pStyle w:val="Normal"/>
              <w:jc w:val="center"/>
              <w:rPr/>
            </w:pPr>
            <w:r>
              <w:rPr>
                <w:sz w:val="16"/>
                <w:szCs w:val="16"/>
              </w:rPr>
              <w:t>(0.615)</w:t>
            </w:r>
          </w:p>
        </w:tc>
        <w:tc>
          <w:tcPr>
            <w:tcW w:w="1508" w:type="dxa"/>
            <w:tcBorders/>
            <w:vAlign w:val="center"/>
          </w:tcPr>
          <w:p>
            <w:pPr>
              <w:pStyle w:val="Normal"/>
              <w:jc w:val="center"/>
              <w:rPr/>
            </w:pPr>
            <w:r>
              <w:rPr>
                <w:sz w:val="16"/>
                <w:szCs w:val="16"/>
              </w:rPr>
              <w:t>(0.649)</w:t>
            </w:r>
          </w:p>
        </w:tc>
        <w:tc>
          <w:tcPr>
            <w:tcW w:w="1668" w:type="dxa"/>
            <w:tcBorders/>
            <w:vAlign w:val="center"/>
          </w:tcPr>
          <w:p>
            <w:pPr>
              <w:pStyle w:val="Normal"/>
              <w:jc w:val="center"/>
              <w:rPr/>
            </w:pPr>
            <w:r>
              <w:rPr>
                <w:sz w:val="16"/>
                <w:szCs w:val="16"/>
              </w:rPr>
              <w:t>(0.649)</w:t>
            </w:r>
          </w:p>
        </w:tc>
        <w:tc>
          <w:tcPr>
            <w:tcW w:w="1717" w:type="dxa"/>
            <w:tcBorders/>
            <w:vAlign w:val="center"/>
          </w:tcPr>
          <w:p>
            <w:pPr>
              <w:pStyle w:val="Normal"/>
              <w:jc w:val="center"/>
              <w:rPr/>
            </w:pPr>
            <w:r>
              <w:rPr>
                <w:sz w:val="16"/>
                <w:szCs w:val="16"/>
              </w:rPr>
              <w:t>(0.647)</w:t>
            </w:r>
          </w:p>
        </w:tc>
        <w:tc>
          <w:tcPr>
            <w:tcW w:w="1372" w:type="dxa"/>
            <w:tcBorders/>
            <w:vAlign w:val="center"/>
          </w:tcPr>
          <w:p>
            <w:pPr>
              <w:pStyle w:val="Normal"/>
              <w:jc w:val="center"/>
              <w:rPr/>
            </w:pPr>
            <w:r>
              <w:rPr>
                <w:sz w:val="16"/>
                <w:szCs w:val="16"/>
              </w:rPr>
              <w:t>(0.236)</w:t>
            </w:r>
          </w:p>
        </w:tc>
      </w:tr>
      <w:tr>
        <w:trPr/>
        <w:tc>
          <w:tcPr>
            <w:tcW w:w="1627" w:type="dxa"/>
            <w:tcBorders/>
            <w:tcMar>
              <w:start w:w="100" w:type="dxa"/>
            </w:tcMar>
            <w:vAlign w:val="center"/>
          </w:tcPr>
          <w:p>
            <w:pPr>
              <w:pStyle w:val="Normal"/>
              <w:jc w:val="center"/>
              <w:rPr/>
            </w:pPr>
            <w:r>
              <w:rPr>
                <w:i/>
                <w:iCs/>
                <w:sz w:val="17"/>
                <w:szCs w:val="17"/>
              </w:rPr>
              <w:t>Common Language</w:t>
            </w:r>
          </w:p>
        </w:tc>
        <w:tc>
          <w:tcPr>
            <w:tcW w:w="1468" w:type="dxa"/>
            <w:tcBorders/>
            <w:vAlign w:val="center"/>
          </w:tcPr>
          <w:p>
            <w:pPr>
              <w:pStyle w:val="Normal"/>
              <w:jc w:val="center"/>
              <w:rPr/>
            </w:pPr>
            <w:r>
              <w:rPr>
                <w:sz w:val="17"/>
                <w:szCs w:val="17"/>
              </w:rPr>
              <w:t>0.873***</w:t>
            </w:r>
          </w:p>
        </w:tc>
        <w:tc>
          <w:tcPr>
            <w:tcW w:w="1508" w:type="dxa"/>
            <w:tcBorders/>
            <w:vAlign w:val="center"/>
          </w:tcPr>
          <w:p>
            <w:pPr>
              <w:pStyle w:val="Normal"/>
              <w:jc w:val="center"/>
              <w:rPr/>
            </w:pPr>
            <w:r>
              <w:rPr>
                <w:sz w:val="17"/>
                <w:szCs w:val="17"/>
              </w:rPr>
              <w:t>0.873***</w:t>
            </w:r>
          </w:p>
        </w:tc>
        <w:tc>
          <w:tcPr>
            <w:tcW w:w="1668" w:type="dxa"/>
            <w:tcBorders/>
            <w:vAlign w:val="center"/>
          </w:tcPr>
          <w:p>
            <w:pPr>
              <w:pStyle w:val="Normal"/>
              <w:jc w:val="center"/>
              <w:rPr/>
            </w:pPr>
            <w:r>
              <w:rPr>
                <w:sz w:val="17"/>
                <w:szCs w:val="17"/>
              </w:rPr>
              <w:t>0.873***</w:t>
            </w:r>
          </w:p>
        </w:tc>
        <w:tc>
          <w:tcPr>
            <w:tcW w:w="1717" w:type="dxa"/>
            <w:tcBorders/>
            <w:vAlign w:val="center"/>
          </w:tcPr>
          <w:p>
            <w:pPr>
              <w:pStyle w:val="Normal"/>
              <w:jc w:val="center"/>
              <w:rPr/>
            </w:pPr>
            <w:r>
              <w:rPr>
                <w:sz w:val="17"/>
                <w:szCs w:val="17"/>
              </w:rPr>
              <w:t>0.870***</w:t>
            </w:r>
          </w:p>
        </w:tc>
        <w:tc>
          <w:tcPr>
            <w:tcW w:w="1372" w:type="dxa"/>
            <w:tcBorders/>
            <w:vAlign w:val="center"/>
          </w:tcPr>
          <w:p>
            <w:pPr>
              <w:pStyle w:val="Normal"/>
              <w:jc w:val="center"/>
              <w:rPr/>
            </w:pPr>
            <w:r>
              <w:rPr>
                <w:sz w:val="17"/>
                <w:szCs w:val="17"/>
              </w:rPr>
              <w:t>0.620***</w:t>
            </w:r>
          </w:p>
        </w:tc>
      </w:tr>
      <w:tr>
        <w:trPr/>
        <w:tc>
          <w:tcPr>
            <w:tcW w:w="1627" w:type="dxa"/>
            <w:tcBorders/>
            <w:tcMar>
              <w:start w:w="100" w:type="dxa"/>
            </w:tcMar>
            <w:vAlign w:val="center"/>
          </w:tcPr>
          <w:p>
            <w:pPr>
              <w:pStyle w:val="Normal"/>
              <w:jc w:val="center"/>
              <w:rPr/>
            </w:pPr>
            <w:r>
              <w:rPr/>
            </w:r>
          </w:p>
        </w:tc>
        <w:tc>
          <w:tcPr>
            <w:tcW w:w="1468" w:type="dxa"/>
            <w:tcBorders/>
            <w:vAlign w:val="center"/>
          </w:tcPr>
          <w:p>
            <w:pPr>
              <w:pStyle w:val="Normal"/>
              <w:jc w:val="center"/>
              <w:rPr/>
            </w:pPr>
            <w:r>
              <w:rPr>
                <w:sz w:val="16"/>
                <w:szCs w:val="16"/>
              </w:rPr>
              <w:t>(0.174)</w:t>
            </w:r>
          </w:p>
        </w:tc>
        <w:tc>
          <w:tcPr>
            <w:tcW w:w="1508" w:type="dxa"/>
            <w:tcBorders/>
            <w:vAlign w:val="center"/>
          </w:tcPr>
          <w:p>
            <w:pPr>
              <w:pStyle w:val="Normal"/>
              <w:jc w:val="center"/>
              <w:rPr/>
            </w:pPr>
            <w:r>
              <w:rPr>
                <w:sz w:val="16"/>
                <w:szCs w:val="16"/>
              </w:rPr>
              <w:t>(0.178)</w:t>
            </w:r>
          </w:p>
        </w:tc>
        <w:tc>
          <w:tcPr>
            <w:tcW w:w="1668" w:type="dxa"/>
            <w:tcBorders/>
            <w:vAlign w:val="center"/>
          </w:tcPr>
          <w:p>
            <w:pPr>
              <w:pStyle w:val="Normal"/>
              <w:jc w:val="center"/>
              <w:rPr/>
            </w:pPr>
            <w:r>
              <w:rPr>
                <w:sz w:val="16"/>
                <w:szCs w:val="16"/>
              </w:rPr>
              <w:t>(0.178)</w:t>
            </w:r>
          </w:p>
        </w:tc>
        <w:tc>
          <w:tcPr>
            <w:tcW w:w="1717" w:type="dxa"/>
            <w:tcBorders/>
            <w:vAlign w:val="center"/>
          </w:tcPr>
          <w:p>
            <w:pPr>
              <w:pStyle w:val="Normal"/>
              <w:jc w:val="center"/>
              <w:rPr/>
            </w:pPr>
            <w:r>
              <w:rPr>
                <w:sz w:val="16"/>
                <w:szCs w:val="16"/>
              </w:rPr>
              <w:t>(0.177)</w:t>
            </w:r>
          </w:p>
        </w:tc>
        <w:tc>
          <w:tcPr>
            <w:tcW w:w="1372" w:type="dxa"/>
            <w:tcBorders/>
            <w:vAlign w:val="center"/>
          </w:tcPr>
          <w:p>
            <w:pPr>
              <w:pStyle w:val="Normal"/>
              <w:jc w:val="center"/>
              <w:rPr/>
            </w:pPr>
            <w:r>
              <w:rPr>
                <w:sz w:val="16"/>
                <w:szCs w:val="16"/>
              </w:rPr>
              <w:t>(0.114)</w:t>
            </w:r>
          </w:p>
        </w:tc>
      </w:tr>
      <w:tr>
        <w:trPr/>
        <w:tc>
          <w:tcPr>
            <w:tcW w:w="1627" w:type="dxa"/>
            <w:tcBorders/>
            <w:tcMar>
              <w:start w:w="100" w:type="dxa"/>
            </w:tcMar>
            <w:vAlign w:val="center"/>
          </w:tcPr>
          <w:p>
            <w:pPr>
              <w:pStyle w:val="Normal"/>
              <w:jc w:val="center"/>
              <w:rPr/>
            </w:pPr>
            <w:r>
              <w:rPr>
                <w:i/>
                <w:iCs/>
                <w:sz w:val="17"/>
                <w:szCs w:val="17"/>
              </w:rPr>
              <w:t>Colonial Tie</w:t>
            </w:r>
          </w:p>
        </w:tc>
        <w:tc>
          <w:tcPr>
            <w:tcW w:w="1468" w:type="dxa"/>
            <w:tcBorders/>
            <w:vAlign w:val="center"/>
          </w:tcPr>
          <w:p>
            <w:pPr>
              <w:pStyle w:val="Normal"/>
              <w:jc w:val="center"/>
              <w:rPr/>
            </w:pPr>
            <w:r>
              <w:rPr>
                <w:sz w:val="17"/>
                <w:szCs w:val="17"/>
              </w:rPr>
              <w:t>0.391**</w:t>
            </w:r>
          </w:p>
        </w:tc>
        <w:tc>
          <w:tcPr>
            <w:tcW w:w="1508" w:type="dxa"/>
            <w:tcBorders/>
            <w:vAlign w:val="center"/>
          </w:tcPr>
          <w:p>
            <w:pPr>
              <w:pStyle w:val="Normal"/>
              <w:jc w:val="center"/>
              <w:rPr/>
            </w:pPr>
            <w:r>
              <w:rPr>
                <w:sz w:val="17"/>
                <w:szCs w:val="17"/>
              </w:rPr>
              <w:t>0.385*</w:t>
            </w:r>
          </w:p>
        </w:tc>
        <w:tc>
          <w:tcPr>
            <w:tcW w:w="1668" w:type="dxa"/>
            <w:tcBorders/>
            <w:vAlign w:val="center"/>
          </w:tcPr>
          <w:p>
            <w:pPr>
              <w:pStyle w:val="Normal"/>
              <w:jc w:val="center"/>
              <w:rPr/>
            </w:pPr>
            <w:r>
              <w:rPr>
                <w:sz w:val="17"/>
                <w:szCs w:val="17"/>
              </w:rPr>
              <w:t>0.385*</w:t>
            </w:r>
          </w:p>
        </w:tc>
        <w:tc>
          <w:tcPr>
            <w:tcW w:w="1717" w:type="dxa"/>
            <w:tcBorders/>
            <w:vAlign w:val="center"/>
          </w:tcPr>
          <w:p>
            <w:pPr>
              <w:pStyle w:val="Normal"/>
              <w:jc w:val="center"/>
              <w:rPr/>
            </w:pPr>
            <w:r>
              <w:rPr>
                <w:sz w:val="17"/>
                <w:szCs w:val="17"/>
              </w:rPr>
              <w:t>0.385*</w:t>
            </w:r>
          </w:p>
        </w:tc>
        <w:tc>
          <w:tcPr>
            <w:tcW w:w="1372" w:type="dxa"/>
            <w:tcBorders/>
            <w:vAlign w:val="center"/>
          </w:tcPr>
          <w:p>
            <w:pPr>
              <w:pStyle w:val="Normal"/>
              <w:jc w:val="center"/>
              <w:rPr/>
            </w:pPr>
            <w:r>
              <w:rPr>
                <w:sz w:val="17"/>
                <w:szCs w:val="17"/>
              </w:rPr>
              <w:t>1.110***</w:t>
            </w:r>
          </w:p>
        </w:tc>
      </w:tr>
      <w:tr>
        <w:trPr/>
        <w:tc>
          <w:tcPr>
            <w:tcW w:w="1627" w:type="dxa"/>
            <w:tcBorders/>
            <w:tcMar>
              <w:start w:w="100" w:type="dxa"/>
            </w:tcMar>
            <w:vAlign w:val="center"/>
          </w:tcPr>
          <w:p>
            <w:pPr>
              <w:pStyle w:val="Normal"/>
              <w:jc w:val="center"/>
              <w:rPr/>
            </w:pPr>
            <w:r>
              <w:rPr/>
            </w:r>
          </w:p>
        </w:tc>
        <w:tc>
          <w:tcPr>
            <w:tcW w:w="1468" w:type="dxa"/>
            <w:tcBorders/>
            <w:vAlign w:val="center"/>
          </w:tcPr>
          <w:p>
            <w:pPr>
              <w:pStyle w:val="Normal"/>
              <w:jc w:val="center"/>
              <w:rPr/>
            </w:pPr>
            <w:r>
              <w:rPr>
                <w:sz w:val="16"/>
                <w:szCs w:val="16"/>
              </w:rPr>
              <w:t>(0.198)</w:t>
            </w:r>
          </w:p>
        </w:tc>
        <w:tc>
          <w:tcPr>
            <w:tcW w:w="1508" w:type="dxa"/>
            <w:tcBorders/>
            <w:vAlign w:val="center"/>
          </w:tcPr>
          <w:p>
            <w:pPr>
              <w:pStyle w:val="Normal"/>
              <w:jc w:val="center"/>
              <w:rPr/>
            </w:pPr>
            <w:r>
              <w:rPr>
                <w:sz w:val="16"/>
                <w:szCs w:val="16"/>
              </w:rPr>
              <w:t>(0.201)</w:t>
            </w:r>
          </w:p>
        </w:tc>
        <w:tc>
          <w:tcPr>
            <w:tcW w:w="1668" w:type="dxa"/>
            <w:tcBorders/>
            <w:vAlign w:val="center"/>
          </w:tcPr>
          <w:p>
            <w:pPr>
              <w:pStyle w:val="Normal"/>
              <w:jc w:val="center"/>
              <w:rPr/>
            </w:pPr>
            <w:r>
              <w:rPr>
                <w:sz w:val="16"/>
                <w:szCs w:val="16"/>
              </w:rPr>
              <w:t>(0.201)</w:t>
            </w:r>
          </w:p>
        </w:tc>
        <w:tc>
          <w:tcPr>
            <w:tcW w:w="1717" w:type="dxa"/>
            <w:tcBorders/>
            <w:vAlign w:val="center"/>
          </w:tcPr>
          <w:p>
            <w:pPr>
              <w:pStyle w:val="Normal"/>
              <w:jc w:val="center"/>
              <w:rPr/>
            </w:pPr>
            <w:r>
              <w:rPr>
                <w:sz w:val="16"/>
                <w:szCs w:val="16"/>
              </w:rPr>
              <w:t>(0.201)</w:t>
            </w:r>
          </w:p>
        </w:tc>
        <w:tc>
          <w:tcPr>
            <w:tcW w:w="1372" w:type="dxa"/>
            <w:tcBorders/>
            <w:vAlign w:val="center"/>
          </w:tcPr>
          <w:p>
            <w:pPr>
              <w:pStyle w:val="Normal"/>
              <w:jc w:val="center"/>
              <w:rPr/>
            </w:pPr>
            <w:r>
              <w:rPr>
                <w:sz w:val="16"/>
                <w:szCs w:val="16"/>
              </w:rPr>
              <w:t>(0.153)</w:t>
            </w:r>
          </w:p>
        </w:tc>
      </w:tr>
      <w:tr>
        <w:trPr/>
        <w:tc>
          <w:tcPr>
            <w:tcW w:w="1627" w:type="dxa"/>
            <w:tcBorders/>
            <w:tcMar>
              <w:start w:w="100" w:type="dxa"/>
            </w:tcMar>
            <w:vAlign w:val="center"/>
          </w:tcPr>
          <w:p>
            <w:pPr>
              <w:pStyle w:val="Normal"/>
              <w:jc w:val="center"/>
              <w:rPr/>
            </w:pPr>
            <w:r>
              <w:rPr>
                <w:i/>
                <w:iCs/>
                <w:sz w:val="17"/>
                <w:szCs w:val="17"/>
              </w:rPr>
              <w:t>EPA (in force)</w:t>
            </w:r>
          </w:p>
        </w:tc>
        <w:tc>
          <w:tcPr>
            <w:tcW w:w="1468" w:type="dxa"/>
            <w:tcBorders/>
            <w:vAlign w:val="center"/>
          </w:tcPr>
          <w:p>
            <w:pPr>
              <w:pStyle w:val="Normal"/>
              <w:jc w:val="center"/>
              <w:rPr/>
            </w:pPr>
            <w:r>
              <w:rPr>
                <w:sz w:val="17"/>
                <w:szCs w:val="17"/>
              </w:rPr>
              <w:t>−</w:t>
            </w:r>
            <w:r>
              <w:rPr>
                <w:sz w:val="17"/>
                <w:szCs w:val="17"/>
              </w:rPr>
              <w:t>0.034</w:t>
            </w:r>
          </w:p>
        </w:tc>
        <w:tc>
          <w:tcPr>
            <w:tcW w:w="1508" w:type="dxa"/>
            <w:tcBorders/>
            <w:vAlign w:val="center"/>
          </w:tcPr>
          <w:p>
            <w:pPr>
              <w:pStyle w:val="Normal"/>
              <w:jc w:val="center"/>
              <w:rPr/>
            </w:pPr>
            <w:r>
              <w:rPr>
                <w:sz w:val="17"/>
                <w:szCs w:val="17"/>
              </w:rPr>
              <w:t>−</w:t>
            </w:r>
            <w:r>
              <w:rPr>
                <w:sz w:val="17"/>
                <w:szCs w:val="17"/>
              </w:rPr>
              <w:t>0.035</w:t>
            </w:r>
          </w:p>
        </w:tc>
        <w:tc>
          <w:tcPr>
            <w:tcW w:w="1668" w:type="dxa"/>
            <w:tcBorders/>
            <w:vAlign w:val="center"/>
          </w:tcPr>
          <w:p>
            <w:pPr>
              <w:pStyle w:val="Normal"/>
              <w:jc w:val="center"/>
              <w:rPr/>
            </w:pPr>
            <w:r>
              <w:rPr>
                <w:sz w:val="17"/>
                <w:szCs w:val="17"/>
              </w:rPr>
              <w:t>−</w:t>
            </w:r>
            <w:r>
              <w:rPr>
                <w:sz w:val="17"/>
                <w:szCs w:val="17"/>
              </w:rPr>
              <w:t>0.020</w:t>
            </w:r>
          </w:p>
        </w:tc>
        <w:tc>
          <w:tcPr>
            <w:tcW w:w="1717" w:type="dxa"/>
            <w:tcBorders/>
            <w:vAlign w:val="center"/>
          </w:tcPr>
          <w:p>
            <w:pPr>
              <w:pStyle w:val="Normal"/>
              <w:jc w:val="center"/>
              <w:rPr/>
            </w:pPr>
            <w:r>
              <w:rPr>
                <w:sz w:val="17"/>
                <w:szCs w:val="17"/>
              </w:rPr>
              <w:t>−</w:t>
            </w:r>
            <w:r>
              <w:rPr>
                <w:sz w:val="17"/>
                <w:szCs w:val="17"/>
              </w:rPr>
              <w:t>0.060</w:t>
            </w:r>
          </w:p>
        </w:tc>
        <w:tc>
          <w:tcPr>
            <w:tcW w:w="1372" w:type="dxa"/>
            <w:tcBorders/>
            <w:vAlign w:val="center"/>
          </w:tcPr>
          <w:p>
            <w:pPr>
              <w:pStyle w:val="Normal"/>
              <w:jc w:val="center"/>
              <w:rPr/>
            </w:pPr>
            <w:r>
              <w:rPr>
                <w:sz w:val="17"/>
                <w:szCs w:val="17"/>
              </w:rPr>
              <w:t>−</w:t>
            </w:r>
            <w:r>
              <w:rPr>
                <w:sz w:val="17"/>
                <w:szCs w:val="17"/>
              </w:rPr>
              <w:t>0.184***</w:t>
            </w:r>
          </w:p>
        </w:tc>
      </w:tr>
      <w:tr>
        <w:trPr/>
        <w:tc>
          <w:tcPr>
            <w:tcW w:w="1627" w:type="dxa"/>
            <w:tcBorders/>
            <w:tcMar>
              <w:start w:w="100" w:type="dxa"/>
            </w:tcMar>
            <w:vAlign w:val="center"/>
          </w:tcPr>
          <w:p>
            <w:pPr>
              <w:pStyle w:val="Normal"/>
              <w:jc w:val="center"/>
              <w:rPr/>
            </w:pPr>
            <w:r>
              <w:rPr/>
            </w:r>
          </w:p>
        </w:tc>
        <w:tc>
          <w:tcPr>
            <w:tcW w:w="1468" w:type="dxa"/>
            <w:tcBorders/>
            <w:vAlign w:val="center"/>
          </w:tcPr>
          <w:p>
            <w:pPr>
              <w:pStyle w:val="Normal"/>
              <w:jc w:val="center"/>
              <w:rPr/>
            </w:pPr>
            <w:r>
              <w:rPr>
                <w:sz w:val="16"/>
                <w:szCs w:val="16"/>
              </w:rPr>
              <w:t>(0.056)</w:t>
            </w:r>
          </w:p>
        </w:tc>
        <w:tc>
          <w:tcPr>
            <w:tcW w:w="1508" w:type="dxa"/>
            <w:tcBorders/>
            <w:vAlign w:val="center"/>
          </w:tcPr>
          <w:p>
            <w:pPr>
              <w:pStyle w:val="Normal"/>
              <w:jc w:val="center"/>
              <w:rPr/>
            </w:pPr>
            <w:r>
              <w:rPr>
                <w:sz w:val="16"/>
                <w:szCs w:val="16"/>
              </w:rPr>
              <w:t>(0.056)</w:t>
            </w:r>
          </w:p>
        </w:tc>
        <w:tc>
          <w:tcPr>
            <w:tcW w:w="1668" w:type="dxa"/>
            <w:tcBorders/>
            <w:vAlign w:val="center"/>
          </w:tcPr>
          <w:p>
            <w:pPr>
              <w:pStyle w:val="Normal"/>
              <w:jc w:val="center"/>
              <w:rPr/>
            </w:pPr>
            <w:r>
              <w:rPr>
                <w:sz w:val="16"/>
                <w:szCs w:val="16"/>
              </w:rPr>
              <w:t>(0.107)</w:t>
            </w:r>
          </w:p>
        </w:tc>
        <w:tc>
          <w:tcPr>
            <w:tcW w:w="1717" w:type="dxa"/>
            <w:tcBorders/>
            <w:vAlign w:val="center"/>
          </w:tcPr>
          <w:p>
            <w:pPr>
              <w:pStyle w:val="Normal"/>
              <w:jc w:val="center"/>
              <w:rPr/>
            </w:pPr>
            <w:r>
              <w:rPr>
                <w:sz w:val="16"/>
                <w:szCs w:val="16"/>
              </w:rPr>
              <w:t>(0.053)</w:t>
            </w:r>
          </w:p>
        </w:tc>
        <w:tc>
          <w:tcPr>
            <w:tcW w:w="1372" w:type="dxa"/>
            <w:tcBorders/>
            <w:vAlign w:val="center"/>
          </w:tcPr>
          <w:p>
            <w:pPr>
              <w:pStyle w:val="Normal"/>
              <w:jc w:val="center"/>
              <w:rPr/>
            </w:pPr>
            <w:r>
              <w:rPr>
                <w:sz w:val="16"/>
                <w:szCs w:val="16"/>
              </w:rPr>
              <w:t>(0.045)</w:t>
            </w:r>
          </w:p>
        </w:tc>
      </w:tr>
      <w:tr>
        <w:trPr/>
        <w:tc>
          <w:tcPr>
            <w:tcW w:w="1627" w:type="dxa"/>
            <w:tcBorders/>
            <w:tcMar>
              <w:start w:w="100" w:type="dxa"/>
            </w:tcMar>
            <w:vAlign w:val="center"/>
          </w:tcPr>
          <w:p>
            <w:pPr>
              <w:pStyle w:val="Normal"/>
              <w:jc w:val="center"/>
              <w:rPr/>
            </w:pPr>
            <w:r>
              <w:rPr>
                <w:i/>
                <w:iCs/>
                <w:sz w:val="17"/>
                <w:szCs w:val="17"/>
              </w:rPr>
              <w:t>IT Share</w:t>
            </w:r>
          </w:p>
        </w:tc>
        <w:tc>
          <w:tcPr>
            <w:tcW w:w="1468" w:type="dxa"/>
            <w:tcBorders/>
            <w:vAlign w:val="center"/>
          </w:tcPr>
          <w:p>
            <w:pPr>
              <w:pStyle w:val="Normal"/>
              <w:jc w:val="center"/>
              <w:rPr/>
            </w:pPr>
            <w:r>
              <w:rPr/>
            </w:r>
          </w:p>
        </w:tc>
        <w:tc>
          <w:tcPr>
            <w:tcW w:w="1508" w:type="dxa"/>
            <w:tcBorders/>
            <w:vAlign w:val="center"/>
          </w:tcPr>
          <w:p>
            <w:pPr>
              <w:pStyle w:val="Normal"/>
              <w:jc w:val="center"/>
              <w:rPr/>
            </w:pPr>
            <w:r>
              <w:rPr>
                <w:sz w:val="17"/>
                <w:szCs w:val="17"/>
              </w:rPr>
              <w:t>−</w:t>
            </w:r>
            <w:r>
              <w:rPr>
                <w:sz w:val="17"/>
                <w:szCs w:val="17"/>
              </w:rPr>
              <w:t>0.341</w:t>
            </w:r>
          </w:p>
        </w:tc>
        <w:tc>
          <w:tcPr>
            <w:tcW w:w="1668" w:type="dxa"/>
            <w:tcBorders/>
            <w:vAlign w:val="center"/>
          </w:tcPr>
          <w:p>
            <w:pPr>
              <w:pStyle w:val="Normal"/>
              <w:jc w:val="center"/>
              <w:rPr/>
            </w:pPr>
            <w:r>
              <w:rPr>
                <w:sz w:val="17"/>
                <w:szCs w:val="17"/>
              </w:rPr>
              <w:t>−</w:t>
            </w:r>
            <w:r>
              <w:rPr>
                <w:sz w:val="17"/>
                <w:szCs w:val="17"/>
              </w:rPr>
              <w:t>0.335</w:t>
            </w:r>
          </w:p>
        </w:tc>
        <w:tc>
          <w:tcPr>
            <w:tcW w:w="1717" w:type="dxa"/>
            <w:tcBorders/>
            <w:vAlign w:val="center"/>
          </w:tcPr>
          <w:p>
            <w:pPr>
              <w:pStyle w:val="Normal"/>
              <w:jc w:val="center"/>
              <w:rPr/>
            </w:pPr>
            <w:r>
              <w:rPr/>
            </w:r>
          </w:p>
        </w:tc>
        <w:tc>
          <w:tcPr>
            <w:tcW w:w="1372" w:type="dxa"/>
            <w:tcBorders/>
            <w:vAlign w:val="center"/>
          </w:tcPr>
          <w:p>
            <w:pPr>
              <w:pStyle w:val="Normal"/>
              <w:jc w:val="center"/>
              <w:rPr/>
            </w:pPr>
            <w:r>
              <w:rPr>
                <w:sz w:val="17"/>
                <w:szCs w:val="17"/>
              </w:rPr>
              <w:t>−</w:t>
            </w:r>
            <w:r>
              <w:rPr>
                <w:sz w:val="17"/>
                <w:szCs w:val="17"/>
              </w:rPr>
              <w:t>1.455***</w:t>
            </w:r>
          </w:p>
        </w:tc>
      </w:tr>
      <w:tr>
        <w:trPr/>
        <w:tc>
          <w:tcPr>
            <w:tcW w:w="1627" w:type="dxa"/>
            <w:tcBorders/>
            <w:tcMar>
              <w:start w:w="100" w:type="dxa"/>
            </w:tcMar>
            <w:vAlign w:val="center"/>
          </w:tcPr>
          <w:p>
            <w:pPr>
              <w:pStyle w:val="Normal"/>
              <w:jc w:val="center"/>
              <w:rPr/>
            </w:pPr>
            <w:r>
              <w:rPr/>
            </w:r>
          </w:p>
        </w:tc>
        <w:tc>
          <w:tcPr>
            <w:tcW w:w="1468" w:type="dxa"/>
            <w:tcBorders/>
            <w:vAlign w:val="center"/>
          </w:tcPr>
          <w:p>
            <w:pPr>
              <w:pStyle w:val="Normal"/>
              <w:jc w:val="center"/>
              <w:rPr/>
            </w:pPr>
            <w:r>
              <w:rPr/>
            </w:r>
          </w:p>
        </w:tc>
        <w:tc>
          <w:tcPr>
            <w:tcW w:w="1508" w:type="dxa"/>
            <w:tcBorders/>
            <w:vAlign w:val="center"/>
          </w:tcPr>
          <w:p>
            <w:pPr>
              <w:pStyle w:val="Normal"/>
              <w:jc w:val="center"/>
              <w:rPr/>
            </w:pPr>
            <w:r>
              <w:rPr>
                <w:sz w:val="16"/>
                <w:szCs w:val="16"/>
              </w:rPr>
              <w:t>(0.283)</w:t>
            </w:r>
          </w:p>
        </w:tc>
        <w:tc>
          <w:tcPr>
            <w:tcW w:w="1668" w:type="dxa"/>
            <w:tcBorders/>
            <w:vAlign w:val="center"/>
          </w:tcPr>
          <w:p>
            <w:pPr>
              <w:pStyle w:val="Normal"/>
              <w:jc w:val="center"/>
              <w:rPr/>
            </w:pPr>
            <w:r>
              <w:rPr>
                <w:sz w:val="16"/>
                <w:szCs w:val="16"/>
              </w:rPr>
              <w:t>(0.282)</w:t>
            </w:r>
          </w:p>
        </w:tc>
        <w:tc>
          <w:tcPr>
            <w:tcW w:w="1717" w:type="dxa"/>
            <w:tcBorders/>
            <w:vAlign w:val="center"/>
          </w:tcPr>
          <w:p>
            <w:pPr>
              <w:pStyle w:val="Normal"/>
              <w:jc w:val="center"/>
              <w:rPr/>
            </w:pPr>
            <w:r>
              <w:rPr/>
            </w:r>
          </w:p>
        </w:tc>
        <w:tc>
          <w:tcPr>
            <w:tcW w:w="1372" w:type="dxa"/>
            <w:tcBorders/>
            <w:vAlign w:val="center"/>
          </w:tcPr>
          <w:p>
            <w:pPr>
              <w:pStyle w:val="Normal"/>
              <w:jc w:val="center"/>
              <w:rPr/>
            </w:pPr>
            <w:r>
              <w:rPr>
                <w:sz w:val="16"/>
                <w:szCs w:val="16"/>
              </w:rPr>
              <w:t>(0.228)</w:t>
            </w:r>
          </w:p>
        </w:tc>
      </w:tr>
      <w:tr>
        <w:trPr/>
        <w:tc>
          <w:tcPr>
            <w:tcW w:w="1627" w:type="dxa"/>
            <w:tcBorders/>
            <w:tcMar>
              <w:start w:w="100" w:type="dxa"/>
            </w:tcMar>
            <w:vAlign w:val="center"/>
          </w:tcPr>
          <w:p>
            <w:pPr>
              <w:pStyle w:val="Normal"/>
              <w:jc w:val="center"/>
              <w:rPr/>
            </w:pPr>
            <w:r>
              <w:rPr>
                <w:i/>
                <w:iCs/>
                <w:sz w:val="17"/>
                <w:szCs w:val="17"/>
              </w:rPr>
              <w:t>EPA × IT Share</w:t>
            </w:r>
          </w:p>
        </w:tc>
        <w:tc>
          <w:tcPr>
            <w:tcW w:w="1468" w:type="dxa"/>
            <w:tcBorders/>
            <w:vAlign w:val="center"/>
          </w:tcPr>
          <w:p>
            <w:pPr>
              <w:pStyle w:val="Normal"/>
              <w:jc w:val="center"/>
              <w:rPr/>
            </w:pPr>
            <w:r>
              <w:rPr/>
            </w:r>
          </w:p>
        </w:tc>
        <w:tc>
          <w:tcPr>
            <w:tcW w:w="1508" w:type="dxa"/>
            <w:tcBorders/>
            <w:vAlign w:val="center"/>
          </w:tcPr>
          <w:p>
            <w:pPr>
              <w:pStyle w:val="Normal"/>
              <w:jc w:val="center"/>
              <w:rPr/>
            </w:pPr>
            <w:r>
              <w:rPr/>
            </w:r>
          </w:p>
        </w:tc>
        <w:tc>
          <w:tcPr>
            <w:tcW w:w="1668" w:type="dxa"/>
            <w:tcBorders/>
            <w:vAlign w:val="center"/>
          </w:tcPr>
          <w:p>
            <w:pPr>
              <w:pStyle w:val="Normal"/>
              <w:jc w:val="center"/>
              <w:rPr/>
            </w:pPr>
            <w:r>
              <w:rPr>
                <w:sz w:val="17"/>
                <w:szCs w:val="17"/>
              </w:rPr>
              <w:t>−</w:t>
            </w:r>
            <w:r>
              <w:rPr>
                <w:sz w:val="17"/>
                <w:szCs w:val="17"/>
              </w:rPr>
              <w:t>0.129</w:t>
            </w:r>
          </w:p>
        </w:tc>
        <w:tc>
          <w:tcPr>
            <w:tcW w:w="1717" w:type="dxa"/>
            <w:tcBorders/>
            <w:vAlign w:val="center"/>
          </w:tcPr>
          <w:p>
            <w:pPr>
              <w:pStyle w:val="Normal"/>
              <w:jc w:val="center"/>
              <w:rPr/>
            </w:pPr>
            <w:r>
              <w:rPr/>
            </w:r>
          </w:p>
        </w:tc>
        <w:tc>
          <w:tcPr>
            <w:tcW w:w="1372" w:type="dxa"/>
            <w:tcBorders/>
            <w:vAlign w:val="center"/>
          </w:tcPr>
          <w:p>
            <w:pPr>
              <w:pStyle w:val="Normal"/>
              <w:jc w:val="center"/>
              <w:rPr/>
            </w:pPr>
            <w:r>
              <w:rPr/>
            </w:r>
          </w:p>
        </w:tc>
      </w:tr>
      <w:tr>
        <w:trPr/>
        <w:tc>
          <w:tcPr>
            <w:tcW w:w="1627" w:type="dxa"/>
            <w:tcBorders/>
            <w:tcMar>
              <w:start w:w="100" w:type="dxa"/>
            </w:tcMar>
            <w:vAlign w:val="center"/>
          </w:tcPr>
          <w:p>
            <w:pPr>
              <w:pStyle w:val="Normal"/>
              <w:jc w:val="center"/>
              <w:rPr/>
            </w:pPr>
            <w:r>
              <w:rPr/>
            </w:r>
          </w:p>
        </w:tc>
        <w:tc>
          <w:tcPr>
            <w:tcW w:w="1468" w:type="dxa"/>
            <w:tcBorders/>
            <w:vAlign w:val="center"/>
          </w:tcPr>
          <w:p>
            <w:pPr>
              <w:pStyle w:val="Normal"/>
              <w:jc w:val="center"/>
              <w:rPr/>
            </w:pPr>
            <w:r>
              <w:rPr/>
            </w:r>
          </w:p>
        </w:tc>
        <w:tc>
          <w:tcPr>
            <w:tcW w:w="1508" w:type="dxa"/>
            <w:tcBorders/>
            <w:vAlign w:val="center"/>
          </w:tcPr>
          <w:p>
            <w:pPr>
              <w:pStyle w:val="Normal"/>
              <w:jc w:val="center"/>
              <w:rPr/>
            </w:pPr>
            <w:r>
              <w:rPr/>
            </w:r>
          </w:p>
        </w:tc>
        <w:tc>
          <w:tcPr>
            <w:tcW w:w="1668" w:type="dxa"/>
            <w:tcBorders/>
            <w:vAlign w:val="center"/>
          </w:tcPr>
          <w:p>
            <w:pPr>
              <w:pStyle w:val="Normal"/>
              <w:jc w:val="center"/>
              <w:rPr/>
            </w:pPr>
            <w:r>
              <w:rPr>
                <w:sz w:val="16"/>
                <w:szCs w:val="16"/>
              </w:rPr>
              <w:t>(0.876)</w:t>
            </w:r>
          </w:p>
        </w:tc>
        <w:tc>
          <w:tcPr>
            <w:tcW w:w="1717" w:type="dxa"/>
            <w:tcBorders/>
            <w:vAlign w:val="center"/>
          </w:tcPr>
          <w:p>
            <w:pPr>
              <w:pStyle w:val="Normal"/>
              <w:jc w:val="center"/>
              <w:rPr/>
            </w:pPr>
            <w:r>
              <w:rPr/>
            </w:r>
          </w:p>
        </w:tc>
        <w:tc>
          <w:tcPr>
            <w:tcW w:w="1372" w:type="dxa"/>
            <w:tcBorders/>
            <w:vAlign w:val="center"/>
          </w:tcPr>
          <w:p>
            <w:pPr>
              <w:pStyle w:val="Normal"/>
              <w:jc w:val="center"/>
              <w:rPr/>
            </w:pPr>
            <w:r>
              <w:rPr/>
            </w:r>
          </w:p>
        </w:tc>
      </w:tr>
      <w:tr>
        <w:trPr/>
        <w:tc>
          <w:tcPr>
            <w:tcW w:w="1627" w:type="dxa"/>
            <w:tcBorders/>
            <w:tcMar>
              <w:start w:w="100" w:type="dxa"/>
            </w:tcMar>
            <w:vAlign w:val="center"/>
          </w:tcPr>
          <w:p>
            <w:pPr>
              <w:pStyle w:val="Normal"/>
              <w:jc w:val="center"/>
              <w:rPr/>
            </w:pPr>
            <w:r>
              <w:rPr>
                <w:i/>
                <w:iCs/>
                <w:sz w:val="17"/>
                <w:szCs w:val="17"/>
              </w:rPr>
              <w:t>IT Intensity</w:t>
            </w:r>
          </w:p>
        </w:tc>
        <w:tc>
          <w:tcPr>
            <w:tcW w:w="1468" w:type="dxa"/>
            <w:tcBorders/>
            <w:vAlign w:val="center"/>
          </w:tcPr>
          <w:p>
            <w:pPr>
              <w:pStyle w:val="Normal"/>
              <w:jc w:val="center"/>
              <w:rPr/>
            </w:pPr>
            <w:r>
              <w:rPr/>
            </w:r>
          </w:p>
        </w:tc>
        <w:tc>
          <w:tcPr>
            <w:tcW w:w="1508" w:type="dxa"/>
            <w:tcBorders/>
            <w:vAlign w:val="center"/>
          </w:tcPr>
          <w:p>
            <w:pPr>
              <w:pStyle w:val="Normal"/>
              <w:jc w:val="center"/>
              <w:rPr/>
            </w:pPr>
            <w:r>
              <w:rPr/>
            </w:r>
          </w:p>
        </w:tc>
        <w:tc>
          <w:tcPr>
            <w:tcW w:w="1668" w:type="dxa"/>
            <w:tcBorders/>
            <w:vAlign w:val="center"/>
          </w:tcPr>
          <w:p>
            <w:pPr>
              <w:pStyle w:val="Normal"/>
              <w:jc w:val="center"/>
              <w:rPr/>
            </w:pPr>
            <w:r>
              <w:rPr/>
            </w:r>
          </w:p>
        </w:tc>
        <w:tc>
          <w:tcPr>
            <w:tcW w:w="1717" w:type="dxa"/>
            <w:tcBorders/>
            <w:vAlign w:val="center"/>
          </w:tcPr>
          <w:p>
            <w:pPr>
              <w:pStyle w:val="Normal"/>
              <w:jc w:val="center"/>
              <w:rPr/>
            </w:pPr>
            <w:r>
              <w:rPr>
                <w:sz w:val="17"/>
                <w:szCs w:val="17"/>
              </w:rPr>
              <w:t>−</w:t>
            </w:r>
            <w:r>
              <w:rPr>
                <w:sz w:val="17"/>
                <w:szCs w:val="17"/>
              </w:rPr>
              <w:t>0.005***</w:t>
            </w:r>
          </w:p>
        </w:tc>
        <w:tc>
          <w:tcPr>
            <w:tcW w:w="1372" w:type="dxa"/>
            <w:tcBorders/>
            <w:vAlign w:val="center"/>
          </w:tcPr>
          <w:p>
            <w:pPr>
              <w:pStyle w:val="Normal"/>
              <w:jc w:val="center"/>
              <w:rPr/>
            </w:pPr>
            <w:r>
              <w:rPr/>
            </w:r>
          </w:p>
        </w:tc>
      </w:tr>
      <w:tr>
        <w:trPr/>
        <w:tc>
          <w:tcPr>
            <w:tcW w:w="1627" w:type="dxa"/>
            <w:tcBorders/>
            <w:tcMar>
              <w:start w:w="100" w:type="dxa"/>
            </w:tcMar>
            <w:vAlign w:val="center"/>
          </w:tcPr>
          <w:p>
            <w:pPr>
              <w:pStyle w:val="Normal"/>
              <w:jc w:val="center"/>
              <w:rPr/>
            </w:pPr>
            <w:r>
              <w:rPr/>
            </w:r>
          </w:p>
        </w:tc>
        <w:tc>
          <w:tcPr>
            <w:tcW w:w="1468" w:type="dxa"/>
            <w:tcBorders/>
            <w:vAlign w:val="center"/>
          </w:tcPr>
          <w:p>
            <w:pPr>
              <w:pStyle w:val="Normal"/>
              <w:jc w:val="center"/>
              <w:rPr/>
            </w:pPr>
            <w:r>
              <w:rPr/>
            </w:r>
          </w:p>
        </w:tc>
        <w:tc>
          <w:tcPr>
            <w:tcW w:w="1508" w:type="dxa"/>
            <w:tcBorders/>
            <w:vAlign w:val="center"/>
          </w:tcPr>
          <w:p>
            <w:pPr>
              <w:pStyle w:val="Normal"/>
              <w:jc w:val="center"/>
              <w:rPr/>
            </w:pPr>
            <w:r>
              <w:rPr/>
            </w:r>
          </w:p>
        </w:tc>
        <w:tc>
          <w:tcPr>
            <w:tcW w:w="1668" w:type="dxa"/>
            <w:tcBorders/>
            <w:vAlign w:val="center"/>
          </w:tcPr>
          <w:p>
            <w:pPr>
              <w:pStyle w:val="Normal"/>
              <w:jc w:val="center"/>
              <w:rPr/>
            </w:pPr>
            <w:r>
              <w:rPr/>
            </w:r>
          </w:p>
        </w:tc>
        <w:tc>
          <w:tcPr>
            <w:tcW w:w="1717" w:type="dxa"/>
            <w:tcBorders/>
            <w:vAlign w:val="center"/>
          </w:tcPr>
          <w:p>
            <w:pPr>
              <w:pStyle w:val="Normal"/>
              <w:jc w:val="center"/>
              <w:rPr/>
            </w:pPr>
            <w:r>
              <w:rPr>
                <w:sz w:val="16"/>
                <w:szCs w:val="16"/>
              </w:rPr>
              <w:t>(0.002)</w:t>
            </w:r>
          </w:p>
        </w:tc>
        <w:tc>
          <w:tcPr>
            <w:tcW w:w="1372" w:type="dxa"/>
            <w:tcBorders/>
            <w:vAlign w:val="center"/>
          </w:tcPr>
          <w:p>
            <w:pPr>
              <w:pStyle w:val="Normal"/>
              <w:jc w:val="center"/>
              <w:rPr/>
            </w:pPr>
            <w:r>
              <w:rPr/>
            </w:r>
          </w:p>
        </w:tc>
      </w:tr>
      <w:tr>
        <w:trPr/>
        <w:tc>
          <w:tcPr>
            <w:tcW w:w="1627" w:type="dxa"/>
            <w:tcBorders/>
            <w:tcMar>
              <w:start w:w="100" w:type="dxa"/>
            </w:tcMar>
            <w:vAlign w:val="center"/>
          </w:tcPr>
          <w:p>
            <w:pPr>
              <w:pStyle w:val="Normal"/>
              <w:jc w:val="center"/>
              <w:rPr/>
            </w:pPr>
            <w:r>
              <w:rPr>
                <w:sz w:val="17"/>
                <w:szCs w:val="17"/>
              </w:rPr>
              <w:t>EU×Year FE</w:t>
            </w:r>
          </w:p>
        </w:tc>
        <w:tc>
          <w:tcPr>
            <w:tcW w:w="1468" w:type="dxa"/>
            <w:tcBorders/>
            <w:vAlign w:val="center"/>
          </w:tcPr>
          <w:p>
            <w:pPr>
              <w:pStyle w:val="Normal"/>
              <w:jc w:val="center"/>
              <w:rPr/>
            </w:pPr>
            <w:r>
              <w:rPr>
                <w:sz w:val="17"/>
                <w:szCs w:val="17"/>
              </w:rPr>
              <w:t>Yes</w:t>
            </w:r>
          </w:p>
        </w:tc>
        <w:tc>
          <w:tcPr>
            <w:tcW w:w="1508" w:type="dxa"/>
            <w:tcBorders/>
            <w:vAlign w:val="center"/>
          </w:tcPr>
          <w:p>
            <w:pPr>
              <w:pStyle w:val="Normal"/>
              <w:jc w:val="center"/>
              <w:rPr/>
            </w:pPr>
            <w:r>
              <w:rPr>
                <w:sz w:val="17"/>
                <w:szCs w:val="17"/>
              </w:rPr>
              <w:t>Yes</w:t>
            </w:r>
          </w:p>
        </w:tc>
        <w:tc>
          <w:tcPr>
            <w:tcW w:w="1668" w:type="dxa"/>
            <w:tcBorders/>
            <w:vAlign w:val="center"/>
          </w:tcPr>
          <w:p>
            <w:pPr>
              <w:pStyle w:val="Normal"/>
              <w:jc w:val="center"/>
              <w:rPr/>
            </w:pPr>
            <w:r>
              <w:rPr>
                <w:sz w:val="17"/>
                <w:szCs w:val="17"/>
              </w:rPr>
              <w:t>Yes</w:t>
            </w:r>
          </w:p>
        </w:tc>
        <w:tc>
          <w:tcPr>
            <w:tcW w:w="1717" w:type="dxa"/>
            <w:tcBorders/>
            <w:vAlign w:val="center"/>
          </w:tcPr>
          <w:p>
            <w:pPr>
              <w:pStyle w:val="Normal"/>
              <w:jc w:val="center"/>
              <w:rPr/>
            </w:pPr>
            <w:r>
              <w:rPr>
                <w:sz w:val="17"/>
                <w:szCs w:val="17"/>
              </w:rPr>
              <w:t>Yes</w:t>
            </w:r>
          </w:p>
        </w:tc>
        <w:tc>
          <w:tcPr>
            <w:tcW w:w="1372" w:type="dxa"/>
            <w:tcBorders/>
            <w:vAlign w:val="center"/>
          </w:tcPr>
          <w:p>
            <w:pPr>
              <w:pStyle w:val="Normal"/>
              <w:jc w:val="center"/>
              <w:rPr/>
            </w:pPr>
            <w:r>
              <w:rPr>
                <w:sz w:val="17"/>
                <w:szCs w:val="17"/>
              </w:rPr>
              <w:t>Yes</w:t>
            </w:r>
          </w:p>
        </w:tc>
      </w:tr>
      <w:tr>
        <w:trPr/>
        <w:tc>
          <w:tcPr>
            <w:tcW w:w="1627" w:type="dxa"/>
            <w:tcBorders/>
            <w:tcMar>
              <w:start w:w="100" w:type="dxa"/>
            </w:tcMar>
            <w:vAlign w:val="center"/>
          </w:tcPr>
          <w:p>
            <w:pPr>
              <w:pStyle w:val="Normal"/>
              <w:jc w:val="center"/>
              <w:rPr/>
            </w:pPr>
            <w:r>
              <w:rPr>
                <w:sz w:val="17"/>
                <w:szCs w:val="17"/>
              </w:rPr>
              <w:t>ACP Country FE</w:t>
            </w:r>
          </w:p>
        </w:tc>
        <w:tc>
          <w:tcPr>
            <w:tcW w:w="1468" w:type="dxa"/>
            <w:tcBorders/>
            <w:vAlign w:val="center"/>
          </w:tcPr>
          <w:p>
            <w:pPr>
              <w:pStyle w:val="Normal"/>
              <w:jc w:val="center"/>
              <w:rPr/>
            </w:pPr>
            <w:r>
              <w:rPr>
                <w:sz w:val="17"/>
                <w:szCs w:val="17"/>
              </w:rPr>
              <w:t>Yes</w:t>
            </w:r>
          </w:p>
        </w:tc>
        <w:tc>
          <w:tcPr>
            <w:tcW w:w="1508" w:type="dxa"/>
            <w:tcBorders/>
            <w:vAlign w:val="center"/>
          </w:tcPr>
          <w:p>
            <w:pPr>
              <w:pStyle w:val="Normal"/>
              <w:jc w:val="center"/>
              <w:rPr/>
            </w:pPr>
            <w:r>
              <w:rPr>
                <w:sz w:val="17"/>
                <w:szCs w:val="17"/>
              </w:rPr>
              <w:t>Yes</w:t>
            </w:r>
          </w:p>
        </w:tc>
        <w:tc>
          <w:tcPr>
            <w:tcW w:w="1668" w:type="dxa"/>
            <w:tcBorders/>
            <w:vAlign w:val="center"/>
          </w:tcPr>
          <w:p>
            <w:pPr>
              <w:pStyle w:val="Normal"/>
              <w:jc w:val="center"/>
              <w:rPr/>
            </w:pPr>
            <w:r>
              <w:rPr>
                <w:sz w:val="17"/>
                <w:szCs w:val="17"/>
              </w:rPr>
              <w:t>Yes</w:t>
            </w:r>
          </w:p>
        </w:tc>
        <w:tc>
          <w:tcPr>
            <w:tcW w:w="1717" w:type="dxa"/>
            <w:tcBorders/>
            <w:vAlign w:val="center"/>
          </w:tcPr>
          <w:p>
            <w:pPr>
              <w:pStyle w:val="Normal"/>
              <w:jc w:val="center"/>
              <w:rPr/>
            </w:pPr>
            <w:r>
              <w:rPr>
                <w:sz w:val="17"/>
                <w:szCs w:val="17"/>
              </w:rPr>
              <w:t>Yes</w:t>
            </w:r>
          </w:p>
        </w:tc>
        <w:tc>
          <w:tcPr>
            <w:tcW w:w="1372" w:type="dxa"/>
            <w:tcBorders/>
            <w:vAlign w:val="center"/>
          </w:tcPr>
          <w:p>
            <w:pPr>
              <w:pStyle w:val="Normal"/>
              <w:jc w:val="center"/>
              <w:rPr/>
            </w:pPr>
            <w:r>
              <w:rPr>
                <w:sz w:val="17"/>
                <w:szCs w:val="17"/>
              </w:rPr>
              <w:t>Yes</w:t>
            </w:r>
          </w:p>
        </w:tc>
      </w:tr>
      <w:tr>
        <w:trPr/>
        <w:tc>
          <w:tcPr>
            <w:tcW w:w="1627" w:type="dxa"/>
            <w:tcBorders/>
            <w:tcMar>
              <w:start w:w="100" w:type="dxa"/>
            </w:tcMar>
            <w:vAlign w:val="center"/>
          </w:tcPr>
          <w:p>
            <w:pPr>
              <w:pStyle w:val="Normal"/>
              <w:jc w:val="center"/>
              <w:rPr/>
            </w:pPr>
            <w:r>
              <w:rPr>
                <w:sz w:val="17"/>
                <w:szCs w:val="17"/>
              </w:rPr>
              <w:t>Year FE</w:t>
            </w:r>
          </w:p>
        </w:tc>
        <w:tc>
          <w:tcPr>
            <w:tcW w:w="1468" w:type="dxa"/>
            <w:tcBorders/>
            <w:vAlign w:val="center"/>
          </w:tcPr>
          <w:p>
            <w:pPr>
              <w:pStyle w:val="Normal"/>
              <w:jc w:val="center"/>
              <w:rPr/>
            </w:pPr>
            <w:r>
              <w:rPr>
                <w:sz w:val="17"/>
                <w:szCs w:val="17"/>
              </w:rPr>
              <w:t>Yes</w:t>
            </w:r>
          </w:p>
        </w:tc>
        <w:tc>
          <w:tcPr>
            <w:tcW w:w="1508" w:type="dxa"/>
            <w:tcBorders/>
            <w:vAlign w:val="center"/>
          </w:tcPr>
          <w:p>
            <w:pPr>
              <w:pStyle w:val="Normal"/>
              <w:jc w:val="center"/>
              <w:rPr/>
            </w:pPr>
            <w:r>
              <w:rPr>
                <w:sz w:val="17"/>
                <w:szCs w:val="17"/>
              </w:rPr>
              <w:t>Yes</w:t>
            </w:r>
          </w:p>
        </w:tc>
        <w:tc>
          <w:tcPr>
            <w:tcW w:w="1668" w:type="dxa"/>
            <w:tcBorders/>
            <w:vAlign w:val="center"/>
          </w:tcPr>
          <w:p>
            <w:pPr>
              <w:pStyle w:val="Normal"/>
              <w:jc w:val="center"/>
              <w:rPr/>
            </w:pPr>
            <w:r>
              <w:rPr>
                <w:sz w:val="17"/>
                <w:szCs w:val="17"/>
              </w:rPr>
              <w:t>Yes</w:t>
            </w:r>
          </w:p>
        </w:tc>
        <w:tc>
          <w:tcPr>
            <w:tcW w:w="1717" w:type="dxa"/>
            <w:tcBorders/>
            <w:vAlign w:val="center"/>
          </w:tcPr>
          <w:p>
            <w:pPr>
              <w:pStyle w:val="Normal"/>
              <w:jc w:val="center"/>
              <w:rPr/>
            </w:pPr>
            <w:r>
              <w:rPr>
                <w:sz w:val="17"/>
                <w:szCs w:val="17"/>
              </w:rPr>
              <w:t>Yes</w:t>
            </w:r>
          </w:p>
        </w:tc>
        <w:tc>
          <w:tcPr>
            <w:tcW w:w="1372" w:type="dxa"/>
            <w:tcBorders/>
            <w:vAlign w:val="center"/>
          </w:tcPr>
          <w:p>
            <w:pPr>
              <w:pStyle w:val="Normal"/>
              <w:jc w:val="center"/>
              <w:rPr/>
            </w:pPr>
            <w:r>
              <w:rPr>
                <w:sz w:val="17"/>
                <w:szCs w:val="17"/>
              </w:rPr>
              <w:t>Yes</w:t>
            </w:r>
          </w:p>
        </w:tc>
      </w:tr>
      <w:tr>
        <w:trPr/>
        <w:tc>
          <w:tcPr>
            <w:tcW w:w="1627" w:type="dxa"/>
            <w:tcBorders>
              <w:top w:val="single" w:sz="4" w:space="0" w:color="000000"/>
            </w:tcBorders>
            <w:tcMar>
              <w:start w:w="100" w:type="dxa"/>
            </w:tcMar>
            <w:vAlign w:val="center"/>
          </w:tcPr>
          <w:p>
            <w:pPr>
              <w:pStyle w:val="Normal"/>
              <w:jc w:val="center"/>
              <w:rPr/>
            </w:pPr>
            <w:r>
              <w:rPr>
                <w:sz w:val="17"/>
                <w:szCs w:val="17"/>
              </w:rPr>
              <w:t>Observations</w:t>
            </w:r>
          </w:p>
        </w:tc>
        <w:tc>
          <w:tcPr>
            <w:tcW w:w="1468" w:type="dxa"/>
            <w:tcBorders>
              <w:top w:val="single" w:sz="4" w:space="0" w:color="000000"/>
            </w:tcBorders>
            <w:vAlign w:val="center"/>
          </w:tcPr>
          <w:p>
            <w:pPr>
              <w:pStyle w:val="Normal"/>
              <w:jc w:val="center"/>
              <w:rPr/>
            </w:pPr>
            <w:r>
              <w:rPr>
                <w:sz w:val="17"/>
                <w:szCs w:val="17"/>
              </w:rPr>
              <w:t>48,181</w:t>
            </w:r>
          </w:p>
        </w:tc>
        <w:tc>
          <w:tcPr>
            <w:tcW w:w="1508" w:type="dxa"/>
            <w:tcBorders>
              <w:top w:val="single" w:sz="4" w:space="0" w:color="000000"/>
            </w:tcBorders>
            <w:vAlign w:val="center"/>
          </w:tcPr>
          <w:p>
            <w:pPr>
              <w:pStyle w:val="Normal"/>
              <w:jc w:val="center"/>
              <w:rPr/>
            </w:pPr>
            <w:r>
              <w:rPr>
                <w:sz w:val="17"/>
                <w:szCs w:val="17"/>
              </w:rPr>
              <w:t>47,633</w:t>
            </w:r>
          </w:p>
        </w:tc>
        <w:tc>
          <w:tcPr>
            <w:tcW w:w="1668" w:type="dxa"/>
            <w:tcBorders>
              <w:top w:val="single" w:sz="4" w:space="0" w:color="000000"/>
            </w:tcBorders>
            <w:vAlign w:val="center"/>
          </w:tcPr>
          <w:p>
            <w:pPr>
              <w:pStyle w:val="Normal"/>
              <w:jc w:val="center"/>
              <w:rPr/>
            </w:pPr>
            <w:r>
              <w:rPr>
                <w:sz w:val="17"/>
                <w:szCs w:val="17"/>
              </w:rPr>
              <w:t>47,633</w:t>
            </w:r>
          </w:p>
        </w:tc>
        <w:tc>
          <w:tcPr>
            <w:tcW w:w="1717" w:type="dxa"/>
            <w:tcBorders>
              <w:top w:val="single" w:sz="4" w:space="0" w:color="000000"/>
            </w:tcBorders>
            <w:vAlign w:val="center"/>
          </w:tcPr>
          <w:p>
            <w:pPr>
              <w:pStyle w:val="Normal"/>
              <w:jc w:val="center"/>
              <w:rPr/>
            </w:pPr>
            <w:r>
              <w:rPr>
                <w:sz w:val="17"/>
                <w:szCs w:val="17"/>
              </w:rPr>
              <w:t>47,278</w:t>
            </w:r>
          </w:p>
        </w:tc>
        <w:tc>
          <w:tcPr>
            <w:tcW w:w="1372" w:type="dxa"/>
            <w:tcBorders>
              <w:top w:val="single" w:sz="4" w:space="0" w:color="000000"/>
            </w:tcBorders>
            <w:vAlign w:val="center"/>
          </w:tcPr>
          <w:p>
            <w:pPr>
              <w:pStyle w:val="Normal"/>
              <w:jc w:val="center"/>
              <w:rPr/>
            </w:pPr>
            <w:r>
              <w:rPr>
                <w:sz w:val="17"/>
                <w:szCs w:val="17"/>
              </w:rPr>
              <w:t>44,269</w:t>
            </w:r>
          </w:p>
        </w:tc>
      </w:tr>
      <w:tr>
        <w:trPr/>
        <w:tc>
          <w:tcPr>
            <w:tcW w:w="1627" w:type="dxa"/>
            <w:tcBorders>
              <w:bottom w:val="single" w:sz="8" w:space="0" w:color="000000"/>
            </w:tcBorders>
            <w:tcMar>
              <w:start w:w="100" w:type="dxa"/>
            </w:tcMar>
            <w:vAlign w:val="center"/>
          </w:tcPr>
          <w:p>
            <w:pPr>
              <w:pStyle w:val="Normal"/>
              <w:jc w:val="center"/>
              <w:rPr/>
            </w:pPr>
            <w:r>
              <w:rPr>
                <w:sz w:val="17"/>
                <w:szCs w:val="17"/>
              </w:rPr>
              <w:t>R²</w:t>
            </w:r>
          </w:p>
        </w:tc>
        <w:tc>
          <w:tcPr>
            <w:tcW w:w="1468" w:type="dxa"/>
            <w:tcBorders>
              <w:bottom w:val="single" w:sz="8" w:space="0" w:color="000000"/>
            </w:tcBorders>
            <w:vAlign w:val="center"/>
          </w:tcPr>
          <w:p>
            <w:pPr>
              <w:pStyle w:val="Normal"/>
              <w:jc w:val="center"/>
              <w:rPr/>
            </w:pPr>
            <w:r>
              <w:rPr/>
            </w:r>
          </w:p>
        </w:tc>
        <w:tc>
          <w:tcPr>
            <w:tcW w:w="1508" w:type="dxa"/>
            <w:tcBorders>
              <w:bottom w:val="single" w:sz="8" w:space="0" w:color="000000"/>
            </w:tcBorders>
            <w:vAlign w:val="center"/>
          </w:tcPr>
          <w:p>
            <w:pPr>
              <w:pStyle w:val="Normal"/>
              <w:jc w:val="center"/>
              <w:rPr/>
            </w:pPr>
            <w:r>
              <w:rPr/>
            </w:r>
          </w:p>
        </w:tc>
        <w:tc>
          <w:tcPr>
            <w:tcW w:w="1668" w:type="dxa"/>
            <w:tcBorders>
              <w:bottom w:val="single" w:sz="8" w:space="0" w:color="000000"/>
            </w:tcBorders>
            <w:vAlign w:val="center"/>
          </w:tcPr>
          <w:p>
            <w:pPr>
              <w:pStyle w:val="Normal"/>
              <w:jc w:val="center"/>
              <w:rPr/>
            </w:pPr>
            <w:r>
              <w:rPr/>
            </w:r>
          </w:p>
        </w:tc>
        <w:tc>
          <w:tcPr>
            <w:tcW w:w="1717" w:type="dxa"/>
            <w:tcBorders>
              <w:bottom w:val="single" w:sz="8" w:space="0" w:color="000000"/>
            </w:tcBorders>
            <w:vAlign w:val="center"/>
          </w:tcPr>
          <w:p>
            <w:pPr>
              <w:pStyle w:val="Normal"/>
              <w:jc w:val="center"/>
              <w:rPr/>
            </w:pPr>
            <w:r>
              <w:rPr/>
            </w:r>
          </w:p>
        </w:tc>
        <w:tc>
          <w:tcPr>
            <w:tcW w:w="1372" w:type="dxa"/>
            <w:tcBorders>
              <w:bottom w:val="single" w:sz="8" w:space="0" w:color="000000"/>
            </w:tcBorders>
            <w:vAlign w:val="center"/>
          </w:tcPr>
          <w:p>
            <w:pPr>
              <w:pStyle w:val="Normal"/>
              <w:jc w:val="center"/>
              <w:rPr/>
            </w:pPr>
            <w:r>
              <w:rPr>
                <w:sz w:val="17"/>
                <w:szCs w:val="17"/>
              </w:rPr>
              <w:t>0.763</w:t>
            </w:r>
          </w:p>
        </w:tc>
      </w:tr>
    </w:tbl>
    <w:p>
      <w:pPr>
        <w:pStyle w:val="Normal"/>
        <w:spacing w:before="40" w:after="40"/>
        <w:rPr/>
      </w:pPr>
      <w:r>
        <w:rPr>
          <w:sz w:val="18"/>
          <w:szCs w:val="18"/>
        </w:rPr>
        <w:t>Notes: Pair-level clustered standard errors in parentheses. *** p &lt; 0.01, ** p &lt; 0.05, * p &lt; 0.10. Panel: 78 ACP countries × EU-27+UK (GBR through 2020) × 1995–2021. Columns (1)–(4): PPML; column (5): log-linear OLS, zero-trade pairs excluded. EAC EPA indicator is zero throughout the sample period. In column (3), the EPA main effect applies at IT share = 0, which lies outside the observed data; recentering IT share at its sample mean yields a net EPA effect of −0.017 (s.e. 0.050).</w:t>
      </w:r>
    </w:p>
    <w:p>
      <w:pPr>
        <w:pStyle w:val="Normal"/>
        <w:spacing w:before="320" w:after="80"/>
        <w:rPr/>
      </w:pPr>
      <w:r>
        <w:rPr>
          <w:b/>
          <w:bCs/>
          <w:sz w:val="22"/>
          <w:szCs w:val="22"/>
        </w:rPr>
        <w:t>Table 2: Predicted Trade Differences at Representative IT Share Levels</w:t>
      </w:r>
    </w:p>
    <w:tbl>
      <w:tblPr>
        <w:tblW w:w="9360" w:type="dxa"/>
        <w:jc w:val="start"/>
        <w:tblInd w:w="0" w:type="dxa"/>
        <w:tblLayout w:type="fixed"/>
        <w:tblCellMar>
          <w:top w:w="36" w:type="dxa"/>
          <w:start w:w="80" w:type="dxa"/>
          <w:bottom w:w="36" w:type="dxa"/>
          <w:end w:w="50" w:type="dxa"/>
        </w:tblCellMar>
        <w:tblLook w:val="0000" w:firstRow="0" w:noVBand="0" w:lastRow="0" w:firstColumn="0" w:lastColumn="0" w:noHBand="0"/>
      </w:tblPr>
      <w:tblGrid>
        <w:gridCol w:w="3470"/>
        <w:gridCol w:w="1356"/>
        <w:gridCol w:w="2738"/>
        <w:gridCol w:w="1796"/>
      </w:tblGrid>
      <w:tr>
        <w:trPr/>
        <w:tc>
          <w:tcPr>
            <w:tcW w:w="3470" w:type="dxa"/>
            <w:tcBorders>
              <w:top w:val="single" w:sz="8" w:space="0" w:color="000000"/>
              <w:bottom w:val="single" w:sz="4" w:space="0" w:color="000000"/>
            </w:tcBorders>
            <w:vAlign w:val="center"/>
          </w:tcPr>
          <w:p>
            <w:pPr>
              <w:pStyle w:val="Normal"/>
              <w:jc w:val="center"/>
              <w:rPr/>
            </w:pPr>
            <w:r>
              <w:rPr>
                <w:b/>
                <w:bCs/>
                <w:sz w:val="17"/>
                <w:szCs w:val="17"/>
              </w:rPr>
              <w:t>Evaluation Point</w:t>
            </w:r>
          </w:p>
        </w:tc>
        <w:tc>
          <w:tcPr>
            <w:tcW w:w="1356" w:type="dxa"/>
            <w:tcBorders>
              <w:top w:val="single" w:sz="8" w:space="0" w:color="000000"/>
              <w:bottom w:val="single" w:sz="4" w:space="0" w:color="000000"/>
            </w:tcBorders>
            <w:vAlign w:val="center"/>
          </w:tcPr>
          <w:p>
            <w:pPr>
              <w:pStyle w:val="Normal"/>
              <w:jc w:val="center"/>
              <w:rPr/>
            </w:pPr>
            <w:r>
              <w:rPr>
                <w:b/>
                <w:bCs/>
                <w:sz w:val="17"/>
                <w:szCs w:val="17"/>
              </w:rPr>
              <w:t>IT Share</w:t>
            </w:r>
          </w:p>
        </w:tc>
        <w:tc>
          <w:tcPr>
            <w:tcW w:w="2738" w:type="dxa"/>
            <w:tcBorders>
              <w:top w:val="single" w:sz="8" w:space="0" w:color="000000"/>
              <w:bottom w:val="single" w:sz="4" w:space="0" w:color="000000"/>
            </w:tcBorders>
            <w:vAlign w:val="center"/>
          </w:tcPr>
          <w:p>
            <w:pPr>
              <w:pStyle w:val="Normal"/>
              <w:jc w:val="center"/>
              <w:rPr/>
            </w:pPr>
            <w:r>
              <w:rPr>
                <w:b/>
                <w:bCs/>
                <w:sz w:val="17"/>
                <w:szCs w:val="17"/>
              </w:rPr>
              <w:t>% Change in Trade</w:t>
            </w:r>
          </w:p>
        </w:tc>
        <w:tc>
          <w:tcPr>
            <w:tcW w:w="1796" w:type="dxa"/>
            <w:tcBorders>
              <w:top w:val="single" w:sz="8" w:space="0" w:color="000000"/>
              <w:bottom w:val="single" w:sz="4" w:space="0" w:color="000000"/>
            </w:tcBorders>
            <w:vAlign w:val="center"/>
          </w:tcPr>
          <w:p>
            <w:pPr>
              <w:pStyle w:val="Normal"/>
              <w:jc w:val="center"/>
              <w:rPr/>
            </w:pPr>
            <w:r>
              <w:rPr>
                <w:b/>
                <w:bCs/>
                <w:sz w:val="17"/>
                <w:szCs w:val="17"/>
              </w:rPr>
              <w:t>95% CI</w:t>
            </w:r>
          </w:p>
        </w:tc>
      </w:tr>
      <w:tr>
        <w:trPr/>
        <w:tc>
          <w:tcPr>
            <w:tcW w:w="3470" w:type="dxa"/>
            <w:tcBorders/>
            <w:tcMar>
              <w:start w:w="100" w:type="dxa"/>
            </w:tcMar>
            <w:vAlign w:val="center"/>
          </w:tcPr>
          <w:p>
            <w:pPr>
              <w:pStyle w:val="Normal"/>
              <w:jc w:val="center"/>
              <w:rPr/>
            </w:pPr>
            <w:r>
              <w:rPr>
                <w:sz w:val="17"/>
                <w:szCs w:val="17"/>
              </w:rPr>
              <w:t>10th percentile</w:t>
            </w:r>
          </w:p>
        </w:tc>
        <w:tc>
          <w:tcPr>
            <w:tcW w:w="1356" w:type="dxa"/>
            <w:tcBorders/>
            <w:vAlign w:val="center"/>
          </w:tcPr>
          <w:p>
            <w:pPr>
              <w:pStyle w:val="Normal"/>
              <w:jc w:val="center"/>
              <w:rPr/>
            </w:pPr>
            <w:r>
              <w:rPr>
                <w:sz w:val="17"/>
                <w:szCs w:val="17"/>
              </w:rPr>
              <w:t>0.005</w:t>
            </w:r>
          </w:p>
        </w:tc>
        <w:tc>
          <w:tcPr>
            <w:tcW w:w="2738" w:type="dxa"/>
            <w:tcBorders/>
            <w:vAlign w:val="center"/>
          </w:tcPr>
          <w:p>
            <w:pPr>
              <w:pStyle w:val="Normal"/>
              <w:jc w:val="center"/>
              <w:rPr/>
            </w:pPr>
            <w:r>
              <w:rPr>
                <w:sz w:val="17"/>
                <w:szCs w:val="17"/>
              </w:rPr>
              <w:t>−</w:t>
            </w:r>
            <w:r>
              <w:rPr>
                <w:sz w:val="17"/>
                <w:szCs w:val="17"/>
              </w:rPr>
              <w:t>0.2%</w:t>
            </w:r>
          </w:p>
        </w:tc>
        <w:tc>
          <w:tcPr>
            <w:tcW w:w="1796" w:type="dxa"/>
            <w:tcBorders/>
            <w:vAlign w:val="center"/>
          </w:tcPr>
          <w:p>
            <w:pPr>
              <w:pStyle w:val="Normal"/>
              <w:jc w:val="center"/>
              <w:rPr/>
            </w:pPr>
            <w:r>
              <w:rPr>
                <w:sz w:val="17"/>
                <w:szCs w:val="17"/>
              </w:rPr>
              <w:t>[−0.4, +0.1]</w:t>
            </w:r>
          </w:p>
        </w:tc>
      </w:tr>
      <w:tr>
        <w:trPr/>
        <w:tc>
          <w:tcPr>
            <w:tcW w:w="3470" w:type="dxa"/>
            <w:tcBorders/>
            <w:tcMar>
              <w:start w:w="100" w:type="dxa"/>
            </w:tcMar>
            <w:vAlign w:val="center"/>
          </w:tcPr>
          <w:p>
            <w:pPr>
              <w:pStyle w:val="Normal"/>
              <w:jc w:val="center"/>
              <w:rPr/>
            </w:pPr>
            <w:r>
              <w:rPr>
                <w:sz w:val="17"/>
                <w:szCs w:val="17"/>
              </w:rPr>
              <w:t>Sample mean</w:t>
            </w:r>
          </w:p>
        </w:tc>
        <w:tc>
          <w:tcPr>
            <w:tcW w:w="1356" w:type="dxa"/>
            <w:tcBorders/>
            <w:vAlign w:val="center"/>
          </w:tcPr>
          <w:p>
            <w:pPr>
              <w:pStyle w:val="Normal"/>
              <w:jc w:val="center"/>
              <w:rPr/>
            </w:pPr>
            <w:r>
              <w:rPr>
                <w:sz w:val="17"/>
                <w:szCs w:val="17"/>
              </w:rPr>
              <w:t>0.116</w:t>
            </w:r>
          </w:p>
        </w:tc>
        <w:tc>
          <w:tcPr>
            <w:tcW w:w="2738" w:type="dxa"/>
            <w:tcBorders/>
            <w:vAlign w:val="center"/>
          </w:tcPr>
          <w:p>
            <w:pPr>
              <w:pStyle w:val="Normal"/>
              <w:jc w:val="center"/>
              <w:rPr/>
            </w:pPr>
            <w:r>
              <w:rPr>
                <w:sz w:val="17"/>
                <w:szCs w:val="17"/>
              </w:rPr>
              <w:t>−</w:t>
            </w:r>
            <w:r>
              <w:rPr>
                <w:sz w:val="17"/>
                <w:szCs w:val="17"/>
              </w:rPr>
              <w:t>3.9%</w:t>
            </w:r>
          </w:p>
        </w:tc>
        <w:tc>
          <w:tcPr>
            <w:tcW w:w="1796" w:type="dxa"/>
            <w:tcBorders/>
            <w:vAlign w:val="center"/>
          </w:tcPr>
          <w:p>
            <w:pPr>
              <w:pStyle w:val="Normal"/>
              <w:jc w:val="center"/>
              <w:rPr/>
            </w:pPr>
            <w:r>
              <w:rPr>
                <w:sz w:val="17"/>
                <w:szCs w:val="17"/>
              </w:rPr>
              <w:t>[−9.8, +2.5]</w:t>
            </w:r>
          </w:p>
        </w:tc>
      </w:tr>
      <w:tr>
        <w:trPr/>
        <w:tc>
          <w:tcPr>
            <w:tcW w:w="3470" w:type="dxa"/>
            <w:tcBorders/>
            <w:tcMar>
              <w:start w:w="100" w:type="dxa"/>
            </w:tcMar>
            <w:vAlign w:val="center"/>
          </w:tcPr>
          <w:p>
            <w:pPr>
              <w:pStyle w:val="Normal"/>
              <w:jc w:val="center"/>
              <w:rPr/>
            </w:pPr>
            <w:r>
              <w:rPr>
                <w:sz w:val="17"/>
                <w:szCs w:val="17"/>
              </w:rPr>
              <w:t>90th percentile</w:t>
            </w:r>
          </w:p>
        </w:tc>
        <w:tc>
          <w:tcPr>
            <w:tcW w:w="1356" w:type="dxa"/>
            <w:tcBorders/>
            <w:vAlign w:val="center"/>
          </w:tcPr>
          <w:p>
            <w:pPr>
              <w:pStyle w:val="Normal"/>
              <w:jc w:val="center"/>
              <w:rPr/>
            </w:pPr>
            <w:r>
              <w:rPr>
                <w:sz w:val="17"/>
                <w:szCs w:val="17"/>
              </w:rPr>
              <w:t>0.255</w:t>
            </w:r>
          </w:p>
        </w:tc>
        <w:tc>
          <w:tcPr>
            <w:tcW w:w="2738" w:type="dxa"/>
            <w:tcBorders/>
            <w:vAlign w:val="center"/>
          </w:tcPr>
          <w:p>
            <w:pPr>
              <w:pStyle w:val="Normal"/>
              <w:jc w:val="center"/>
              <w:rPr/>
            </w:pPr>
            <w:r>
              <w:rPr>
                <w:sz w:val="17"/>
                <w:szCs w:val="17"/>
              </w:rPr>
              <w:t>−</w:t>
            </w:r>
            <w:r>
              <w:rPr>
                <w:sz w:val="17"/>
                <w:szCs w:val="17"/>
              </w:rPr>
              <w:t>8.3%</w:t>
            </w:r>
          </w:p>
        </w:tc>
        <w:tc>
          <w:tcPr>
            <w:tcW w:w="1796" w:type="dxa"/>
            <w:tcBorders/>
            <w:vAlign w:val="center"/>
          </w:tcPr>
          <w:p>
            <w:pPr>
              <w:pStyle w:val="Normal"/>
              <w:jc w:val="center"/>
              <w:rPr/>
            </w:pPr>
            <w:r>
              <w:rPr>
                <w:sz w:val="17"/>
                <w:szCs w:val="17"/>
              </w:rPr>
              <w:t>[−20.4, +5.6]</w:t>
            </w:r>
          </w:p>
        </w:tc>
      </w:tr>
      <w:tr>
        <w:trPr/>
        <w:tc>
          <w:tcPr>
            <w:tcW w:w="3470" w:type="dxa"/>
            <w:tcBorders/>
            <w:tcMar>
              <w:start w:w="100" w:type="dxa"/>
            </w:tcMar>
            <w:vAlign w:val="center"/>
          </w:tcPr>
          <w:p>
            <w:pPr>
              <w:pStyle w:val="Normal"/>
              <w:jc w:val="center"/>
              <w:rPr/>
            </w:pPr>
            <w:r>
              <w:rPr/>
            </w:r>
          </w:p>
        </w:tc>
        <w:tc>
          <w:tcPr>
            <w:tcW w:w="1356" w:type="dxa"/>
            <w:tcBorders/>
            <w:vAlign w:val="center"/>
          </w:tcPr>
          <w:p>
            <w:pPr>
              <w:pStyle w:val="Normal"/>
              <w:jc w:val="center"/>
              <w:rPr/>
            </w:pPr>
            <w:r>
              <w:rPr/>
            </w:r>
          </w:p>
        </w:tc>
        <w:tc>
          <w:tcPr>
            <w:tcW w:w="2738" w:type="dxa"/>
            <w:tcBorders/>
            <w:vAlign w:val="center"/>
          </w:tcPr>
          <w:p>
            <w:pPr>
              <w:pStyle w:val="Normal"/>
              <w:jc w:val="center"/>
              <w:rPr/>
            </w:pPr>
            <w:r>
              <w:rPr/>
            </w:r>
          </w:p>
        </w:tc>
        <w:tc>
          <w:tcPr>
            <w:tcW w:w="1796" w:type="dxa"/>
            <w:tcBorders/>
            <w:vAlign w:val="center"/>
          </w:tcPr>
          <w:p>
            <w:pPr>
              <w:pStyle w:val="Normal"/>
              <w:jc w:val="center"/>
              <w:rPr/>
            </w:pPr>
            <w:r>
              <w:rPr/>
            </w:r>
          </w:p>
        </w:tc>
      </w:tr>
      <w:tr>
        <w:trPr/>
        <w:tc>
          <w:tcPr>
            <w:tcW w:w="3470" w:type="dxa"/>
            <w:tcBorders/>
            <w:tcMar>
              <w:start w:w="100" w:type="dxa"/>
            </w:tcMar>
            <w:vAlign w:val="center"/>
          </w:tcPr>
          <w:p>
            <w:pPr>
              <w:pStyle w:val="Normal"/>
              <w:jc w:val="center"/>
              <w:rPr/>
            </w:pPr>
            <w:r>
              <w:rPr>
                <w:sz w:val="17"/>
                <w:szCs w:val="17"/>
              </w:rPr>
              <w:t>REC mean: PIF</w:t>
            </w:r>
          </w:p>
        </w:tc>
        <w:tc>
          <w:tcPr>
            <w:tcW w:w="1356" w:type="dxa"/>
            <w:tcBorders/>
            <w:vAlign w:val="center"/>
          </w:tcPr>
          <w:p>
            <w:pPr>
              <w:pStyle w:val="Normal"/>
              <w:jc w:val="center"/>
              <w:rPr/>
            </w:pPr>
            <w:r>
              <w:rPr>
                <w:sz w:val="17"/>
                <w:szCs w:val="17"/>
              </w:rPr>
              <w:t>0.040</w:t>
            </w:r>
          </w:p>
        </w:tc>
        <w:tc>
          <w:tcPr>
            <w:tcW w:w="2738" w:type="dxa"/>
            <w:tcBorders/>
            <w:vAlign w:val="center"/>
          </w:tcPr>
          <w:p>
            <w:pPr>
              <w:pStyle w:val="Normal"/>
              <w:jc w:val="center"/>
              <w:rPr/>
            </w:pPr>
            <w:r>
              <w:rPr>
                <w:sz w:val="17"/>
                <w:szCs w:val="17"/>
              </w:rPr>
              <w:t>−</w:t>
            </w:r>
            <w:r>
              <w:rPr>
                <w:sz w:val="17"/>
                <w:szCs w:val="17"/>
              </w:rPr>
              <w:t>1.4%</w:t>
            </w:r>
          </w:p>
        </w:tc>
        <w:tc>
          <w:tcPr>
            <w:tcW w:w="1796" w:type="dxa"/>
            <w:tcBorders/>
            <w:vAlign w:val="center"/>
          </w:tcPr>
          <w:p>
            <w:pPr>
              <w:pStyle w:val="Normal"/>
              <w:jc w:val="center"/>
              <w:rPr/>
            </w:pPr>
            <w:r>
              <w:rPr>
                <w:sz w:val="17"/>
                <w:szCs w:val="17"/>
              </w:rPr>
              <w:t>[−3.5, +0.9]</w:t>
            </w:r>
          </w:p>
        </w:tc>
      </w:tr>
      <w:tr>
        <w:trPr/>
        <w:tc>
          <w:tcPr>
            <w:tcW w:w="3470" w:type="dxa"/>
            <w:tcBorders/>
            <w:tcMar>
              <w:start w:w="100" w:type="dxa"/>
            </w:tcMar>
            <w:vAlign w:val="center"/>
          </w:tcPr>
          <w:p>
            <w:pPr>
              <w:pStyle w:val="Normal"/>
              <w:jc w:val="center"/>
              <w:rPr/>
            </w:pPr>
            <w:r>
              <w:rPr>
                <w:sz w:val="17"/>
                <w:szCs w:val="17"/>
              </w:rPr>
              <w:t>REC mean: ESA</w:t>
            </w:r>
          </w:p>
        </w:tc>
        <w:tc>
          <w:tcPr>
            <w:tcW w:w="1356" w:type="dxa"/>
            <w:tcBorders/>
            <w:vAlign w:val="center"/>
          </w:tcPr>
          <w:p>
            <w:pPr>
              <w:pStyle w:val="Normal"/>
              <w:jc w:val="center"/>
              <w:rPr/>
            </w:pPr>
            <w:r>
              <w:rPr>
                <w:sz w:val="17"/>
                <w:szCs w:val="17"/>
              </w:rPr>
              <w:t>0.043</w:t>
            </w:r>
          </w:p>
        </w:tc>
        <w:tc>
          <w:tcPr>
            <w:tcW w:w="2738" w:type="dxa"/>
            <w:tcBorders/>
            <w:vAlign w:val="center"/>
          </w:tcPr>
          <w:p>
            <w:pPr>
              <w:pStyle w:val="Normal"/>
              <w:jc w:val="center"/>
              <w:rPr/>
            </w:pPr>
            <w:r>
              <w:rPr>
                <w:sz w:val="17"/>
                <w:szCs w:val="17"/>
              </w:rPr>
              <w:t>−</w:t>
            </w:r>
            <w:r>
              <w:rPr>
                <w:sz w:val="17"/>
                <w:szCs w:val="17"/>
              </w:rPr>
              <w:t>1.5%</w:t>
            </w:r>
          </w:p>
        </w:tc>
        <w:tc>
          <w:tcPr>
            <w:tcW w:w="1796" w:type="dxa"/>
            <w:tcBorders/>
            <w:vAlign w:val="center"/>
          </w:tcPr>
          <w:p>
            <w:pPr>
              <w:pStyle w:val="Normal"/>
              <w:jc w:val="center"/>
              <w:rPr/>
            </w:pPr>
            <w:r>
              <w:rPr>
                <w:sz w:val="17"/>
                <w:szCs w:val="17"/>
              </w:rPr>
              <w:t>[−3.8, +0.9]</w:t>
            </w:r>
          </w:p>
        </w:tc>
      </w:tr>
      <w:tr>
        <w:trPr/>
        <w:tc>
          <w:tcPr>
            <w:tcW w:w="3470" w:type="dxa"/>
            <w:tcBorders/>
            <w:tcMar>
              <w:start w:w="100" w:type="dxa"/>
            </w:tcMar>
            <w:vAlign w:val="center"/>
          </w:tcPr>
          <w:p>
            <w:pPr>
              <w:pStyle w:val="Normal"/>
              <w:jc w:val="center"/>
              <w:rPr/>
            </w:pPr>
            <w:r>
              <w:rPr>
                <w:sz w:val="17"/>
                <w:szCs w:val="17"/>
              </w:rPr>
              <w:t>REC mean: Central Africa</w:t>
            </w:r>
          </w:p>
        </w:tc>
        <w:tc>
          <w:tcPr>
            <w:tcW w:w="1356" w:type="dxa"/>
            <w:tcBorders/>
            <w:vAlign w:val="center"/>
          </w:tcPr>
          <w:p>
            <w:pPr>
              <w:pStyle w:val="Normal"/>
              <w:jc w:val="center"/>
              <w:rPr/>
            </w:pPr>
            <w:r>
              <w:rPr>
                <w:sz w:val="17"/>
                <w:szCs w:val="17"/>
              </w:rPr>
              <w:t>0.051</w:t>
            </w:r>
          </w:p>
        </w:tc>
        <w:tc>
          <w:tcPr>
            <w:tcW w:w="2738" w:type="dxa"/>
            <w:tcBorders/>
            <w:vAlign w:val="center"/>
          </w:tcPr>
          <w:p>
            <w:pPr>
              <w:pStyle w:val="Normal"/>
              <w:jc w:val="center"/>
              <w:rPr/>
            </w:pPr>
            <w:r>
              <w:rPr>
                <w:sz w:val="17"/>
                <w:szCs w:val="17"/>
              </w:rPr>
              <w:t>−</w:t>
            </w:r>
            <w:r>
              <w:rPr>
                <w:sz w:val="17"/>
                <w:szCs w:val="17"/>
              </w:rPr>
              <w:t>1.7%</w:t>
            </w:r>
          </w:p>
        </w:tc>
        <w:tc>
          <w:tcPr>
            <w:tcW w:w="1796" w:type="dxa"/>
            <w:tcBorders/>
            <w:vAlign w:val="center"/>
          </w:tcPr>
          <w:p>
            <w:pPr>
              <w:pStyle w:val="Normal"/>
              <w:jc w:val="center"/>
              <w:rPr/>
            </w:pPr>
            <w:r>
              <w:rPr>
                <w:sz w:val="17"/>
                <w:szCs w:val="17"/>
              </w:rPr>
              <w:t>[−4.4, +1.1]</w:t>
            </w:r>
          </w:p>
        </w:tc>
      </w:tr>
      <w:tr>
        <w:trPr/>
        <w:tc>
          <w:tcPr>
            <w:tcW w:w="3470" w:type="dxa"/>
            <w:tcBorders/>
            <w:tcMar>
              <w:start w:w="100" w:type="dxa"/>
            </w:tcMar>
            <w:vAlign w:val="center"/>
          </w:tcPr>
          <w:p>
            <w:pPr>
              <w:pStyle w:val="Normal"/>
              <w:jc w:val="center"/>
              <w:rPr/>
            </w:pPr>
            <w:r>
              <w:rPr>
                <w:sz w:val="17"/>
                <w:szCs w:val="17"/>
              </w:rPr>
              <w:t>REC mean: CARIFORUM</w:t>
            </w:r>
          </w:p>
        </w:tc>
        <w:tc>
          <w:tcPr>
            <w:tcW w:w="1356" w:type="dxa"/>
            <w:tcBorders/>
            <w:vAlign w:val="center"/>
          </w:tcPr>
          <w:p>
            <w:pPr>
              <w:pStyle w:val="Normal"/>
              <w:jc w:val="center"/>
              <w:rPr/>
            </w:pPr>
            <w:r>
              <w:rPr>
                <w:sz w:val="17"/>
                <w:szCs w:val="17"/>
              </w:rPr>
              <w:t>0.145</w:t>
            </w:r>
          </w:p>
        </w:tc>
        <w:tc>
          <w:tcPr>
            <w:tcW w:w="2738" w:type="dxa"/>
            <w:tcBorders/>
            <w:vAlign w:val="center"/>
          </w:tcPr>
          <w:p>
            <w:pPr>
              <w:pStyle w:val="Normal"/>
              <w:jc w:val="center"/>
              <w:rPr/>
            </w:pPr>
            <w:r>
              <w:rPr>
                <w:sz w:val="17"/>
                <w:szCs w:val="17"/>
              </w:rPr>
              <w:t>−</w:t>
            </w:r>
            <w:r>
              <w:rPr>
                <w:sz w:val="17"/>
                <w:szCs w:val="17"/>
              </w:rPr>
              <w:t>4.8%</w:t>
            </w:r>
          </w:p>
        </w:tc>
        <w:tc>
          <w:tcPr>
            <w:tcW w:w="1796" w:type="dxa"/>
            <w:tcBorders/>
            <w:vAlign w:val="center"/>
          </w:tcPr>
          <w:p>
            <w:pPr>
              <w:pStyle w:val="Normal"/>
              <w:jc w:val="center"/>
              <w:rPr/>
            </w:pPr>
            <w:r>
              <w:rPr>
                <w:sz w:val="17"/>
                <w:szCs w:val="17"/>
              </w:rPr>
              <w:t>[−12.2, +3.1]</w:t>
            </w:r>
          </w:p>
        </w:tc>
      </w:tr>
      <w:tr>
        <w:trPr/>
        <w:tc>
          <w:tcPr>
            <w:tcW w:w="3470" w:type="dxa"/>
            <w:tcBorders/>
            <w:tcMar>
              <w:start w:w="100" w:type="dxa"/>
            </w:tcMar>
            <w:vAlign w:val="center"/>
          </w:tcPr>
          <w:p>
            <w:pPr>
              <w:pStyle w:val="Normal"/>
              <w:jc w:val="center"/>
              <w:rPr/>
            </w:pPr>
            <w:r>
              <w:rPr>
                <w:sz w:val="17"/>
                <w:szCs w:val="17"/>
              </w:rPr>
              <w:t>REC mean: EAC</w:t>
            </w:r>
          </w:p>
        </w:tc>
        <w:tc>
          <w:tcPr>
            <w:tcW w:w="1356" w:type="dxa"/>
            <w:tcBorders/>
            <w:vAlign w:val="center"/>
          </w:tcPr>
          <w:p>
            <w:pPr>
              <w:pStyle w:val="Normal"/>
              <w:jc w:val="center"/>
              <w:rPr/>
            </w:pPr>
            <w:r>
              <w:rPr>
                <w:sz w:val="17"/>
                <w:szCs w:val="17"/>
              </w:rPr>
              <w:t>0.146</w:t>
            </w:r>
          </w:p>
        </w:tc>
        <w:tc>
          <w:tcPr>
            <w:tcW w:w="2738" w:type="dxa"/>
            <w:tcBorders/>
            <w:vAlign w:val="center"/>
          </w:tcPr>
          <w:p>
            <w:pPr>
              <w:pStyle w:val="Normal"/>
              <w:jc w:val="center"/>
              <w:rPr/>
            </w:pPr>
            <w:r>
              <w:rPr>
                <w:sz w:val="17"/>
                <w:szCs w:val="17"/>
              </w:rPr>
              <w:t>−</w:t>
            </w:r>
            <w:r>
              <w:rPr>
                <w:sz w:val="17"/>
                <w:szCs w:val="17"/>
              </w:rPr>
              <w:t>4.9%</w:t>
            </w:r>
          </w:p>
        </w:tc>
        <w:tc>
          <w:tcPr>
            <w:tcW w:w="1796" w:type="dxa"/>
            <w:tcBorders/>
            <w:vAlign w:val="center"/>
          </w:tcPr>
          <w:p>
            <w:pPr>
              <w:pStyle w:val="Normal"/>
              <w:jc w:val="center"/>
              <w:rPr/>
            </w:pPr>
            <w:r>
              <w:rPr>
                <w:sz w:val="17"/>
                <w:szCs w:val="17"/>
              </w:rPr>
              <w:t>[−12.2, +3.2]</w:t>
            </w:r>
          </w:p>
        </w:tc>
      </w:tr>
      <w:tr>
        <w:trPr/>
        <w:tc>
          <w:tcPr>
            <w:tcW w:w="3470" w:type="dxa"/>
            <w:tcBorders/>
            <w:tcMar>
              <w:start w:w="100" w:type="dxa"/>
            </w:tcMar>
            <w:vAlign w:val="center"/>
          </w:tcPr>
          <w:p>
            <w:pPr>
              <w:pStyle w:val="Normal"/>
              <w:jc w:val="center"/>
              <w:rPr/>
            </w:pPr>
            <w:r>
              <w:rPr>
                <w:sz w:val="17"/>
                <w:szCs w:val="17"/>
              </w:rPr>
              <w:t>REC mean: ECOWAS</w:t>
            </w:r>
          </w:p>
        </w:tc>
        <w:tc>
          <w:tcPr>
            <w:tcW w:w="1356" w:type="dxa"/>
            <w:tcBorders/>
            <w:vAlign w:val="center"/>
          </w:tcPr>
          <w:p>
            <w:pPr>
              <w:pStyle w:val="Normal"/>
              <w:jc w:val="center"/>
              <w:rPr/>
            </w:pPr>
            <w:r>
              <w:rPr>
                <w:sz w:val="17"/>
                <w:szCs w:val="17"/>
              </w:rPr>
              <w:t>0.139</w:t>
            </w:r>
          </w:p>
        </w:tc>
        <w:tc>
          <w:tcPr>
            <w:tcW w:w="2738" w:type="dxa"/>
            <w:tcBorders/>
            <w:vAlign w:val="center"/>
          </w:tcPr>
          <w:p>
            <w:pPr>
              <w:pStyle w:val="Normal"/>
              <w:jc w:val="center"/>
              <w:rPr/>
            </w:pPr>
            <w:r>
              <w:rPr>
                <w:sz w:val="17"/>
                <w:szCs w:val="17"/>
              </w:rPr>
              <w:t>−</w:t>
            </w:r>
            <w:r>
              <w:rPr>
                <w:sz w:val="17"/>
                <w:szCs w:val="17"/>
              </w:rPr>
              <w:t>4.6%</w:t>
            </w:r>
          </w:p>
        </w:tc>
        <w:tc>
          <w:tcPr>
            <w:tcW w:w="1796" w:type="dxa"/>
            <w:tcBorders/>
            <w:vAlign w:val="center"/>
          </w:tcPr>
          <w:p>
            <w:pPr>
              <w:pStyle w:val="Normal"/>
              <w:jc w:val="center"/>
              <w:rPr/>
            </w:pPr>
            <w:r>
              <w:rPr>
                <w:sz w:val="17"/>
                <w:szCs w:val="17"/>
              </w:rPr>
              <w:t>[−11.7, +3.0]</w:t>
            </w:r>
          </w:p>
        </w:tc>
      </w:tr>
      <w:tr>
        <w:trPr/>
        <w:tc>
          <w:tcPr>
            <w:tcW w:w="3470" w:type="dxa"/>
            <w:tcBorders>
              <w:bottom w:val="single" w:sz="8" w:space="0" w:color="000000"/>
            </w:tcBorders>
            <w:tcMar>
              <w:start w:w="100" w:type="dxa"/>
            </w:tcMar>
            <w:vAlign w:val="center"/>
          </w:tcPr>
          <w:p>
            <w:pPr>
              <w:pStyle w:val="Normal"/>
              <w:jc w:val="center"/>
              <w:rPr/>
            </w:pPr>
            <w:r>
              <w:rPr>
                <w:sz w:val="17"/>
                <w:szCs w:val="17"/>
              </w:rPr>
              <w:t>REC mean: SADC</w:t>
            </w:r>
          </w:p>
        </w:tc>
        <w:tc>
          <w:tcPr>
            <w:tcW w:w="1356" w:type="dxa"/>
            <w:tcBorders>
              <w:bottom w:val="single" w:sz="8" w:space="0" w:color="000000"/>
            </w:tcBorders>
            <w:vAlign w:val="center"/>
          </w:tcPr>
          <w:p>
            <w:pPr>
              <w:pStyle w:val="Normal"/>
              <w:jc w:val="center"/>
              <w:rPr/>
            </w:pPr>
            <w:r>
              <w:rPr>
                <w:sz w:val="17"/>
                <w:szCs w:val="17"/>
              </w:rPr>
              <w:t>0.271</w:t>
            </w:r>
          </w:p>
        </w:tc>
        <w:tc>
          <w:tcPr>
            <w:tcW w:w="2738" w:type="dxa"/>
            <w:tcBorders>
              <w:bottom w:val="single" w:sz="8" w:space="0" w:color="000000"/>
            </w:tcBorders>
            <w:vAlign w:val="center"/>
          </w:tcPr>
          <w:p>
            <w:pPr>
              <w:pStyle w:val="Normal"/>
              <w:jc w:val="center"/>
              <w:rPr/>
            </w:pPr>
            <w:r>
              <w:rPr>
                <w:sz w:val="17"/>
                <w:szCs w:val="17"/>
              </w:rPr>
              <w:t>−</w:t>
            </w:r>
            <w:r>
              <w:rPr>
                <w:sz w:val="17"/>
                <w:szCs w:val="17"/>
              </w:rPr>
              <w:t>8.8%</w:t>
            </w:r>
          </w:p>
        </w:tc>
        <w:tc>
          <w:tcPr>
            <w:tcW w:w="1796" w:type="dxa"/>
            <w:tcBorders>
              <w:bottom w:val="single" w:sz="8" w:space="0" w:color="000000"/>
            </w:tcBorders>
            <w:vAlign w:val="center"/>
          </w:tcPr>
          <w:p>
            <w:pPr>
              <w:pStyle w:val="Normal"/>
              <w:jc w:val="center"/>
              <w:rPr/>
            </w:pPr>
            <w:r>
              <w:rPr>
                <w:sz w:val="17"/>
                <w:szCs w:val="17"/>
              </w:rPr>
              <w:t>[−21.6, +6.0]</w:t>
            </w:r>
          </w:p>
        </w:tc>
      </w:tr>
    </w:tbl>
    <w:p>
      <w:pPr>
        <w:pStyle w:val="Normal"/>
        <w:spacing w:before="40" w:after="40"/>
        <w:rPr/>
      </w:pPr>
      <w:r>
        <w:rPr>
          <w:sz w:val="18"/>
          <w:szCs w:val="18"/>
        </w:rPr>
        <w:t>Notes: Percentage changes calculated as 100(exp(β̂ × IT Share) − 1) from the pooled PPML coefficient β̂ = −0.341 (clustered s.e. 0.283). Because this estimate does not reach conventional significance, confidence intervals span zero at all evaluation points; figures convey order of magnitude only.</w:t>
      </w:r>
    </w:p>
    <w:p>
      <w:pPr>
        <w:pStyle w:val="Normal"/>
        <w:spacing w:before="280" w:after="80"/>
        <w:rPr>
          <w:b/>
          <w:bCs/>
          <w:sz w:val="24"/>
          <w:szCs w:val="24"/>
        </w:rPr>
      </w:pPr>
      <w:r>
        <w:rPr>
          <w:b/>
          <w:bCs/>
          <w:i/>
          <w:iCs/>
          <w:sz w:val="24"/>
          <w:szCs w:val="24"/>
        </w:rPr>
        <w:t>5.2  Where the Effect Operates: Import Substitution, Not Export Reorientation</w:t>
      </w:r>
    </w:p>
    <w:p>
      <w:pPr>
        <w:pStyle w:val="Normal"/>
        <w:spacing w:before="0" w:after="160"/>
        <w:ind w:firstLine="720"/>
        <w:rPr>
          <w:sz w:val="24"/>
          <w:szCs w:val="24"/>
        </w:rPr>
      </w:pPr>
      <w:r>
        <w:rPr>
          <w:sz w:val="24"/>
          <w:szCs w:val="24"/>
        </w:rPr>
        <w:t>Table 3 decomposes bilateral flows by direction and shows where the aggregate result is concentrated. The IT share coefficient for EU exports to ACP markets is −0.699 (s.e. 0.243, p &lt; 0.01), large and tightly estimated. For ACP exports to the EU, the coefficient is −0.005 (s.e. 0.402), statistically indistinguishable from zero. A 0.01 increase in the intra-REC trade share is associated with approximately a 0.70% reduction in EU exports to ACP markets, and no detectable change in ACP exports to Europe. At the sample mean IT share of 0.116, the EU-to-ACP coefficient implies exports roughly 7.8% lower than the zero-integration baseline; at the 90th percentile, 16.3%.</w:t>
      </w:r>
    </w:p>
    <w:p>
      <w:pPr>
        <w:pStyle w:val="Normal"/>
        <w:spacing w:before="0" w:after="160"/>
        <w:ind w:firstLine="720"/>
        <w:rPr>
          <w:sz w:val="24"/>
          <w:szCs w:val="24"/>
        </w:rPr>
      </w:pPr>
      <w:r>
        <w:rPr>
          <w:sz w:val="24"/>
          <w:szCs w:val="24"/>
        </w:rPr>
        <w:t>The asymmetry reflects import substitution. As ACP blocs deepen integration, sourcing from within the region becomes cheaper and more reliable, drawing demand away from EU imports in ACP domestic markets. ACP exports to Europe, by contrast, are governed by commodity prices and EU demand conditions, not regional trade costs: ACP markets source more from bloc partners, but ACP exporters do not turn away from Europe. This pattern is consistent with Carrère's (2004) finding that African regional agreements generated positive intra-bloc effects alongside diversion from extra-bloc partners.</w:t>
      </w:r>
    </w:p>
    <w:p>
      <w:pPr>
        <w:pStyle w:val="Normal"/>
        <w:spacing w:before="0" w:after="160"/>
        <w:ind w:firstLine="720"/>
        <w:rPr>
          <w:sz w:val="24"/>
          <w:szCs w:val="24"/>
        </w:rPr>
      </w:pPr>
      <w:r>
        <w:rPr>
          <w:sz w:val="24"/>
          <w:szCs w:val="24"/>
        </w:rPr>
        <w:t>Within the EU-to-ACP direction, an in-force EPA is associated with a 10.6% reduction in EU exports to ACP markets (β = −0.112, p &lt; 0.05). This appears to conflict with the near-zero pooled coefficient (−0.035), but the two are consistent: in the pooled model, the negative EU-to-ACP estimate is offset by the positive, though insignificant, ACP-to-EU estimate (+0.048), and the average over both directions is close to zero. Decomposing by direction reveals what pooling conceals. The pooled model uses total bilateral trade as its outcome while the directional models decompose that into two separate flows. If EPA coverage reduces EU exports to ACP markets while leaving ACP exports to the EU unchanged or slightly positive, the two directional effects partially offset one another in the pooled dependent variable, producing an attenuated aggregate coefficient. That is precisely the pattern in Table 3, as the negative EU-to-ACP estimate (−0.112) and the near-zero ACP-to-EU estimate (+0.048) average out in the bilateral model.</w:t>
      </w:r>
    </w:p>
    <w:p>
      <w:pPr>
        <w:pStyle w:val="Normal"/>
        <w:spacing w:before="0" w:after="160"/>
        <w:ind w:firstLine="720"/>
        <w:rPr>
          <w:sz w:val="24"/>
          <w:szCs w:val="24"/>
        </w:rPr>
      </w:pPr>
      <w:r>
        <w:rPr>
          <w:sz w:val="24"/>
          <w:szCs w:val="24"/>
        </w:rPr>
        <w:t>The opposing EPA signs across flow directions prompt a direct question: does deeper regional integration amplify the negative EU-to-ACP association, or does EPA coverage partially offset the import substitution pressure? Section 5.3 addresses this.</w:t>
      </w:r>
    </w:p>
    <w:p>
      <w:pPr>
        <w:pStyle w:val="Normal"/>
        <w:spacing w:before="320" w:after="80"/>
        <w:rPr/>
      </w:pPr>
      <w:r>
        <w:rPr>
          <w:b/>
          <w:bCs/>
          <w:sz w:val="22"/>
          <w:szCs w:val="22"/>
        </w:rPr>
        <w:t>Table 3: Directional Decomposition — IT Share Effect on ACP and EU Export Flows</w:t>
      </w:r>
    </w:p>
    <w:tbl>
      <w:tblPr>
        <w:tblW w:w="9360" w:type="dxa"/>
        <w:jc w:val="start"/>
        <w:tblInd w:w="0" w:type="dxa"/>
        <w:tblLayout w:type="fixed"/>
        <w:tblCellMar>
          <w:top w:w="36" w:type="dxa"/>
          <w:start w:w="80" w:type="dxa"/>
          <w:bottom w:w="36" w:type="dxa"/>
          <w:end w:w="50" w:type="dxa"/>
        </w:tblCellMar>
        <w:tblLook w:val="0000" w:firstRow="0" w:noVBand="0" w:lastRow="0" w:firstColumn="0" w:lastColumn="0" w:noHBand="0"/>
      </w:tblPr>
      <w:tblGrid>
        <w:gridCol w:w="2398"/>
        <w:gridCol w:w="1926"/>
        <w:gridCol w:w="2518"/>
        <w:gridCol w:w="2518"/>
      </w:tblGrid>
      <w:tr>
        <w:trPr/>
        <w:tc>
          <w:tcPr>
            <w:tcW w:w="2398" w:type="dxa"/>
            <w:tcBorders>
              <w:top w:val="single" w:sz="8" w:space="0" w:color="000000"/>
              <w:bottom w:val="single" w:sz="4" w:space="0" w:color="000000"/>
            </w:tcBorders>
            <w:vAlign w:val="center"/>
          </w:tcPr>
          <w:p>
            <w:pPr>
              <w:pStyle w:val="Normal"/>
              <w:jc w:val="center"/>
              <w:rPr/>
            </w:pPr>
            <w:r>
              <w:rPr/>
            </w:r>
          </w:p>
        </w:tc>
        <w:tc>
          <w:tcPr>
            <w:tcW w:w="1926" w:type="dxa"/>
            <w:tcBorders>
              <w:top w:val="single" w:sz="8" w:space="0" w:color="000000"/>
              <w:bottom w:val="single" w:sz="4" w:space="0" w:color="000000"/>
            </w:tcBorders>
            <w:vAlign w:val="center"/>
          </w:tcPr>
          <w:p>
            <w:pPr>
              <w:pStyle w:val="Normal"/>
              <w:jc w:val="center"/>
              <w:rPr/>
            </w:pPr>
            <w:r>
              <w:rPr>
                <w:b/>
                <w:bCs/>
                <w:sz w:val="17"/>
                <w:szCs w:val="17"/>
              </w:rPr>
              <w:t>Total Bilateral</w:t>
            </w:r>
          </w:p>
        </w:tc>
        <w:tc>
          <w:tcPr>
            <w:tcW w:w="2518" w:type="dxa"/>
            <w:tcBorders>
              <w:top w:val="single" w:sz="8" w:space="0" w:color="000000"/>
              <w:bottom w:val="single" w:sz="4" w:space="0" w:color="000000"/>
            </w:tcBorders>
            <w:vAlign w:val="center"/>
          </w:tcPr>
          <w:p>
            <w:pPr>
              <w:pStyle w:val="Normal"/>
              <w:jc w:val="center"/>
              <w:rPr/>
            </w:pPr>
            <w:r>
              <w:rPr>
                <w:b/>
                <w:bCs/>
                <w:sz w:val="17"/>
                <w:szCs w:val="17"/>
              </w:rPr>
              <w:t>ACP Exports to EU</w:t>
            </w:r>
          </w:p>
        </w:tc>
        <w:tc>
          <w:tcPr>
            <w:tcW w:w="2518" w:type="dxa"/>
            <w:tcBorders>
              <w:top w:val="single" w:sz="8" w:space="0" w:color="000000"/>
              <w:bottom w:val="single" w:sz="4" w:space="0" w:color="000000"/>
            </w:tcBorders>
            <w:vAlign w:val="center"/>
          </w:tcPr>
          <w:p>
            <w:pPr>
              <w:pStyle w:val="Normal"/>
              <w:jc w:val="center"/>
              <w:rPr/>
            </w:pPr>
            <w:r>
              <w:rPr>
                <w:b/>
                <w:bCs/>
                <w:sz w:val="17"/>
                <w:szCs w:val="17"/>
              </w:rPr>
              <w:t>EU Exports to ACP</w:t>
            </w:r>
          </w:p>
        </w:tc>
      </w:tr>
      <w:tr>
        <w:trPr/>
        <w:tc>
          <w:tcPr>
            <w:tcW w:w="2398" w:type="dxa"/>
            <w:tcBorders/>
            <w:tcMar>
              <w:start w:w="100" w:type="dxa"/>
            </w:tcMar>
            <w:vAlign w:val="center"/>
          </w:tcPr>
          <w:p>
            <w:pPr>
              <w:pStyle w:val="Normal"/>
              <w:jc w:val="center"/>
              <w:rPr/>
            </w:pPr>
            <w:r>
              <w:rPr>
                <w:i/>
                <w:iCs/>
                <w:sz w:val="17"/>
                <w:szCs w:val="17"/>
              </w:rPr>
              <w:t>ln(Distance)</w:t>
            </w:r>
          </w:p>
        </w:tc>
        <w:tc>
          <w:tcPr>
            <w:tcW w:w="1926" w:type="dxa"/>
            <w:tcBorders/>
            <w:vAlign w:val="center"/>
          </w:tcPr>
          <w:p>
            <w:pPr>
              <w:pStyle w:val="Normal"/>
              <w:jc w:val="center"/>
              <w:rPr/>
            </w:pPr>
            <w:r>
              <w:rPr>
                <w:sz w:val="17"/>
                <w:szCs w:val="17"/>
              </w:rPr>
              <w:t>−</w:t>
            </w:r>
            <w:r>
              <w:rPr>
                <w:sz w:val="17"/>
                <w:szCs w:val="17"/>
              </w:rPr>
              <w:t>1.625**</w:t>
            </w:r>
          </w:p>
        </w:tc>
        <w:tc>
          <w:tcPr>
            <w:tcW w:w="2518" w:type="dxa"/>
            <w:tcBorders/>
            <w:vAlign w:val="center"/>
          </w:tcPr>
          <w:p>
            <w:pPr>
              <w:pStyle w:val="Normal"/>
              <w:jc w:val="center"/>
              <w:rPr/>
            </w:pPr>
            <w:r>
              <w:rPr>
                <w:sz w:val="17"/>
                <w:szCs w:val="17"/>
              </w:rPr>
              <w:t>−</w:t>
            </w:r>
            <w:r>
              <w:rPr>
                <w:sz w:val="17"/>
                <w:szCs w:val="17"/>
              </w:rPr>
              <w:t>2.784***</w:t>
            </w:r>
          </w:p>
        </w:tc>
        <w:tc>
          <w:tcPr>
            <w:tcW w:w="2518" w:type="dxa"/>
            <w:tcBorders/>
            <w:vAlign w:val="center"/>
          </w:tcPr>
          <w:p>
            <w:pPr>
              <w:pStyle w:val="Normal"/>
              <w:jc w:val="center"/>
              <w:rPr/>
            </w:pPr>
            <w:r>
              <w:rPr>
                <w:sz w:val="17"/>
                <w:szCs w:val="17"/>
              </w:rPr>
              <w:t>−</w:t>
            </w:r>
            <w:r>
              <w:rPr>
                <w:sz w:val="17"/>
                <w:szCs w:val="17"/>
              </w:rPr>
              <w:t>0.684</w:t>
            </w:r>
          </w:p>
        </w:tc>
      </w:tr>
      <w:tr>
        <w:trPr/>
        <w:tc>
          <w:tcPr>
            <w:tcW w:w="2398" w:type="dxa"/>
            <w:tcBorders/>
            <w:tcMar>
              <w:start w:w="100" w:type="dxa"/>
            </w:tcMar>
            <w:vAlign w:val="center"/>
          </w:tcPr>
          <w:p>
            <w:pPr>
              <w:pStyle w:val="Normal"/>
              <w:jc w:val="center"/>
              <w:rPr/>
            </w:pPr>
            <w:r>
              <w:rPr/>
            </w:r>
          </w:p>
        </w:tc>
        <w:tc>
          <w:tcPr>
            <w:tcW w:w="1926" w:type="dxa"/>
            <w:tcBorders/>
            <w:vAlign w:val="center"/>
          </w:tcPr>
          <w:p>
            <w:pPr>
              <w:pStyle w:val="Normal"/>
              <w:jc w:val="center"/>
              <w:rPr/>
            </w:pPr>
            <w:r>
              <w:rPr>
                <w:sz w:val="16"/>
                <w:szCs w:val="16"/>
              </w:rPr>
              <w:t>(0.649)</w:t>
            </w:r>
          </w:p>
        </w:tc>
        <w:tc>
          <w:tcPr>
            <w:tcW w:w="2518" w:type="dxa"/>
            <w:tcBorders/>
            <w:vAlign w:val="center"/>
          </w:tcPr>
          <w:p>
            <w:pPr>
              <w:pStyle w:val="Normal"/>
              <w:jc w:val="center"/>
              <w:rPr/>
            </w:pPr>
            <w:r>
              <w:rPr>
                <w:sz w:val="16"/>
                <w:szCs w:val="16"/>
              </w:rPr>
              <w:t>(1.015)</w:t>
            </w:r>
          </w:p>
        </w:tc>
        <w:tc>
          <w:tcPr>
            <w:tcW w:w="2518" w:type="dxa"/>
            <w:tcBorders/>
            <w:vAlign w:val="center"/>
          </w:tcPr>
          <w:p>
            <w:pPr>
              <w:pStyle w:val="Normal"/>
              <w:jc w:val="center"/>
              <w:rPr/>
            </w:pPr>
            <w:r>
              <w:rPr>
                <w:sz w:val="16"/>
                <w:szCs w:val="16"/>
              </w:rPr>
              <w:t>(0.569)</w:t>
            </w:r>
          </w:p>
        </w:tc>
      </w:tr>
      <w:tr>
        <w:trPr/>
        <w:tc>
          <w:tcPr>
            <w:tcW w:w="2398" w:type="dxa"/>
            <w:tcBorders/>
            <w:tcMar>
              <w:start w:w="100" w:type="dxa"/>
            </w:tcMar>
            <w:vAlign w:val="center"/>
          </w:tcPr>
          <w:p>
            <w:pPr>
              <w:pStyle w:val="Normal"/>
              <w:jc w:val="center"/>
              <w:rPr/>
            </w:pPr>
            <w:r>
              <w:rPr>
                <w:i/>
                <w:iCs/>
                <w:sz w:val="17"/>
                <w:szCs w:val="17"/>
              </w:rPr>
              <w:t>Common Language</w:t>
            </w:r>
          </w:p>
        </w:tc>
        <w:tc>
          <w:tcPr>
            <w:tcW w:w="1926" w:type="dxa"/>
            <w:tcBorders/>
            <w:vAlign w:val="center"/>
          </w:tcPr>
          <w:p>
            <w:pPr>
              <w:pStyle w:val="Normal"/>
              <w:jc w:val="center"/>
              <w:rPr/>
            </w:pPr>
            <w:r>
              <w:rPr>
                <w:sz w:val="17"/>
                <w:szCs w:val="17"/>
              </w:rPr>
              <w:t>0.873***</w:t>
            </w:r>
          </w:p>
        </w:tc>
        <w:tc>
          <w:tcPr>
            <w:tcW w:w="2518" w:type="dxa"/>
            <w:tcBorders/>
            <w:vAlign w:val="center"/>
          </w:tcPr>
          <w:p>
            <w:pPr>
              <w:pStyle w:val="Normal"/>
              <w:jc w:val="center"/>
              <w:rPr/>
            </w:pPr>
            <w:r>
              <w:rPr>
                <w:sz w:val="17"/>
                <w:szCs w:val="17"/>
              </w:rPr>
              <w:t>0.559***</w:t>
            </w:r>
          </w:p>
        </w:tc>
        <w:tc>
          <w:tcPr>
            <w:tcW w:w="2518" w:type="dxa"/>
            <w:tcBorders/>
            <w:vAlign w:val="center"/>
          </w:tcPr>
          <w:p>
            <w:pPr>
              <w:pStyle w:val="Normal"/>
              <w:jc w:val="center"/>
              <w:rPr/>
            </w:pPr>
            <w:r>
              <w:rPr>
                <w:sz w:val="17"/>
                <w:szCs w:val="17"/>
              </w:rPr>
              <w:t>1.222***</w:t>
            </w:r>
          </w:p>
        </w:tc>
      </w:tr>
      <w:tr>
        <w:trPr/>
        <w:tc>
          <w:tcPr>
            <w:tcW w:w="2398" w:type="dxa"/>
            <w:tcBorders/>
            <w:tcMar>
              <w:start w:w="100" w:type="dxa"/>
            </w:tcMar>
            <w:vAlign w:val="center"/>
          </w:tcPr>
          <w:p>
            <w:pPr>
              <w:pStyle w:val="Normal"/>
              <w:jc w:val="center"/>
              <w:rPr/>
            </w:pPr>
            <w:r>
              <w:rPr/>
            </w:r>
          </w:p>
        </w:tc>
        <w:tc>
          <w:tcPr>
            <w:tcW w:w="1926" w:type="dxa"/>
            <w:tcBorders/>
            <w:vAlign w:val="center"/>
          </w:tcPr>
          <w:p>
            <w:pPr>
              <w:pStyle w:val="Normal"/>
              <w:jc w:val="center"/>
              <w:rPr/>
            </w:pPr>
            <w:r>
              <w:rPr>
                <w:sz w:val="16"/>
                <w:szCs w:val="16"/>
              </w:rPr>
              <w:t>(0.178)</w:t>
            </w:r>
          </w:p>
        </w:tc>
        <w:tc>
          <w:tcPr>
            <w:tcW w:w="2518" w:type="dxa"/>
            <w:tcBorders/>
            <w:vAlign w:val="center"/>
          </w:tcPr>
          <w:p>
            <w:pPr>
              <w:pStyle w:val="Normal"/>
              <w:jc w:val="center"/>
              <w:rPr/>
            </w:pPr>
            <w:r>
              <w:rPr>
                <w:sz w:val="16"/>
                <w:szCs w:val="16"/>
              </w:rPr>
              <w:t>(0.211)</w:t>
            </w:r>
          </w:p>
        </w:tc>
        <w:tc>
          <w:tcPr>
            <w:tcW w:w="2518" w:type="dxa"/>
            <w:tcBorders/>
            <w:vAlign w:val="center"/>
          </w:tcPr>
          <w:p>
            <w:pPr>
              <w:pStyle w:val="Normal"/>
              <w:jc w:val="center"/>
              <w:rPr/>
            </w:pPr>
            <w:r>
              <w:rPr>
                <w:sz w:val="16"/>
                <w:szCs w:val="16"/>
              </w:rPr>
              <w:t>(0.220)</w:t>
            </w:r>
          </w:p>
        </w:tc>
      </w:tr>
      <w:tr>
        <w:trPr/>
        <w:tc>
          <w:tcPr>
            <w:tcW w:w="2398" w:type="dxa"/>
            <w:tcBorders/>
            <w:tcMar>
              <w:start w:w="100" w:type="dxa"/>
            </w:tcMar>
            <w:vAlign w:val="center"/>
          </w:tcPr>
          <w:p>
            <w:pPr>
              <w:pStyle w:val="Normal"/>
              <w:jc w:val="center"/>
              <w:rPr/>
            </w:pPr>
            <w:r>
              <w:rPr>
                <w:i/>
                <w:iCs/>
                <w:sz w:val="17"/>
                <w:szCs w:val="17"/>
              </w:rPr>
              <w:t>Colonial Tie</w:t>
            </w:r>
          </w:p>
        </w:tc>
        <w:tc>
          <w:tcPr>
            <w:tcW w:w="1926" w:type="dxa"/>
            <w:tcBorders/>
            <w:vAlign w:val="center"/>
          </w:tcPr>
          <w:p>
            <w:pPr>
              <w:pStyle w:val="Normal"/>
              <w:jc w:val="center"/>
              <w:rPr/>
            </w:pPr>
            <w:r>
              <w:rPr>
                <w:sz w:val="17"/>
                <w:szCs w:val="17"/>
              </w:rPr>
              <w:t>0.385*</w:t>
            </w:r>
          </w:p>
        </w:tc>
        <w:tc>
          <w:tcPr>
            <w:tcW w:w="2518" w:type="dxa"/>
            <w:tcBorders/>
            <w:vAlign w:val="center"/>
          </w:tcPr>
          <w:p>
            <w:pPr>
              <w:pStyle w:val="Normal"/>
              <w:jc w:val="center"/>
              <w:rPr/>
            </w:pPr>
            <w:r>
              <w:rPr>
                <w:sz w:val="17"/>
                <w:szCs w:val="17"/>
              </w:rPr>
              <w:t>0.446*</w:t>
            </w:r>
          </w:p>
        </w:tc>
        <w:tc>
          <w:tcPr>
            <w:tcW w:w="2518" w:type="dxa"/>
            <w:tcBorders/>
            <w:vAlign w:val="center"/>
          </w:tcPr>
          <w:p>
            <w:pPr>
              <w:pStyle w:val="Normal"/>
              <w:jc w:val="center"/>
              <w:rPr/>
            </w:pPr>
            <w:r>
              <w:rPr>
                <w:sz w:val="17"/>
                <w:szCs w:val="17"/>
              </w:rPr>
              <w:t>0.281</w:t>
            </w:r>
          </w:p>
        </w:tc>
      </w:tr>
      <w:tr>
        <w:trPr/>
        <w:tc>
          <w:tcPr>
            <w:tcW w:w="2398" w:type="dxa"/>
            <w:tcBorders/>
            <w:tcMar>
              <w:start w:w="100" w:type="dxa"/>
            </w:tcMar>
            <w:vAlign w:val="center"/>
          </w:tcPr>
          <w:p>
            <w:pPr>
              <w:pStyle w:val="Normal"/>
              <w:jc w:val="center"/>
              <w:rPr/>
            </w:pPr>
            <w:r>
              <w:rPr/>
            </w:r>
          </w:p>
        </w:tc>
        <w:tc>
          <w:tcPr>
            <w:tcW w:w="1926" w:type="dxa"/>
            <w:tcBorders/>
            <w:vAlign w:val="center"/>
          </w:tcPr>
          <w:p>
            <w:pPr>
              <w:pStyle w:val="Normal"/>
              <w:jc w:val="center"/>
              <w:rPr/>
            </w:pPr>
            <w:r>
              <w:rPr>
                <w:sz w:val="16"/>
                <w:szCs w:val="16"/>
              </w:rPr>
              <w:t>(0.201)</w:t>
            </w:r>
          </w:p>
        </w:tc>
        <w:tc>
          <w:tcPr>
            <w:tcW w:w="2518" w:type="dxa"/>
            <w:tcBorders/>
            <w:vAlign w:val="center"/>
          </w:tcPr>
          <w:p>
            <w:pPr>
              <w:pStyle w:val="Normal"/>
              <w:jc w:val="center"/>
              <w:rPr/>
            </w:pPr>
            <w:r>
              <w:rPr>
                <w:sz w:val="16"/>
                <w:szCs w:val="16"/>
              </w:rPr>
              <w:t>(0.228)</w:t>
            </w:r>
          </w:p>
        </w:tc>
        <w:tc>
          <w:tcPr>
            <w:tcW w:w="2518" w:type="dxa"/>
            <w:tcBorders/>
            <w:vAlign w:val="center"/>
          </w:tcPr>
          <w:p>
            <w:pPr>
              <w:pStyle w:val="Normal"/>
              <w:jc w:val="center"/>
              <w:rPr/>
            </w:pPr>
            <w:r>
              <w:rPr>
                <w:sz w:val="16"/>
                <w:szCs w:val="16"/>
              </w:rPr>
              <w:t>(0.230)</w:t>
            </w:r>
          </w:p>
        </w:tc>
      </w:tr>
      <w:tr>
        <w:trPr/>
        <w:tc>
          <w:tcPr>
            <w:tcW w:w="2398" w:type="dxa"/>
            <w:tcBorders/>
            <w:tcMar>
              <w:start w:w="100" w:type="dxa"/>
            </w:tcMar>
            <w:vAlign w:val="center"/>
          </w:tcPr>
          <w:p>
            <w:pPr>
              <w:pStyle w:val="Normal"/>
              <w:jc w:val="center"/>
              <w:rPr/>
            </w:pPr>
            <w:r>
              <w:rPr>
                <w:i/>
                <w:iCs/>
                <w:sz w:val="17"/>
                <w:szCs w:val="17"/>
              </w:rPr>
              <w:t>EPA (in force)</w:t>
            </w:r>
          </w:p>
        </w:tc>
        <w:tc>
          <w:tcPr>
            <w:tcW w:w="1926" w:type="dxa"/>
            <w:tcBorders/>
            <w:vAlign w:val="center"/>
          </w:tcPr>
          <w:p>
            <w:pPr>
              <w:pStyle w:val="Normal"/>
              <w:jc w:val="center"/>
              <w:rPr/>
            </w:pPr>
            <w:r>
              <w:rPr>
                <w:sz w:val="17"/>
                <w:szCs w:val="17"/>
              </w:rPr>
              <w:t>−</w:t>
            </w:r>
            <w:r>
              <w:rPr>
                <w:sz w:val="17"/>
                <w:szCs w:val="17"/>
              </w:rPr>
              <w:t>0.035</w:t>
            </w:r>
          </w:p>
        </w:tc>
        <w:tc>
          <w:tcPr>
            <w:tcW w:w="2518" w:type="dxa"/>
            <w:tcBorders/>
            <w:vAlign w:val="center"/>
          </w:tcPr>
          <w:p>
            <w:pPr>
              <w:pStyle w:val="Normal"/>
              <w:jc w:val="center"/>
              <w:rPr/>
            </w:pPr>
            <w:r>
              <w:rPr>
                <w:sz w:val="17"/>
                <w:szCs w:val="17"/>
              </w:rPr>
              <w:t>+0.048</w:t>
            </w:r>
          </w:p>
        </w:tc>
        <w:tc>
          <w:tcPr>
            <w:tcW w:w="2518" w:type="dxa"/>
            <w:tcBorders/>
            <w:vAlign w:val="center"/>
          </w:tcPr>
          <w:p>
            <w:pPr>
              <w:pStyle w:val="Normal"/>
              <w:jc w:val="center"/>
              <w:rPr/>
            </w:pPr>
            <w:r>
              <w:rPr>
                <w:sz w:val="17"/>
                <w:szCs w:val="17"/>
              </w:rPr>
              <w:t>−</w:t>
            </w:r>
            <w:r>
              <w:rPr>
                <w:sz w:val="17"/>
                <w:szCs w:val="17"/>
              </w:rPr>
              <w:t>0.112**</w:t>
            </w:r>
          </w:p>
        </w:tc>
      </w:tr>
      <w:tr>
        <w:trPr/>
        <w:tc>
          <w:tcPr>
            <w:tcW w:w="2398" w:type="dxa"/>
            <w:tcBorders/>
            <w:tcMar>
              <w:start w:w="100" w:type="dxa"/>
            </w:tcMar>
            <w:vAlign w:val="center"/>
          </w:tcPr>
          <w:p>
            <w:pPr>
              <w:pStyle w:val="Normal"/>
              <w:jc w:val="center"/>
              <w:rPr/>
            </w:pPr>
            <w:r>
              <w:rPr/>
            </w:r>
          </w:p>
        </w:tc>
        <w:tc>
          <w:tcPr>
            <w:tcW w:w="1926" w:type="dxa"/>
            <w:tcBorders/>
            <w:vAlign w:val="center"/>
          </w:tcPr>
          <w:p>
            <w:pPr>
              <w:pStyle w:val="Normal"/>
              <w:jc w:val="center"/>
              <w:rPr/>
            </w:pPr>
            <w:r>
              <w:rPr>
                <w:sz w:val="16"/>
                <w:szCs w:val="16"/>
              </w:rPr>
              <w:t>(0.056)</w:t>
            </w:r>
          </w:p>
        </w:tc>
        <w:tc>
          <w:tcPr>
            <w:tcW w:w="2518" w:type="dxa"/>
            <w:tcBorders/>
            <w:vAlign w:val="center"/>
          </w:tcPr>
          <w:p>
            <w:pPr>
              <w:pStyle w:val="Normal"/>
              <w:jc w:val="center"/>
              <w:rPr/>
            </w:pPr>
            <w:r>
              <w:rPr>
                <w:sz w:val="16"/>
                <w:szCs w:val="16"/>
              </w:rPr>
              <w:t>(0.091)</w:t>
            </w:r>
          </w:p>
        </w:tc>
        <w:tc>
          <w:tcPr>
            <w:tcW w:w="2518" w:type="dxa"/>
            <w:tcBorders/>
            <w:vAlign w:val="center"/>
          </w:tcPr>
          <w:p>
            <w:pPr>
              <w:pStyle w:val="Normal"/>
              <w:jc w:val="center"/>
              <w:rPr/>
            </w:pPr>
            <w:r>
              <w:rPr>
                <w:sz w:val="16"/>
                <w:szCs w:val="16"/>
              </w:rPr>
              <w:t>(0.049)</w:t>
            </w:r>
          </w:p>
        </w:tc>
      </w:tr>
      <w:tr>
        <w:trPr/>
        <w:tc>
          <w:tcPr>
            <w:tcW w:w="2398" w:type="dxa"/>
            <w:tcBorders/>
            <w:tcMar>
              <w:start w:w="100" w:type="dxa"/>
            </w:tcMar>
            <w:vAlign w:val="center"/>
          </w:tcPr>
          <w:p>
            <w:pPr>
              <w:pStyle w:val="Normal"/>
              <w:jc w:val="center"/>
              <w:rPr/>
            </w:pPr>
            <w:r>
              <w:rPr>
                <w:i/>
                <w:iCs/>
                <w:sz w:val="17"/>
                <w:szCs w:val="17"/>
              </w:rPr>
              <w:t>IT Share</w:t>
            </w:r>
          </w:p>
        </w:tc>
        <w:tc>
          <w:tcPr>
            <w:tcW w:w="1926" w:type="dxa"/>
            <w:tcBorders/>
            <w:vAlign w:val="center"/>
          </w:tcPr>
          <w:p>
            <w:pPr>
              <w:pStyle w:val="Normal"/>
              <w:jc w:val="center"/>
              <w:rPr/>
            </w:pPr>
            <w:r>
              <w:rPr>
                <w:sz w:val="17"/>
                <w:szCs w:val="17"/>
              </w:rPr>
              <w:t>−</w:t>
            </w:r>
            <w:r>
              <w:rPr>
                <w:sz w:val="17"/>
                <w:szCs w:val="17"/>
              </w:rPr>
              <w:t>0.341</w:t>
            </w:r>
          </w:p>
        </w:tc>
        <w:tc>
          <w:tcPr>
            <w:tcW w:w="2518" w:type="dxa"/>
            <w:tcBorders/>
            <w:vAlign w:val="center"/>
          </w:tcPr>
          <w:p>
            <w:pPr>
              <w:pStyle w:val="Normal"/>
              <w:jc w:val="center"/>
              <w:rPr/>
            </w:pPr>
            <w:r>
              <w:rPr>
                <w:sz w:val="17"/>
                <w:szCs w:val="17"/>
              </w:rPr>
              <w:t>−</w:t>
            </w:r>
            <w:r>
              <w:rPr>
                <w:sz w:val="17"/>
                <w:szCs w:val="17"/>
              </w:rPr>
              <w:t>0.005</w:t>
            </w:r>
          </w:p>
        </w:tc>
        <w:tc>
          <w:tcPr>
            <w:tcW w:w="2518" w:type="dxa"/>
            <w:tcBorders/>
            <w:vAlign w:val="center"/>
          </w:tcPr>
          <w:p>
            <w:pPr>
              <w:pStyle w:val="Normal"/>
              <w:jc w:val="center"/>
              <w:rPr/>
            </w:pPr>
            <w:r>
              <w:rPr>
                <w:sz w:val="17"/>
                <w:szCs w:val="17"/>
              </w:rPr>
              <w:t>−</w:t>
            </w:r>
            <w:r>
              <w:rPr>
                <w:sz w:val="17"/>
                <w:szCs w:val="17"/>
              </w:rPr>
              <w:t>0.699***</w:t>
            </w:r>
          </w:p>
        </w:tc>
      </w:tr>
      <w:tr>
        <w:trPr/>
        <w:tc>
          <w:tcPr>
            <w:tcW w:w="2398" w:type="dxa"/>
            <w:tcBorders/>
            <w:tcMar>
              <w:start w:w="100" w:type="dxa"/>
            </w:tcMar>
            <w:vAlign w:val="center"/>
          </w:tcPr>
          <w:p>
            <w:pPr>
              <w:pStyle w:val="Normal"/>
              <w:jc w:val="center"/>
              <w:rPr/>
            </w:pPr>
            <w:r>
              <w:rPr/>
            </w:r>
          </w:p>
        </w:tc>
        <w:tc>
          <w:tcPr>
            <w:tcW w:w="1926" w:type="dxa"/>
            <w:tcBorders/>
            <w:vAlign w:val="center"/>
          </w:tcPr>
          <w:p>
            <w:pPr>
              <w:pStyle w:val="Normal"/>
              <w:jc w:val="center"/>
              <w:rPr/>
            </w:pPr>
            <w:r>
              <w:rPr>
                <w:sz w:val="16"/>
                <w:szCs w:val="16"/>
              </w:rPr>
              <w:t>(0.283)</w:t>
            </w:r>
          </w:p>
        </w:tc>
        <w:tc>
          <w:tcPr>
            <w:tcW w:w="2518" w:type="dxa"/>
            <w:tcBorders/>
            <w:vAlign w:val="center"/>
          </w:tcPr>
          <w:p>
            <w:pPr>
              <w:pStyle w:val="Normal"/>
              <w:jc w:val="center"/>
              <w:rPr/>
            </w:pPr>
            <w:r>
              <w:rPr>
                <w:sz w:val="16"/>
                <w:szCs w:val="16"/>
              </w:rPr>
              <w:t>(0.402)</w:t>
            </w:r>
          </w:p>
        </w:tc>
        <w:tc>
          <w:tcPr>
            <w:tcW w:w="2518" w:type="dxa"/>
            <w:tcBorders/>
            <w:vAlign w:val="center"/>
          </w:tcPr>
          <w:p>
            <w:pPr>
              <w:pStyle w:val="Normal"/>
              <w:jc w:val="center"/>
              <w:rPr/>
            </w:pPr>
            <w:r>
              <w:rPr>
                <w:sz w:val="16"/>
                <w:szCs w:val="16"/>
              </w:rPr>
              <w:t>(0.243)</w:t>
            </w:r>
          </w:p>
        </w:tc>
      </w:tr>
      <w:tr>
        <w:trPr/>
        <w:tc>
          <w:tcPr>
            <w:tcW w:w="2398" w:type="dxa"/>
            <w:tcBorders>
              <w:top w:val="single" w:sz="4" w:space="0" w:color="000000"/>
            </w:tcBorders>
            <w:tcMar>
              <w:start w:w="100" w:type="dxa"/>
            </w:tcMar>
            <w:vAlign w:val="center"/>
          </w:tcPr>
          <w:p>
            <w:pPr>
              <w:pStyle w:val="Normal"/>
              <w:jc w:val="center"/>
              <w:rPr/>
            </w:pPr>
            <w:r>
              <w:rPr>
                <w:sz w:val="17"/>
                <w:szCs w:val="17"/>
              </w:rPr>
              <w:t>EU×Year FE</w:t>
            </w:r>
          </w:p>
        </w:tc>
        <w:tc>
          <w:tcPr>
            <w:tcW w:w="1926" w:type="dxa"/>
            <w:tcBorders>
              <w:top w:val="single" w:sz="4" w:space="0" w:color="000000"/>
            </w:tcBorders>
            <w:vAlign w:val="center"/>
          </w:tcPr>
          <w:p>
            <w:pPr>
              <w:pStyle w:val="Normal"/>
              <w:jc w:val="center"/>
              <w:rPr/>
            </w:pPr>
            <w:r>
              <w:rPr>
                <w:sz w:val="17"/>
                <w:szCs w:val="17"/>
              </w:rPr>
              <w:t>Yes</w:t>
            </w:r>
          </w:p>
        </w:tc>
        <w:tc>
          <w:tcPr>
            <w:tcW w:w="2518" w:type="dxa"/>
            <w:tcBorders>
              <w:top w:val="single" w:sz="4" w:space="0" w:color="000000"/>
            </w:tcBorders>
            <w:vAlign w:val="center"/>
          </w:tcPr>
          <w:p>
            <w:pPr>
              <w:pStyle w:val="Normal"/>
              <w:jc w:val="center"/>
              <w:rPr/>
            </w:pPr>
            <w:r>
              <w:rPr>
                <w:sz w:val="17"/>
                <w:szCs w:val="17"/>
              </w:rPr>
              <w:t>Yes</w:t>
            </w:r>
          </w:p>
        </w:tc>
        <w:tc>
          <w:tcPr>
            <w:tcW w:w="2518" w:type="dxa"/>
            <w:tcBorders>
              <w:top w:val="single" w:sz="4" w:space="0" w:color="000000"/>
            </w:tcBorders>
            <w:vAlign w:val="center"/>
          </w:tcPr>
          <w:p>
            <w:pPr>
              <w:pStyle w:val="Normal"/>
              <w:jc w:val="center"/>
              <w:rPr/>
            </w:pPr>
            <w:r>
              <w:rPr>
                <w:sz w:val="17"/>
                <w:szCs w:val="17"/>
              </w:rPr>
              <w:t>Yes</w:t>
            </w:r>
          </w:p>
        </w:tc>
      </w:tr>
      <w:tr>
        <w:trPr/>
        <w:tc>
          <w:tcPr>
            <w:tcW w:w="2398" w:type="dxa"/>
            <w:tcBorders/>
            <w:tcMar>
              <w:start w:w="100" w:type="dxa"/>
            </w:tcMar>
            <w:vAlign w:val="center"/>
          </w:tcPr>
          <w:p>
            <w:pPr>
              <w:pStyle w:val="Normal"/>
              <w:jc w:val="center"/>
              <w:rPr/>
            </w:pPr>
            <w:r>
              <w:rPr>
                <w:sz w:val="17"/>
                <w:szCs w:val="17"/>
              </w:rPr>
              <w:t>ACP Country FE</w:t>
            </w:r>
          </w:p>
        </w:tc>
        <w:tc>
          <w:tcPr>
            <w:tcW w:w="1926" w:type="dxa"/>
            <w:tcBorders/>
            <w:vAlign w:val="center"/>
          </w:tcPr>
          <w:p>
            <w:pPr>
              <w:pStyle w:val="Normal"/>
              <w:jc w:val="center"/>
              <w:rPr/>
            </w:pPr>
            <w:r>
              <w:rPr>
                <w:sz w:val="17"/>
                <w:szCs w:val="17"/>
              </w:rPr>
              <w:t>Yes</w:t>
            </w:r>
          </w:p>
        </w:tc>
        <w:tc>
          <w:tcPr>
            <w:tcW w:w="2518" w:type="dxa"/>
            <w:tcBorders/>
            <w:vAlign w:val="center"/>
          </w:tcPr>
          <w:p>
            <w:pPr>
              <w:pStyle w:val="Normal"/>
              <w:jc w:val="center"/>
              <w:rPr/>
            </w:pPr>
            <w:r>
              <w:rPr>
                <w:sz w:val="17"/>
                <w:szCs w:val="17"/>
              </w:rPr>
              <w:t>Yes</w:t>
            </w:r>
          </w:p>
        </w:tc>
        <w:tc>
          <w:tcPr>
            <w:tcW w:w="2518" w:type="dxa"/>
            <w:tcBorders/>
            <w:vAlign w:val="center"/>
          </w:tcPr>
          <w:p>
            <w:pPr>
              <w:pStyle w:val="Normal"/>
              <w:jc w:val="center"/>
              <w:rPr/>
            </w:pPr>
            <w:r>
              <w:rPr>
                <w:sz w:val="17"/>
                <w:szCs w:val="17"/>
              </w:rPr>
              <w:t>Yes</w:t>
            </w:r>
          </w:p>
        </w:tc>
      </w:tr>
      <w:tr>
        <w:trPr/>
        <w:tc>
          <w:tcPr>
            <w:tcW w:w="2398" w:type="dxa"/>
            <w:tcBorders/>
            <w:tcMar>
              <w:start w:w="100" w:type="dxa"/>
            </w:tcMar>
            <w:vAlign w:val="center"/>
          </w:tcPr>
          <w:p>
            <w:pPr>
              <w:pStyle w:val="Normal"/>
              <w:jc w:val="center"/>
              <w:rPr/>
            </w:pPr>
            <w:r>
              <w:rPr>
                <w:sz w:val="17"/>
                <w:szCs w:val="17"/>
              </w:rPr>
              <w:t>Year FE</w:t>
            </w:r>
          </w:p>
        </w:tc>
        <w:tc>
          <w:tcPr>
            <w:tcW w:w="1926" w:type="dxa"/>
            <w:tcBorders/>
            <w:vAlign w:val="center"/>
          </w:tcPr>
          <w:p>
            <w:pPr>
              <w:pStyle w:val="Normal"/>
              <w:jc w:val="center"/>
              <w:rPr/>
            </w:pPr>
            <w:r>
              <w:rPr>
                <w:sz w:val="17"/>
                <w:szCs w:val="17"/>
              </w:rPr>
              <w:t>Yes</w:t>
            </w:r>
          </w:p>
        </w:tc>
        <w:tc>
          <w:tcPr>
            <w:tcW w:w="2518" w:type="dxa"/>
            <w:tcBorders/>
            <w:vAlign w:val="center"/>
          </w:tcPr>
          <w:p>
            <w:pPr>
              <w:pStyle w:val="Normal"/>
              <w:jc w:val="center"/>
              <w:rPr/>
            </w:pPr>
            <w:r>
              <w:rPr>
                <w:sz w:val="17"/>
                <w:szCs w:val="17"/>
              </w:rPr>
              <w:t>Yes</w:t>
            </w:r>
          </w:p>
        </w:tc>
        <w:tc>
          <w:tcPr>
            <w:tcW w:w="2518" w:type="dxa"/>
            <w:tcBorders/>
            <w:vAlign w:val="center"/>
          </w:tcPr>
          <w:p>
            <w:pPr>
              <w:pStyle w:val="Normal"/>
              <w:jc w:val="center"/>
              <w:rPr/>
            </w:pPr>
            <w:r>
              <w:rPr>
                <w:sz w:val="17"/>
                <w:szCs w:val="17"/>
              </w:rPr>
              <w:t>Yes</w:t>
            </w:r>
          </w:p>
        </w:tc>
      </w:tr>
      <w:tr>
        <w:trPr/>
        <w:tc>
          <w:tcPr>
            <w:tcW w:w="2398" w:type="dxa"/>
            <w:tcBorders>
              <w:bottom w:val="single" w:sz="8" w:space="0" w:color="000000"/>
            </w:tcBorders>
            <w:tcMar>
              <w:start w:w="100" w:type="dxa"/>
            </w:tcMar>
            <w:vAlign w:val="center"/>
          </w:tcPr>
          <w:p>
            <w:pPr>
              <w:pStyle w:val="Normal"/>
              <w:jc w:val="center"/>
              <w:rPr/>
            </w:pPr>
            <w:r>
              <w:rPr>
                <w:sz w:val="17"/>
                <w:szCs w:val="17"/>
              </w:rPr>
              <w:t>Observations</w:t>
            </w:r>
          </w:p>
        </w:tc>
        <w:tc>
          <w:tcPr>
            <w:tcW w:w="1926" w:type="dxa"/>
            <w:tcBorders>
              <w:bottom w:val="single" w:sz="8" w:space="0" w:color="000000"/>
            </w:tcBorders>
            <w:vAlign w:val="center"/>
          </w:tcPr>
          <w:p>
            <w:pPr>
              <w:pStyle w:val="Normal"/>
              <w:jc w:val="center"/>
              <w:rPr/>
            </w:pPr>
            <w:r>
              <w:rPr>
                <w:sz w:val="17"/>
                <w:szCs w:val="17"/>
              </w:rPr>
              <w:t>47,633</w:t>
            </w:r>
          </w:p>
        </w:tc>
        <w:tc>
          <w:tcPr>
            <w:tcW w:w="2518" w:type="dxa"/>
            <w:tcBorders>
              <w:bottom w:val="single" w:sz="8" w:space="0" w:color="000000"/>
            </w:tcBorders>
            <w:vAlign w:val="center"/>
          </w:tcPr>
          <w:p>
            <w:pPr>
              <w:pStyle w:val="Normal"/>
              <w:jc w:val="center"/>
              <w:rPr/>
            </w:pPr>
            <w:r>
              <w:rPr>
                <w:sz w:val="17"/>
                <w:szCs w:val="17"/>
              </w:rPr>
              <w:t>47,633</w:t>
            </w:r>
          </w:p>
        </w:tc>
        <w:tc>
          <w:tcPr>
            <w:tcW w:w="2518" w:type="dxa"/>
            <w:tcBorders>
              <w:bottom w:val="single" w:sz="8" w:space="0" w:color="000000"/>
            </w:tcBorders>
            <w:vAlign w:val="center"/>
          </w:tcPr>
          <w:p>
            <w:pPr>
              <w:pStyle w:val="Normal"/>
              <w:jc w:val="center"/>
              <w:rPr/>
            </w:pPr>
            <w:r>
              <w:rPr>
                <w:sz w:val="17"/>
                <w:szCs w:val="17"/>
              </w:rPr>
              <w:t>47,633</w:t>
            </w:r>
          </w:p>
        </w:tc>
      </w:tr>
    </w:tbl>
    <w:p>
      <w:pPr>
        <w:pStyle w:val="Normal"/>
        <w:spacing w:before="40" w:after="40"/>
        <w:rPr/>
      </w:pPr>
      <w:r>
        <w:rPr>
          <w:sz w:val="18"/>
          <w:szCs w:val="18"/>
        </w:rPr>
        <w:t>Notes: PPML estimates. Pair-level clustered standard errors in parentheses. *** p &lt; 0.01, ** p &lt; 0.05, * p &lt; 0.10. Total Bilateral repeats column (2) of Table 1 for reference. ACP-to-EU: dependent variable is exports from an ACP country to an EU member. EU-to-ACP: dependent variable is exports from an EU member to an ACP country. All columns include EU×year, ACP-country, and year fixed effects.</w:t>
      </w:r>
    </w:p>
    <w:p>
      <w:pPr>
        <w:pStyle w:val="Normal"/>
        <w:spacing w:before="280" w:after="80"/>
        <w:rPr>
          <w:b/>
          <w:bCs/>
          <w:sz w:val="24"/>
          <w:szCs w:val="24"/>
        </w:rPr>
      </w:pPr>
      <w:r>
        <w:rPr>
          <w:b/>
          <w:bCs/>
          <w:i/>
          <w:iCs/>
          <w:sz w:val="24"/>
          <w:szCs w:val="24"/>
        </w:rPr>
        <w:t>5.3  No Detectable Moderating Effect of EPAs</w:t>
      </w:r>
    </w:p>
    <w:p>
      <w:pPr>
        <w:pStyle w:val="Normal"/>
        <w:spacing w:before="0" w:after="160"/>
        <w:ind w:firstLine="720"/>
        <w:rPr>
          <w:sz w:val="24"/>
          <w:szCs w:val="24"/>
        </w:rPr>
      </w:pPr>
      <w:r>
        <w:rPr>
          <w:sz w:val="24"/>
          <w:szCs w:val="24"/>
        </w:rPr>
        <w:t>Column (3) of Table 1 introduces the EPA × IT share interaction to test whether active EPA coverage alters the stumbling-block relationship. The IT share point estimate remains negative (−0.335, s.e. 0.282), though like column (2) it falls short of conventional significance. The EPA × IT share interaction is −0.129 (s.e. 0.876), negative but statistically indistinguishable from zero, with a standard error more than three times the point estimate.</w:t>
      </w:r>
    </w:p>
    <w:p>
      <w:pPr>
        <w:pStyle w:val="Normal"/>
        <w:spacing w:before="0" w:after="160"/>
        <w:ind w:firstLine="720"/>
        <w:rPr>
          <w:sz w:val="24"/>
          <w:szCs w:val="24"/>
        </w:rPr>
      </w:pPr>
      <w:r>
        <w:rPr>
          <w:sz w:val="24"/>
          <w:szCs w:val="24"/>
        </w:rPr>
        <w:t>A more interpretable baseline requires recentering the IT share at its sample mean of 0.116. Without this adjustment, the EPA main effect describes a country with essentially no intra-bloc trade, so at a point at the very edge of the observed data. Recentering shifts the reference to the average ACP country, so the EPA coefficient directly reads off the predicted effect at typical integration depth: −0.017 (s.e. 0.050, t = −0.35), statistically indistinguishable from zero.</w:t>
      </w:r>
    </w:p>
    <w:p>
      <w:pPr>
        <w:pStyle w:val="Normal"/>
        <w:spacing w:before="0" w:after="160"/>
        <w:ind w:firstLine="720"/>
        <w:rPr>
          <w:sz w:val="24"/>
          <w:szCs w:val="24"/>
        </w:rPr>
      </w:pPr>
      <w:r>
        <w:rPr>
          <w:sz w:val="24"/>
          <w:szCs w:val="24"/>
        </w:rPr>
        <w:t>EPA coverage does not alter the stumbling-block relationship in either direction. This null result is consistent with Stender et al. (2021), who find no general increase in total EU–ACP trade following EPA implementation, and with Rodrik's (2018) broader skepticism about whether EPA commitments, as currently structured, generate the trade-creation gains their negotiating logic assumes. The absence of detectable moderation does not rule out an effect with larger samples or longer post-implementation windows. The interaction is identified from the subset of the panel where both EPA status and IT share vary simultaneously, and the standard error of 0.876 is large enough to encompass economically meaningful effects of either sign.</w:t>
      </w:r>
    </w:p>
    <w:p>
      <w:pPr>
        <w:pStyle w:val="Normal"/>
        <w:spacing w:before="0" w:after="160"/>
        <w:ind w:firstLine="720"/>
        <w:rPr>
          <w:sz w:val="24"/>
          <w:szCs w:val="24"/>
        </w:rPr>
      </w:pPr>
      <w:r>
        <w:rPr>
          <w:sz w:val="24"/>
          <w:szCs w:val="24"/>
        </w:rPr>
        <w:t>The null moderation result and the directional level effect in Section 5.2 answer different questions. The level result, from the EU-to-ACP column of Table 3, asks how much EPA status shifts EU export volumes at a given level of regional integration. The answer is a meaningful reduction of roughly 10.6% (−0.112, p &lt; 0.05). The moderation question asks whether integration depth changes that relationship. The interaction model says no, EPAs do not alter how strongly the IT share depresses EU exports, and only the level effect reaches conventional significance.</w:t>
      </w:r>
    </w:p>
    <w:p>
      <w:pPr>
        <w:pStyle w:val="Normal"/>
        <w:spacing w:before="0" w:after="160"/>
        <w:ind w:firstLine="720"/>
        <w:rPr>
          <w:sz w:val="24"/>
          <w:szCs w:val="24"/>
        </w:rPr>
      </w:pPr>
      <w:r>
        <w:rPr>
          <w:sz w:val="24"/>
          <w:szCs w:val="24"/>
        </w:rPr>
        <w:t>What drives the negative level association between EPAs and EU exports remains an open question. One reading is straightforward import substitution: as regional sourcing deepens, it proves the stronger force than the EU market access EPAs are designed to secure. Another is that EPA implementation imposes short-run adjustment costs that temporarily suppress EU import volumes. Distinguishing these mechanisms is beyond the scope of this paper. The broader point is that EPAs and regional integration do not offset each other but run in parallel, which complicates any policy narrative in which EPAs straightforwardly counterbalance the pressures that regional deepening creates.</w:t>
      </w:r>
    </w:p>
    <w:p>
      <w:pPr>
        <w:pStyle w:val="Normal"/>
        <w:spacing w:before="280" w:after="80"/>
        <w:rPr>
          <w:sz w:val="24"/>
          <w:szCs w:val="24"/>
        </w:rPr>
      </w:pPr>
      <w:r>
        <w:rPr>
          <w:b/>
          <w:bCs/>
          <w:i/>
          <w:iCs/>
          <w:sz w:val="24"/>
          <w:szCs w:val="24"/>
        </w:rPr>
        <w:t>5.4  The Stumbling Block Across All Seven RECs</w:t>
      </w:r>
    </w:p>
    <w:p>
      <w:pPr>
        <w:pStyle w:val="Normal"/>
        <w:spacing w:before="0" w:after="160"/>
        <w:ind w:firstLine="720"/>
        <w:rPr>
          <w:sz w:val="24"/>
          <w:szCs w:val="24"/>
        </w:rPr>
      </w:pPr>
      <w:r>
        <w:rPr>
          <w:sz w:val="24"/>
          <w:szCs w:val="24"/>
        </w:rPr>
        <w:t>A natural concern is whether the aggregate result is driven by one or two dominant blocs. Table 4 estimates the baseline specification separately for each of the seven RECs, and the results rule out any such concentration. The IT share coefficient is negative for every bloc, with five of the six interpretable estimates reaching conventional significance: EAC (−3.417, p &lt; 0.01), ECOWAS (−2.717, p &lt; 0.01), SADC (−2.773, p &lt; 0.01), CARIFORUM (−2.175, p &lt; 0.05), and ESA (−1.819, p &lt; 0.05). The SADC estimate is confirmed in Table 6, column 7, which drops the imputed SACU observations. The exception is Central Africa, which yields −0.730 with a standard error of 1.246. This reflects data limitations rather than a true null. The Central Africa EPA group is the least institutionally developed REC in the sample. Its intra-bloc volumes are thin, and the IT share exhibits limited within-country variation, which is the source of identification.</w:t>
      </w:r>
    </w:p>
    <w:p>
      <w:pPr>
        <w:pStyle w:val="Normal"/>
        <w:spacing w:before="0" w:after="160"/>
        <w:ind w:firstLine="720"/>
        <w:rPr>
          <w:sz w:val="24"/>
          <w:szCs w:val="24"/>
        </w:rPr>
      </w:pPr>
      <w:r>
        <w:rPr>
          <w:sz w:val="24"/>
          <w:szCs w:val="24"/>
        </w:rPr>
        <w:t>The REC-level point estimates are substantially larger in absolute value than the pooled −0.341, and the difference reflects what each regression holds constant. When the sample is restricted to, say, ECOWAS, all fifteen countries share the same institutional setting, external trade environment, and regional policy trajectory. The IT share coefficient is then identified almost entirely from within-country changes in integration depth over time, which is exactly the variation of interest. In the pooled model, those bloc-level institutional differences are only partially accounted for by the ACP-country fixed effects, and anything left over that correlates with the IT share will pull the pooled coefficient toward zero. The subsample estimates capture different variation from the pooled model and should not be read as definitive bloc-level effect sizes.</w:t>
      </w:r>
    </w:p>
    <w:p>
      <w:pPr>
        <w:pStyle w:val="Normal"/>
        <w:spacing w:before="0" w:after="160"/>
        <w:ind w:firstLine="720"/>
        <w:rPr>
          <w:sz w:val="24"/>
          <w:szCs w:val="24"/>
        </w:rPr>
      </w:pPr>
      <w:r>
        <w:rPr>
          <w:sz w:val="24"/>
          <w:szCs w:val="24"/>
        </w:rPr>
        <w:t>All seven subsamples point in the same direction, making it hard to attribute the result to any one bloc's idiosyncrasies. That said, seven negative estimates drawn from non-independent subsets of the same panel do not carry the same evidential weight as seven estimates from genuinely separate studies, as the subsamples share data, fixed effects, and the same underlying panel structure. Table 4 corroborates the directional result in Table 3; it does not constitute seven independent confirmations.</w:t>
      </w:r>
    </w:p>
    <w:p>
      <w:pPr>
        <w:pStyle w:val="Normal"/>
        <w:spacing w:before="0" w:after="160"/>
        <w:ind w:firstLine="720"/>
        <w:rPr>
          <w:sz w:val="24"/>
          <w:szCs w:val="24"/>
        </w:rPr>
      </w:pPr>
      <w:r>
        <w:rPr>
          <w:sz w:val="24"/>
          <w:szCs w:val="24"/>
        </w:rPr>
        <w:t>The PIF estimate (−30.88) is retained for completeness, but the estimate is unstable and should not be interpreted as a precise effect size. The majority of Pacific dyads report zero trade, bilateral flows are concentrated almost entirely in Papua New Guinea and Fiji, and the PPML estimator becomes unstable when within-country variation in the IT share is this thin.</w:t>
      </w:r>
    </w:p>
    <w:p>
      <w:pPr>
        <w:pStyle w:val="Normal"/>
        <w:bidi w:val="0"/>
        <w:spacing w:before="0" w:after="160"/>
        <w:ind w:firstLine="720"/>
        <w:rPr>
          <w:sz w:val="24"/>
          <w:szCs w:val="24"/>
        </w:rPr>
      </w:pPr>
      <w:r>
        <w:rPr>
          <w:sz w:val="24"/>
          <w:szCs w:val="24"/>
        </w:rPr>
        <w:t>A separate anomaly appears in the distance elasticities. Several REC subsamples deviate substantially from the pooled estimate, including positive values in ECOWAS and EAC. This reflects multicollinearity between distance and country characteristics once fixed effects are absorbed within small, geographically coherent subsamples, and it does not affect the IT share estimates. The positive EPA coefficient within SADC (+0.397, p &lt; 0.01) reflects staggered entry alongside never-treated members: five SACU members provisionally applied from October 2016 and Mozambique followed in February 2018, while Angola and the Democratic Republic of the Congo remain untreated throughout, generating within-REC treatment variation on top of the cross-REC contrast. The two blocs whose EPA coefficients reach conventional significance here — CARIFORUM (−0.364, p &lt; 0.05) and SADC (+0.397, p &lt; 0.01) — are the two Stender et al. (2021) identify as departing from their overall null, and the signs match in both cases. The remaining blocs are individually indistinguishable from zero, so this is a correspondence on two coefficients rather than independent evidence of systematic heterogeneity.</w:t>
      </w:r>
      <w:r>
        <w:rPr/>
        <w:t xml:space="preserve"> </w:t>
      </w:r>
    </w:p>
    <w:p>
      <w:pPr>
        <w:pStyle w:val="Normal"/>
        <w:spacing w:before="320" w:after="80"/>
        <w:rPr/>
      </w:pPr>
      <w:r>
        <w:rPr>
          <w:b/>
          <w:bCs/>
          <w:sz w:val="22"/>
          <w:szCs w:val="22"/>
        </w:rPr>
        <w:t>Table 4: REC-Level PPML Estimates — IT Share Effect by Regional Bloc</w:t>
      </w:r>
    </w:p>
    <w:tbl>
      <w:tblPr>
        <w:tblW w:w="9360" w:type="dxa"/>
        <w:jc w:val="start"/>
        <w:tblInd w:w="0" w:type="dxa"/>
        <w:tblLayout w:type="fixed"/>
        <w:tblCellMar>
          <w:top w:w="36" w:type="dxa"/>
          <w:start w:w="80" w:type="dxa"/>
          <w:bottom w:w="36" w:type="dxa"/>
          <w:end w:w="50" w:type="dxa"/>
        </w:tblCellMar>
        <w:tblLook w:val="0000" w:firstRow="0" w:noVBand="0" w:lastRow="0" w:firstColumn="0" w:lastColumn="0" w:noHBand="0"/>
      </w:tblPr>
      <w:tblGrid>
        <w:gridCol w:w="1694"/>
        <w:gridCol w:w="1030"/>
        <w:gridCol w:w="1194"/>
        <w:gridCol w:w="1007"/>
        <w:gridCol w:w="1007"/>
        <w:gridCol w:w="910"/>
        <w:gridCol w:w="1510"/>
        <w:gridCol w:w="1008"/>
      </w:tblGrid>
      <w:tr>
        <w:trPr/>
        <w:tc>
          <w:tcPr>
            <w:tcW w:w="1694" w:type="dxa"/>
            <w:tcBorders>
              <w:top w:val="single" w:sz="8" w:space="0" w:color="000000"/>
              <w:bottom w:val="single" w:sz="4" w:space="0" w:color="000000"/>
            </w:tcBorders>
            <w:vAlign w:val="center"/>
          </w:tcPr>
          <w:p>
            <w:pPr>
              <w:pStyle w:val="Normal"/>
              <w:jc w:val="center"/>
              <w:rPr/>
            </w:pPr>
            <w:r>
              <w:rPr/>
            </w:r>
          </w:p>
        </w:tc>
        <w:tc>
          <w:tcPr>
            <w:tcW w:w="1030" w:type="dxa"/>
            <w:tcBorders>
              <w:top w:val="single" w:sz="8" w:space="0" w:color="000000"/>
              <w:bottom w:val="single" w:sz="4" w:space="0" w:color="000000"/>
            </w:tcBorders>
            <w:vAlign w:val="center"/>
          </w:tcPr>
          <w:p>
            <w:pPr>
              <w:pStyle w:val="Normal"/>
              <w:jc w:val="center"/>
              <w:rPr/>
            </w:pPr>
            <w:r>
              <w:rPr>
                <w:b/>
                <w:bCs/>
                <w:sz w:val="15"/>
                <w:szCs w:val="15"/>
              </w:rPr>
              <w:t>ECOWAS</w:t>
            </w:r>
          </w:p>
        </w:tc>
        <w:tc>
          <w:tcPr>
            <w:tcW w:w="1194" w:type="dxa"/>
            <w:tcBorders>
              <w:top w:val="single" w:sz="8" w:space="0" w:color="000000"/>
              <w:bottom w:val="single" w:sz="4" w:space="0" w:color="000000"/>
            </w:tcBorders>
            <w:vAlign w:val="center"/>
          </w:tcPr>
          <w:p>
            <w:pPr>
              <w:pStyle w:val="Normal"/>
              <w:jc w:val="center"/>
              <w:rPr/>
            </w:pPr>
            <w:r>
              <w:rPr>
                <w:b/>
                <w:bCs/>
                <w:sz w:val="15"/>
                <w:szCs w:val="15"/>
              </w:rPr>
              <w:t>Cent. Africa</w:t>
            </w:r>
          </w:p>
        </w:tc>
        <w:tc>
          <w:tcPr>
            <w:tcW w:w="1007" w:type="dxa"/>
            <w:tcBorders>
              <w:top w:val="single" w:sz="8" w:space="0" w:color="000000"/>
              <w:bottom w:val="single" w:sz="4" w:space="0" w:color="000000"/>
            </w:tcBorders>
            <w:vAlign w:val="center"/>
          </w:tcPr>
          <w:p>
            <w:pPr>
              <w:pStyle w:val="Normal"/>
              <w:jc w:val="center"/>
              <w:rPr/>
            </w:pPr>
            <w:r>
              <w:rPr>
                <w:b/>
                <w:bCs/>
                <w:sz w:val="15"/>
                <w:szCs w:val="15"/>
              </w:rPr>
              <w:t>SADC</w:t>
            </w:r>
          </w:p>
        </w:tc>
        <w:tc>
          <w:tcPr>
            <w:tcW w:w="1007" w:type="dxa"/>
            <w:tcBorders>
              <w:top w:val="single" w:sz="8" w:space="0" w:color="000000"/>
              <w:bottom w:val="single" w:sz="4" w:space="0" w:color="000000"/>
            </w:tcBorders>
            <w:vAlign w:val="center"/>
          </w:tcPr>
          <w:p>
            <w:pPr>
              <w:pStyle w:val="Normal"/>
              <w:jc w:val="center"/>
              <w:rPr/>
            </w:pPr>
            <w:r>
              <w:rPr>
                <w:b/>
                <w:bCs/>
                <w:sz w:val="15"/>
                <w:szCs w:val="15"/>
              </w:rPr>
              <w:t>EAC</w:t>
            </w:r>
          </w:p>
        </w:tc>
        <w:tc>
          <w:tcPr>
            <w:tcW w:w="910" w:type="dxa"/>
            <w:tcBorders>
              <w:top w:val="single" w:sz="8" w:space="0" w:color="000000"/>
              <w:bottom w:val="single" w:sz="4" w:space="0" w:color="000000"/>
            </w:tcBorders>
            <w:vAlign w:val="center"/>
          </w:tcPr>
          <w:p>
            <w:pPr>
              <w:pStyle w:val="Normal"/>
              <w:jc w:val="center"/>
              <w:rPr/>
            </w:pPr>
            <w:r>
              <w:rPr>
                <w:b/>
                <w:bCs/>
                <w:sz w:val="15"/>
                <w:szCs w:val="15"/>
              </w:rPr>
              <w:t>ESA</w:t>
            </w:r>
          </w:p>
        </w:tc>
        <w:tc>
          <w:tcPr>
            <w:tcW w:w="1510" w:type="dxa"/>
            <w:tcBorders>
              <w:top w:val="single" w:sz="8" w:space="0" w:color="000000"/>
              <w:bottom w:val="single" w:sz="4" w:space="0" w:color="000000"/>
            </w:tcBorders>
            <w:vAlign w:val="center"/>
          </w:tcPr>
          <w:p>
            <w:pPr>
              <w:pStyle w:val="Normal"/>
              <w:jc w:val="center"/>
              <w:rPr/>
            </w:pPr>
            <w:r>
              <w:rPr>
                <w:b/>
                <w:bCs/>
                <w:sz w:val="15"/>
                <w:szCs w:val="15"/>
              </w:rPr>
              <w:t>CARI- FORUM</w:t>
            </w:r>
          </w:p>
        </w:tc>
        <w:tc>
          <w:tcPr>
            <w:tcW w:w="1008" w:type="dxa"/>
            <w:tcBorders>
              <w:top w:val="single" w:sz="8" w:space="0" w:color="000000"/>
              <w:bottom w:val="single" w:sz="4" w:space="0" w:color="000000"/>
            </w:tcBorders>
            <w:vAlign w:val="center"/>
          </w:tcPr>
          <w:p>
            <w:pPr>
              <w:pStyle w:val="Normal"/>
              <w:jc w:val="center"/>
              <w:rPr/>
            </w:pPr>
            <w:r>
              <w:rPr>
                <w:b/>
                <w:bCs/>
                <w:sz w:val="15"/>
                <w:szCs w:val="15"/>
              </w:rPr>
              <w:t>PIF</w:t>
            </w:r>
          </w:p>
        </w:tc>
      </w:tr>
      <w:tr>
        <w:trPr/>
        <w:tc>
          <w:tcPr>
            <w:tcW w:w="1694" w:type="dxa"/>
            <w:tcBorders/>
            <w:vAlign w:val="center"/>
          </w:tcPr>
          <w:p>
            <w:pPr>
              <w:pStyle w:val="Normal"/>
              <w:jc w:val="center"/>
              <w:rPr/>
            </w:pPr>
            <w:r>
              <w:rPr>
                <w:i/>
                <w:iCs/>
                <w:sz w:val="15"/>
                <w:szCs w:val="15"/>
              </w:rPr>
              <w:t>ln(Distance)</w:t>
            </w:r>
          </w:p>
        </w:tc>
        <w:tc>
          <w:tcPr>
            <w:tcW w:w="1030" w:type="dxa"/>
            <w:tcBorders/>
            <w:vAlign w:val="center"/>
          </w:tcPr>
          <w:p>
            <w:pPr>
              <w:pStyle w:val="Normal"/>
              <w:jc w:val="center"/>
              <w:rPr/>
            </w:pPr>
            <w:r>
              <w:rPr>
                <w:sz w:val="15"/>
                <w:szCs w:val="15"/>
              </w:rPr>
              <w:t>2.029</w:t>
            </w:r>
          </w:p>
        </w:tc>
        <w:tc>
          <w:tcPr>
            <w:tcW w:w="1194" w:type="dxa"/>
            <w:tcBorders/>
            <w:vAlign w:val="center"/>
          </w:tcPr>
          <w:p>
            <w:pPr>
              <w:pStyle w:val="Normal"/>
              <w:jc w:val="center"/>
              <w:rPr/>
            </w:pPr>
            <w:r>
              <w:rPr>
                <w:sz w:val="15"/>
                <w:szCs w:val="15"/>
              </w:rPr>
              <w:t>−</w:t>
            </w:r>
            <w:r>
              <w:rPr>
                <w:sz w:val="15"/>
                <w:szCs w:val="15"/>
              </w:rPr>
              <w:t>2.096</w:t>
            </w:r>
          </w:p>
        </w:tc>
        <w:tc>
          <w:tcPr>
            <w:tcW w:w="1007" w:type="dxa"/>
            <w:tcBorders/>
            <w:vAlign w:val="center"/>
          </w:tcPr>
          <w:p>
            <w:pPr>
              <w:pStyle w:val="Normal"/>
              <w:jc w:val="center"/>
              <w:rPr/>
            </w:pPr>
            <w:r>
              <w:rPr>
                <w:sz w:val="15"/>
                <w:szCs w:val="15"/>
              </w:rPr>
              <w:t>−</w:t>
            </w:r>
            <w:r>
              <w:rPr>
                <w:sz w:val="15"/>
                <w:szCs w:val="15"/>
              </w:rPr>
              <w:t>18.34***</w:t>
            </w:r>
          </w:p>
        </w:tc>
        <w:tc>
          <w:tcPr>
            <w:tcW w:w="1007" w:type="dxa"/>
            <w:tcBorders/>
            <w:vAlign w:val="center"/>
          </w:tcPr>
          <w:p>
            <w:pPr>
              <w:pStyle w:val="Normal"/>
              <w:jc w:val="center"/>
              <w:rPr/>
            </w:pPr>
            <w:r>
              <w:rPr>
                <w:sz w:val="15"/>
                <w:szCs w:val="15"/>
              </w:rPr>
              <w:t>2.409</w:t>
            </w:r>
          </w:p>
        </w:tc>
        <w:tc>
          <w:tcPr>
            <w:tcW w:w="910" w:type="dxa"/>
            <w:tcBorders/>
            <w:vAlign w:val="center"/>
          </w:tcPr>
          <w:p>
            <w:pPr>
              <w:pStyle w:val="Normal"/>
              <w:jc w:val="center"/>
              <w:rPr/>
            </w:pPr>
            <w:r>
              <w:rPr>
                <w:sz w:val="15"/>
                <w:szCs w:val="15"/>
              </w:rPr>
              <w:t>−</w:t>
            </w:r>
            <w:r>
              <w:rPr>
                <w:sz w:val="15"/>
                <w:szCs w:val="15"/>
              </w:rPr>
              <w:t>1.462</w:t>
            </w:r>
          </w:p>
        </w:tc>
        <w:tc>
          <w:tcPr>
            <w:tcW w:w="1510" w:type="dxa"/>
            <w:tcBorders/>
            <w:vAlign w:val="center"/>
          </w:tcPr>
          <w:p>
            <w:pPr>
              <w:pStyle w:val="Normal"/>
              <w:jc w:val="center"/>
              <w:rPr/>
            </w:pPr>
            <w:r>
              <w:rPr>
                <w:sz w:val="15"/>
                <w:szCs w:val="15"/>
              </w:rPr>
              <w:t>−</w:t>
            </w:r>
            <w:r>
              <w:rPr>
                <w:sz w:val="15"/>
                <w:szCs w:val="15"/>
              </w:rPr>
              <w:t>0.569</w:t>
            </w:r>
          </w:p>
        </w:tc>
        <w:tc>
          <w:tcPr>
            <w:tcW w:w="1008" w:type="dxa"/>
            <w:tcBorders/>
            <w:vAlign w:val="center"/>
          </w:tcPr>
          <w:p>
            <w:pPr>
              <w:pStyle w:val="Normal"/>
              <w:jc w:val="center"/>
              <w:rPr/>
            </w:pPr>
            <w:r>
              <w:rPr>
                <w:sz w:val="15"/>
                <w:szCs w:val="15"/>
              </w:rPr>
              <w:t>13.26*</w:t>
            </w:r>
          </w:p>
        </w:tc>
      </w:tr>
      <w:tr>
        <w:trPr/>
        <w:tc>
          <w:tcPr>
            <w:tcW w:w="1694" w:type="dxa"/>
            <w:tcBorders/>
            <w:vAlign w:val="center"/>
          </w:tcPr>
          <w:p>
            <w:pPr>
              <w:pStyle w:val="Normal"/>
              <w:jc w:val="center"/>
              <w:rPr/>
            </w:pPr>
            <w:r>
              <w:rPr/>
            </w:r>
          </w:p>
        </w:tc>
        <w:tc>
          <w:tcPr>
            <w:tcW w:w="1030" w:type="dxa"/>
            <w:tcBorders/>
            <w:vAlign w:val="center"/>
          </w:tcPr>
          <w:p>
            <w:pPr>
              <w:pStyle w:val="Normal"/>
              <w:jc w:val="center"/>
              <w:rPr/>
            </w:pPr>
            <w:r>
              <w:rPr>
                <w:sz w:val="14"/>
                <w:szCs w:val="14"/>
              </w:rPr>
              <w:t>(1.260)</w:t>
            </w:r>
          </w:p>
        </w:tc>
        <w:tc>
          <w:tcPr>
            <w:tcW w:w="1194" w:type="dxa"/>
            <w:tcBorders/>
            <w:vAlign w:val="center"/>
          </w:tcPr>
          <w:p>
            <w:pPr>
              <w:pStyle w:val="Normal"/>
              <w:jc w:val="center"/>
              <w:rPr/>
            </w:pPr>
            <w:r>
              <w:rPr>
                <w:sz w:val="14"/>
                <w:szCs w:val="14"/>
              </w:rPr>
              <w:t>(3.479)</w:t>
            </w:r>
          </w:p>
        </w:tc>
        <w:tc>
          <w:tcPr>
            <w:tcW w:w="1007" w:type="dxa"/>
            <w:tcBorders/>
            <w:vAlign w:val="center"/>
          </w:tcPr>
          <w:p>
            <w:pPr>
              <w:pStyle w:val="Normal"/>
              <w:jc w:val="center"/>
              <w:rPr/>
            </w:pPr>
            <w:r>
              <w:rPr>
                <w:sz w:val="14"/>
                <w:szCs w:val="14"/>
              </w:rPr>
              <w:t>(5.033)</w:t>
            </w:r>
          </w:p>
        </w:tc>
        <w:tc>
          <w:tcPr>
            <w:tcW w:w="1007" w:type="dxa"/>
            <w:tcBorders/>
            <w:vAlign w:val="center"/>
          </w:tcPr>
          <w:p>
            <w:pPr>
              <w:pStyle w:val="Normal"/>
              <w:jc w:val="center"/>
              <w:rPr/>
            </w:pPr>
            <w:r>
              <w:rPr>
                <w:sz w:val="14"/>
                <w:szCs w:val="14"/>
              </w:rPr>
              <w:t>(5.306)</w:t>
            </w:r>
          </w:p>
        </w:tc>
        <w:tc>
          <w:tcPr>
            <w:tcW w:w="910" w:type="dxa"/>
            <w:tcBorders/>
            <w:vAlign w:val="center"/>
          </w:tcPr>
          <w:p>
            <w:pPr>
              <w:pStyle w:val="Normal"/>
              <w:jc w:val="center"/>
              <w:rPr/>
            </w:pPr>
            <w:r>
              <w:rPr>
                <w:sz w:val="14"/>
                <w:szCs w:val="14"/>
              </w:rPr>
              <w:t>(1.359)</w:t>
            </w:r>
          </w:p>
        </w:tc>
        <w:tc>
          <w:tcPr>
            <w:tcW w:w="1510" w:type="dxa"/>
            <w:tcBorders/>
            <w:vAlign w:val="center"/>
          </w:tcPr>
          <w:p>
            <w:pPr>
              <w:pStyle w:val="Normal"/>
              <w:jc w:val="center"/>
              <w:rPr/>
            </w:pPr>
            <w:r>
              <w:rPr>
                <w:sz w:val="14"/>
                <w:szCs w:val="14"/>
              </w:rPr>
              <w:t>(5.220)</w:t>
            </w:r>
          </w:p>
        </w:tc>
        <w:tc>
          <w:tcPr>
            <w:tcW w:w="1008" w:type="dxa"/>
            <w:tcBorders/>
            <w:vAlign w:val="center"/>
          </w:tcPr>
          <w:p>
            <w:pPr>
              <w:pStyle w:val="Normal"/>
              <w:jc w:val="center"/>
              <w:rPr/>
            </w:pPr>
            <w:r>
              <w:rPr>
                <w:sz w:val="14"/>
                <w:szCs w:val="14"/>
              </w:rPr>
              <w:t>(7.149)</w:t>
            </w:r>
          </w:p>
        </w:tc>
      </w:tr>
      <w:tr>
        <w:trPr/>
        <w:tc>
          <w:tcPr>
            <w:tcW w:w="1694" w:type="dxa"/>
            <w:tcBorders/>
            <w:vAlign w:val="center"/>
          </w:tcPr>
          <w:p>
            <w:pPr>
              <w:pStyle w:val="Normal"/>
              <w:jc w:val="center"/>
              <w:rPr/>
            </w:pPr>
            <w:r>
              <w:rPr>
                <w:i/>
                <w:iCs/>
                <w:sz w:val="15"/>
                <w:szCs w:val="15"/>
              </w:rPr>
              <w:t>Common Language</w:t>
            </w:r>
          </w:p>
        </w:tc>
        <w:tc>
          <w:tcPr>
            <w:tcW w:w="1030" w:type="dxa"/>
            <w:tcBorders/>
            <w:vAlign w:val="center"/>
          </w:tcPr>
          <w:p>
            <w:pPr>
              <w:pStyle w:val="Normal"/>
              <w:jc w:val="center"/>
              <w:rPr/>
            </w:pPr>
            <w:r>
              <w:rPr>
                <w:sz w:val="15"/>
                <w:szCs w:val="15"/>
              </w:rPr>
              <w:t>0.457***</w:t>
            </w:r>
          </w:p>
        </w:tc>
        <w:tc>
          <w:tcPr>
            <w:tcW w:w="1194" w:type="dxa"/>
            <w:tcBorders/>
            <w:vAlign w:val="center"/>
          </w:tcPr>
          <w:p>
            <w:pPr>
              <w:pStyle w:val="Normal"/>
              <w:jc w:val="center"/>
              <w:rPr/>
            </w:pPr>
            <w:r>
              <w:rPr>
                <w:sz w:val="15"/>
                <w:szCs w:val="15"/>
              </w:rPr>
              <w:t>0.174</w:t>
            </w:r>
          </w:p>
        </w:tc>
        <w:tc>
          <w:tcPr>
            <w:tcW w:w="1007" w:type="dxa"/>
            <w:tcBorders/>
            <w:vAlign w:val="center"/>
          </w:tcPr>
          <w:p>
            <w:pPr>
              <w:pStyle w:val="Normal"/>
              <w:jc w:val="center"/>
              <w:rPr/>
            </w:pPr>
            <w:r>
              <w:rPr>
                <w:sz w:val="15"/>
                <w:szCs w:val="15"/>
              </w:rPr>
              <w:t>1.636***</w:t>
            </w:r>
          </w:p>
        </w:tc>
        <w:tc>
          <w:tcPr>
            <w:tcW w:w="1007" w:type="dxa"/>
            <w:tcBorders/>
            <w:vAlign w:val="center"/>
          </w:tcPr>
          <w:p>
            <w:pPr>
              <w:pStyle w:val="Normal"/>
              <w:jc w:val="center"/>
              <w:rPr/>
            </w:pPr>
            <w:r>
              <w:rPr>
                <w:sz w:val="15"/>
                <w:szCs w:val="15"/>
              </w:rPr>
              <w:t>0.796***</w:t>
            </w:r>
          </w:p>
        </w:tc>
        <w:tc>
          <w:tcPr>
            <w:tcW w:w="910" w:type="dxa"/>
            <w:tcBorders/>
            <w:vAlign w:val="center"/>
          </w:tcPr>
          <w:p>
            <w:pPr>
              <w:pStyle w:val="Normal"/>
              <w:jc w:val="center"/>
              <w:rPr/>
            </w:pPr>
            <w:r>
              <w:rPr>
                <w:sz w:val="15"/>
                <w:szCs w:val="15"/>
              </w:rPr>
              <w:t>0.804**</w:t>
            </w:r>
          </w:p>
        </w:tc>
        <w:tc>
          <w:tcPr>
            <w:tcW w:w="1510" w:type="dxa"/>
            <w:tcBorders/>
            <w:vAlign w:val="center"/>
          </w:tcPr>
          <w:p>
            <w:pPr>
              <w:pStyle w:val="Normal"/>
              <w:jc w:val="center"/>
              <w:rPr/>
            </w:pPr>
            <w:r>
              <w:rPr>
                <w:sz w:val="15"/>
                <w:szCs w:val="15"/>
              </w:rPr>
              <w:t>1.125***</w:t>
            </w:r>
          </w:p>
        </w:tc>
        <w:tc>
          <w:tcPr>
            <w:tcW w:w="1008" w:type="dxa"/>
            <w:tcBorders/>
            <w:vAlign w:val="center"/>
          </w:tcPr>
          <w:p>
            <w:pPr>
              <w:pStyle w:val="Normal"/>
              <w:jc w:val="center"/>
              <w:rPr/>
            </w:pPr>
            <w:r>
              <w:rPr>
                <w:sz w:val="15"/>
                <w:szCs w:val="15"/>
              </w:rPr>
              <w:t>1.035</w:t>
            </w:r>
          </w:p>
        </w:tc>
      </w:tr>
      <w:tr>
        <w:trPr/>
        <w:tc>
          <w:tcPr>
            <w:tcW w:w="1694" w:type="dxa"/>
            <w:tcBorders/>
            <w:vAlign w:val="center"/>
          </w:tcPr>
          <w:p>
            <w:pPr>
              <w:pStyle w:val="Normal"/>
              <w:jc w:val="center"/>
              <w:rPr/>
            </w:pPr>
            <w:r>
              <w:rPr/>
            </w:r>
          </w:p>
        </w:tc>
        <w:tc>
          <w:tcPr>
            <w:tcW w:w="1030" w:type="dxa"/>
            <w:tcBorders/>
            <w:vAlign w:val="center"/>
          </w:tcPr>
          <w:p>
            <w:pPr>
              <w:pStyle w:val="Normal"/>
              <w:jc w:val="center"/>
              <w:rPr/>
            </w:pPr>
            <w:r>
              <w:rPr>
                <w:sz w:val="14"/>
                <w:szCs w:val="14"/>
              </w:rPr>
              <w:t>(0.128)</w:t>
            </w:r>
          </w:p>
        </w:tc>
        <w:tc>
          <w:tcPr>
            <w:tcW w:w="1194" w:type="dxa"/>
            <w:tcBorders/>
            <w:vAlign w:val="center"/>
          </w:tcPr>
          <w:p>
            <w:pPr>
              <w:pStyle w:val="Normal"/>
              <w:jc w:val="center"/>
              <w:rPr/>
            </w:pPr>
            <w:r>
              <w:rPr>
                <w:sz w:val="14"/>
                <w:szCs w:val="14"/>
              </w:rPr>
              <w:t>(0.311)</w:t>
            </w:r>
          </w:p>
        </w:tc>
        <w:tc>
          <w:tcPr>
            <w:tcW w:w="1007" w:type="dxa"/>
            <w:tcBorders/>
            <w:vAlign w:val="center"/>
          </w:tcPr>
          <w:p>
            <w:pPr>
              <w:pStyle w:val="Normal"/>
              <w:jc w:val="center"/>
              <w:rPr/>
            </w:pPr>
            <w:r>
              <w:rPr>
                <w:sz w:val="14"/>
                <w:szCs w:val="14"/>
              </w:rPr>
              <w:t>(0.284)</w:t>
            </w:r>
          </w:p>
        </w:tc>
        <w:tc>
          <w:tcPr>
            <w:tcW w:w="1007" w:type="dxa"/>
            <w:tcBorders/>
            <w:vAlign w:val="center"/>
          </w:tcPr>
          <w:p>
            <w:pPr>
              <w:pStyle w:val="Normal"/>
              <w:jc w:val="center"/>
              <w:rPr/>
            </w:pPr>
            <w:r>
              <w:rPr>
                <w:sz w:val="14"/>
                <w:szCs w:val="14"/>
              </w:rPr>
              <w:t>(0.141)</w:t>
            </w:r>
          </w:p>
        </w:tc>
        <w:tc>
          <w:tcPr>
            <w:tcW w:w="910" w:type="dxa"/>
            <w:tcBorders/>
            <w:vAlign w:val="center"/>
          </w:tcPr>
          <w:p>
            <w:pPr>
              <w:pStyle w:val="Normal"/>
              <w:jc w:val="center"/>
              <w:rPr/>
            </w:pPr>
            <w:r>
              <w:rPr>
                <w:sz w:val="14"/>
                <w:szCs w:val="14"/>
              </w:rPr>
              <w:t>(0.381)</w:t>
            </w:r>
          </w:p>
        </w:tc>
        <w:tc>
          <w:tcPr>
            <w:tcW w:w="1510" w:type="dxa"/>
            <w:tcBorders/>
            <w:vAlign w:val="center"/>
          </w:tcPr>
          <w:p>
            <w:pPr>
              <w:pStyle w:val="Normal"/>
              <w:jc w:val="center"/>
              <w:rPr/>
            </w:pPr>
            <w:r>
              <w:rPr>
                <w:sz w:val="14"/>
                <w:szCs w:val="14"/>
              </w:rPr>
              <w:t>(0.275)</w:t>
            </w:r>
          </w:p>
        </w:tc>
        <w:tc>
          <w:tcPr>
            <w:tcW w:w="1008" w:type="dxa"/>
            <w:tcBorders/>
            <w:vAlign w:val="center"/>
          </w:tcPr>
          <w:p>
            <w:pPr>
              <w:pStyle w:val="Normal"/>
              <w:jc w:val="center"/>
              <w:rPr/>
            </w:pPr>
            <w:r>
              <w:rPr>
                <w:sz w:val="14"/>
                <w:szCs w:val="14"/>
              </w:rPr>
              <w:t>(0.866)</w:t>
            </w:r>
          </w:p>
        </w:tc>
      </w:tr>
      <w:tr>
        <w:trPr/>
        <w:tc>
          <w:tcPr>
            <w:tcW w:w="1694" w:type="dxa"/>
            <w:tcBorders/>
            <w:vAlign w:val="center"/>
          </w:tcPr>
          <w:p>
            <w:pPr>
              <w:pStyle w:val="Normal"/>
              <w:jc w:val="center"/>
              <w:rPr/>
            </w:pPr>
            <w:r>
              <w:rPr>
                <w:i/>
                <w:iCs/>
                <w:sz w:val="15"/>
                <w:szCs w:val="15"/>
              </w:rPr>
              <w:t>Colonial Tie</w:t>
            </w:r>
          </w:p>
        </w:tc>
        <w:tc>
          <w:tcPr>
            <w:tcW w:w="1030" w:type="dxa"/>
            <w:tcBorders/>
            <w:vAlign w:val="center"/>
          </w:tcPr>
          <w:p>
            <w:pPr>
              <w:pStyle w:val="Normal"/>
              <w:jc w:val="center"/>
              <w:rPr/>
            </w:pPr>
            <w:r>
              <w:rPr>
                <w:sz w:val="15"/>
                <w:szCs w:val="15"/>
              </w:rPr>
              <w:t>0.680***</w:t>
            </w:r>
          </w:p>
        </w:tc>
        <w:tc>
          <w:tcPr>
            <w:tcW w:w="1194" w:type="dxa"/>
            <w:tcBorders/>
            <w:vAlign w:val="center"/>
          </w:tcPr>
          <w:p>
            <w:pPr>
              <w:pStyle w:val="Normal"/>
              <w:jc w:val="center"/>
              <w:rPr/>
            </w:pPr>
            <w:r>
              <w:rPr>
                <w:sz w:val="15"/>
                <w:szCs w:val="15"/>
              </w:rPr>
              <w:t>0.740***</w:t>
            </w:r>
          </w:p>
        </w:tc>
        <w:tc>
          <w:tcPr>
            <w:tcW w:w="1007" w:type="dxa"/>
            <w:tcBorders/>
            <w:vAlign w:val="center"/>
          </w:tcPr>
          <w:p>
            <w:pPr>
              <w:pStyle w:val="Normal"/>
              <w:jc w:val="center"/>
              <w:rPr/>
            </w:pPr>
            <w:r>
              <w:rPr>
                <w:sz w:val="15"/>
                <w:szCs w:val="15"/>
              </w:rPr>
              <w:t>−</w:t>
            </w:r>
            <w:r>
              <w:rPr>
                <w:sz w:val="15"/>
                <w:szCs w:val="15"/>
              </w:rPr>
              <w:t>0.184</w:t>
            </w:r>
          </w:p>
        </w:tc>
        <w:tc>
          <w:tcPr>
            <w:tcW w:w="1007" w:type="dxa"/>
            <w:tcBorders/>
            <w:vAlign w:val="center"/>
          </w:tcPr>
          <w:p>
            <w:pPr>
              <w:pStyle w:val="Normal"/>
              <w:jc w:val="center"/>
              <w:rPr/>
            </w:pPr>
            <w:r>
              <w:rPr>
                <w:sz w:val="15"/>
                <w:szCs w:val="15"/>
              </w:rPr>
              <w:t>0.562***</w:t>
            </w:r>
          </w:p>
        </w:tc>
        <w:tc>
          <w:tcPr>
            <w:tcW w:w="910" w:type="dxa"/>
            <w:tcBorders/>
            <w:vAlign w:val="center"/>
          </w:tcPr>
          <w:p>
            <w:pPr>
              <w:pStyle w:val="Normal"/>
              <w:jc w:val="center"/>
              <w:rPr/>
            </w:pPr>
            <w:r>
              <w:rPr>
                <w:sz w:val="15"/>
                <w:szCs w:val="15"/>
              </w:rPr>
              <w:t>0.524</w:t>
            </w:r>
          </w:p>
        </w:tc>
        <w:tc>
          <w:tcPr>
            <w:tcW w:w="1510" w:type="dxa"/>
            <w:tcBorders/>
            <w:vAlign w:val="center"/>
          </w:tcPr>
          <w:p>
            <w:pPr>
              <w:pStyle w:val="Normal"/>
              <w:jc w:val="center"/>
              <w:rPr/>
            </w:pPr>
            <w:r>
              <w:rPr>
                <w:sz w:val="15"/>
                <w:szCs w:val="15"/>
              </w:rPr>
              <w:t>−</w:t>
            </w:r>
            <w:r>
              <w:rPr>
                <w:sz w:val="15"/>
                <w:szCs w:val="15"/>
              </w:rPr>
              <w:t>0.283</w:t>
            </w:r>
          </w:p>
        </w:tc>
        <w:tc>
          <w:tcPr>
            <w:tcW w:w="1008" w:type="dxa"/>
            <w:tcBorders/>
            <w:vAlign w:val="center"/>
          </w:tcPr>
          <w:p>
            <w:pPr>
              <w:pStyle w:val="Normal"/>
              <w:jc w:val="center"/>
              <w:rPr/>
            </w:pPr>
            <w:r>
              <w:rPr>
                <w:sz w:val="15"/>
                <w:szCs w:val="15"/>
              </w:rPr>
              <w:t>0.994**</w:t>
            </w:r>
          </w:p>
        </w:tc>
      </w:tr>
      <w:tr>
        <w:trPr/>
        <w:tc>
          <w:tcPr>
            <w:tcW w:w="1694" w:type="dxa"/>
            <w:tcBorders/>
            <w:vAlign w:val="center"/>
          </w:tcPr>
          <w:p>
            <w:pPr>
              <w:pStyle w:val="Normal"/>
              <w:jc w:val="center"/>
              <w:rPr/>
            </w:pPr>
            <w:r>
              <w:rPr/>
            </w:r>
          </w:p>
        </w:tc>
        <w:tc>
          <w:tcPr>
            <w:tcW w:w="1030" w:type="dxa"/>
            <w:tcBorders/>
            <w:vAlign w:val="center"/>
          </w:tcPr>
          <w:p>
            <w:pPr>
              <w:pStyle w:val="Normal"/>
              <w:jc w:val="center"/>
              <w:rPr/>
            </w:pPr>
            <w:r>
              <w:rPr>
                <w:sz w:val="14"/>
                <w:szCs w:val="14"/>
              </w:rPr>
              <w:t>(0.137)</w:t>
            </w:r>
          </w:p>
        </w:tc>
        <w:tc>
          <w:tcPr>
            <w:tcW w:w="1194" w:type="dxa"/>
            <w:tcBorders/>
            <w:vAlign w:val="center"/>
          </w:tcPr>
          <w:p>
            <w:pPr>
              <w:pStyle w:val="Normal"/>
              <w:jc w:val="center"/>
              <w:rPr/>
            </w:pPr>
            <w:r>
              <w:rPr>
                <w:sz w:val="14"/>
                <w:szCs w:val="14"/>
              </w:rPr>
              <w:t>(0.233)</w:t>
            </w:r>
          </w:p>
        </w:tc>
        <w:tc>
          <w:tcPr>
            <w:tcW w:w="1007" w:type="dxa"/>
            <w:tcBorders/>
            <w:vAlign w:val="center"/>
          </w:tcPr>
          <w:p>
            <w:pPr>
              <w:pStyle w:val="Normal"/>
              <w:jc w:val="center"/>
              <w:rPr/>
            </w:pPr>
            <w:r>
              <w:rPr>
                <w:sz w:val="14"/>
                <w:szCs w:val="14"/>
              </w:rPr>
              <w:t>(0.243)</w:t>
            </w:r>
          </w:p>
        </w:tc>
        <w:tc>
          <w:tcPr>
            <w:tcW w:w="1007" w:type="dxa"/>
            <w:tcBorders/>
            <w:vAlign w:val="center"/>
          </w:tcPr>
          <w:p>
            <w:pPr>
              <w:pStyle w:val="Normal"/>
              <w:jc w:val="center"/>
              <w:rPr/>
            </w:pPr>
            <w:r>
              <w:rPr>
                <w:sz w:val="14"/>
                <w:szCs w:val="14"/>
              </w:rPr>
              <w:t>(0.101)</w:t>
            </w:r>
          </w:p>
        </w:tc>
        <w:tc>
          <w:tcPr>
            <w:tcW w:w="910" w:type="dxa"/>
            <w:tcBorders/>
            <w:vAlign w:val="center"/>
          </w:tcPr>
          <w:p>
            <w:pPr>
              <w:pStyle w:val="Normal"/>
              <w:jc w:val="center"/>
              <w:rPr/>
            </w:pPr>
            <w:r>
              <w:rPr>
                <w:sz w:val="14"/>
                <w:szCs w:val="14"/>
              </w:rPr>
              <w:t>(0.378)</w:t>
            </w:r>
          </w:p>
        </w:tc>
        <w:tc>
          <w:tcPr>
            <w:tcW w:w="1510" w:type="dxa"/>
            <w:tcBorders/>
            <w:vAlign w:val="center"/>
          </w:tcPr>
          <w:p>
            <w:pPr>
              <w:pStyle w:val="Normal"/>
              <w:jc w:val="center"/>
              <w:rPr/>
            </w:pPr>
            <w:r>
              <w:rPr>
                <w:sz w:val="14"/>
                <w:szCs w:val="14"/>
              </w:rPr>
              <w:t>(0.245)</w:t>
            </w:r>
          </w:p>
        </w:tc>
        <w:tc>
          <w:tcPr>
            <w:tcW w:w="1008" w:type="dxa"/>
            <w:tcBorders/>
            <w:vAlign w:val="center"/>
          </w:tcPr>
          <w:p>
            <w:pPr>
              <w:pStyle w:val="Normal"/>
              <w:jc w:val="center"/>
              <w:rPr/>
            </w:pPr>
            <w:r>
              <w:rPr>
                <w:sz w:val="14"/>
                <w:szCs w:val="14"/>
              </w:rPr>
              <w:t>(0.460)</w:t>
            </w:r>
          </w:p>
        </w:tc>
      </w:tr>
      <w:tr>
        <w:trPr/>
        <w:tc>
          <w:tcPr>
            <w:tcW w:w="1694" w:type="dxa"/>
            <w:tcBorders/>
            <w:vAlign w:val="center"/>
          </w:tcPr>
          <w:p>
            <w:pPr>
              <w:pStyle w:val="Normal"/>
              <w:jc w:val="center"/>
              <w:rPr/>
            </w:pPr>
            <w:r>
              <w:rPr>
                <w:i/>
                <w:iCs/>
                <w:sz w:val="15"/>
                <w:szCs w:val="15"/>
              </w:rPr>
              <w:t>EPA (in force)</w:t>
            </w:r>
          </w:p>
        </w:tc>
        <w:tc>
          <w:tcPr>
            <w:tcW w:w="1030" w:type="dxa"/>
            <w:tcBorders/>
            <w:vAlign w:val="center"/>
          </w:tcPr>
          <w:p>
            <w:pPr>
              <w:pStyle w:val="Normal"/>
              <w:jc w:val="center"/>
              <w:rPr/>
            </w:pPr>
            <w:r>
              <w:rPr>
                <w:sz w:val="15"/>
                <w:szCs w:val="15"/>
              </w:rPr>
              <w:t>−</w:t>
            </w:r>
            <w:r>
              <w:rPr>
                <w:sz w:val="15"/>
                <w:szCs w:val="15"/>
              </w:rPr>
              <w:t>0.004</w:t>
            </w:r>
          </w:p>
        </w:tc>
        <w:tc>
          <w:tcPr>
            <w:tcW w:w="1194" w:type="dxa"/>
            <w:tcBorders/>
            <w:vAlign w:val="center"/>
          </w:tcPr>
          <w:p>
            <w:pPr>
              <w:pStyle w:val="Normal"/>
              <w:jc w:val="center"/>
              <w:rPr/>
            </w:pPr>
            <w:r>
              <w:rPr>
                <w:sz w:val="15"/>
                <w:szCs w:val="15"/>
              </w:rPr>
              <w:t>−</w:t>
            </w:r>
            <w:r>
              <w:rPr>
                <w:sz w:val="15"/>
                <w:szCs w:val="15"/>
              </w:rPr>
              <w:t>0.220</w:t>
            </w:r>
          </w:p>
        </w:tc>
        <w:tc>
          <w:tcPr>
            <w:tcW w:w="1007" w:type="dxa"/>
            <w:tcBorders/>
            <w:vAlign w:val="center"/>
          </w:tcPr>
          <w:p>
            <w:pPr>
              <w:pStyle w:val="Normal"/>
              <w:jc w:val="center"/>
              <w:rPr/>
            </w:pPr>
            <w:r>
              <w:rPr>
                <w:sz w:val="15"/>
                <w:szCs w:val="15"/>
              </w:rPr>
              <w:t>0.397***</w:t>
            </w:r>
          </w:p>
        </w:tc>
        <w:tc>
          <w:tcPr>
            <w:tcW w:w="1007" w:type="dxa"/>
            <w:tcBorders/>
            <w:vAlign w:val="center"/>
          </w:tcPr>
          <w:p>
            <w:pPr>
              <w:pStyle w:val="Normal"/>
              <w:jc w:val="center"/>
              <w:rPr/>
            </w:pPr>
            <w:r>
              <w:rPr>
                <w:sz w:val="15"/>
                <w:szCs w:val="15"/>
              </w:rPr>
              <w:t>—</w:t>
            </w:r>
          </w:p>
        </w:tc>
        <w:tc>
          <w:tcPr>
            <w:tcW w:w="910" w:type="dxa"/>
            <w:tcBorders/>
            <w:vAlign w:val="center"/>
          </w:tcPr>
          <w:p>
            <w:pPr>
              <w:pStyle w:val="Normal"/>
              <w:jc w:val="center"/>
              <w:rPr/>
            </w:pPr>
            <w:r>
              <w:rPr>
                <w:sz w:val="15"/>
                <w:szCs w:val="15"/>
              </w:rPr>
              <w:t>−</w:t>
            </w:r>
            <w:r>
              <w:rPr>
                <w:sz w:val="15"/>
                <w:szCs w:val="15"/>
              </w:rPr>
              <w:t>0.229*</w:t>
            </w:r>
          </w:p>
        </w:tc>
        <w:tc>
          <w:tcPr>
            <w:tcW w:w="1510" w:type="dxa"/>
            <w:tcBorders/>
            <w:vAlign w:val="center"/>
          </w:tcPr>
          <w:p>
            <w:pPr>
              <w:pStyle w:val="Normal"/>
              <w:jc w:val="center"/>
              <w:rPr/>
            </w:pPr>
            <w:r>
              <w:rPr>
                <w:sz w:val="15"/>
                <w:szCs w:val="15"/>
              </w:rPr>
              <w:t>−</w:t>
            </w:r>
            <w:r>
              <w:rPr>
                <w:sz w:val="15"/>
                <w:szCs w:val="15"/>
              </w:rPr>
              <w:t>0.364**</w:t>
            </w:r>
          </w:p>
        </w:tc>
        <w:tc>
          <w:tcPr>
            <w:tcW w:w="1008" w:type="dxa"/>
            <w:tcBorders/>
            <w:vAlign w:val="center"/>
          </w:tcPr>
          <w:p>
            <w:pPr>
              <w:pStyle w:val="Normal"/>
              <w:jc w:val="center"/>
              <w:rPr/>
            </w:pPr>
            <w:r>
              <w:rPr>
                <w:sz w:val="15"/>
                <w:szCs w:val="15"/>
              </w:rPr>
              <w:t>0.159</w:t>
            </w:r>
          </w:p>
        </w:tc>
      </w:tr>
      <w:tr>
        <w:trPr/>
        <w:tc>
          <w:tcPr>
            <w:tcW w:w="1694" w:type="dxa"/>
            <w:tcBorders/>
            <w:vAlign w:val="center"/>
          </w:tcPr>
          <w:p>
            <w:pPr>
              <w:pStyle w:val="Normal"/>
              <w:jc w:val="center"/>
              <w:rPr/>
            </w:pPr>
            <w:r>
              <w:rPr/>
            </w:r>
          </w:p>
        </w:tc>
        <w:tc>
          <w:tcPr>
            <w:tcW w:w="1030" w:type="dxa"/>
            <w:tcBorders/>
            <w:vAlign w:val="center"/>
          </w:tcPr>
          <w:p>
            <w:pPr>
              <w:pStyle w:val="Normal"/>
              <w:jc w:val="center"/>
              <w:rPr/>
            </w:pPr>
            <w:r>
              <w:rPr>
                <w:sz w:val="14"/>
                <w:szCs w:val="14"/>
              </w:rPr>
              <w:t>(0.049)</w:t>
            </w:r>
          </w:p>
        </w:tc>
        <w:tc>
          <w:tcPr>
            <w:tcW w:w="1194" w:type="dxa"/>
            <w:tcBorders/>
            <w:vAlign w:val="center"/>
          </w:tcPr>
          <w:p>
            <w:pPr>
              <w:pStyle w:val="Normal"/>
              <w:jc w:val="center"/>
              <w:rPr/>
            </w:pPr>
            <w:r>
              <w:rPr>
                <w:sz w:val="14"/>
                <w:szCs w:val="14"/>
              </w:rPr>
              <w:t>(0.151)</w:t>
            </w:r>
          </w:p>
        </w:tc>
        <w:tc>
          <w:tcPr>
            <w:tcW w:w="1007" w:type="dxa"/>
            <w:tcBorders/>
            <w:vAlign w:val="center"/>
          </w:tcPr>
          <w:p>
            <w:pPr>
              <w:pStyle w:val="Normal"/>
              <w:jc w:val="center"/>
              <w:rPr/>
            </w:pPr>
            <w:r>
              <w:rPr>
                <w:sz w:val="14"/>
                <w:szCs w:val="14"/>
              </w:rPr>
              <w:t>(0.108)</w:t>
            </w:r>
          </w:p>
        </w:tc>
        <w:tc>
          <w:tcPr>
            <w:tcW w:w="1007" w:type="dxa"/>
            <w:tcBorders/>
            <w:vAlign w:val="center"/>
          </w:tcPr>
          <w:p>
            <w:pPr>
              <w:pStyle w:val="Normal"/>
              <w:jc w:val="center"/>
              <w:rPr/>
            </w:pPr>
            <w:r>
              <w:rPr/>
            </w:r>
          </w:p>
        </w:tc>
        <w:tc>
          <w:tcPr>
            <w:tcW w:w="910" w:type="dxa"/>
            <w:tcBorders/>
            <w:vAlign w:val="center"/>
          </w:tcPr>
          <w:p>
            <w:pPr>
              <w:pStyle w:val="Normal"/>
              <w:jc w:val="center"/>
              <w:rPr/>
            </w:pPr>
            <w:r>
              <w:rPr>
                <w:sz w:val="14"/>
                <w:szCs w:val="14"/>
              </w:rPr>
              <w:t>(0.125)</w:t>
            </w:r>
          </w:p>
        </w:tc>
        <w:tc>
          <w:tcPr>
            <w:tcW w:w="1510" w:type="dxa"/>
            <w:tcBorders/>
            <w:vAlign w:val="center"/>
          </w:tcPr>
          <w:p>
            <w:pPr>
              <w:pStyle w:val="Normal"/>
              <w:jc w:val="center"/>
              <w:rPr/>
            </w:pPr>
            <w:r>
              <w:rPr>
                <w:sz w:val="14"/>
                <w:szCs w:val="14"/>
              </w:rPr>
              <w:t>(0.181)</w:t>
            </w:r>
          </w:p>
        </w:tc>
        <w:tc>
          <w:tcPr>
            <w:tcW w:w="1008" w:type="dxa"/>
            <w:tcBorders/>
            <w:vAlign w:val="center"/>
          </w:tcPr>
          <w:p>
            <w:pPr>
              <w:pStyle w:val="Normal"/>
              <w:jc w:val="center"/>
              <w:rPr/>
            </w:pPr>
            <w:r>
              <w:rPr>
                <w:sz w:val="14"/>
                <w:szCs w:val="14"/>
              </w:rPr>
              <w:t>(0.173)</w:t>
            </w:r>
          </w:p>
        </w:tc>
      </w:tr>
      <w:tr>
        <w:trPr/>
        <w:tc>
          <w:tcPr>
            <w:tcW w:w="1694" w:type="dxa"/>
            <w:tcBorders/>
            <w:vAlign w:val="center"/>
          </w:tcPr>
          <w:p>
            <w:pPr>
              <w:pStyle w:val="Normal"/>
              <w:jc w:val="center"/>
              <w:rPr/>
            </w:pPr>
            <w:r>
              <w:rPr>
                <w:i/>
                <w:iCs/>
                <w:sz w:val="15"/>
                <w:szCs w:val="15"/>
              </w:rPr>
              <w:t>IT Share</w:t>
            </w:r>
          </w:p>
        </w:tc>
        <w:tc>
          <w:tcPr>
            <w:tcW w:w="1030" w:type="dxa"/>
            <w:tcBorders/>
            <w:vAlign w:val="center"/>
          </w:tcPr>
          <w:p>
            <w:pPr>
              <w:pStyle w:val="Normal"/>
              <w:jc w:val="center"/>
              <w:rPr/>
            </w:pPr>
            <w:r>
              <w:rPr>
                <w:sz w:val="15"/>
                <w:szCs w:val="15"/>
              </w:rPr>
              <w:t>−</w:t>
            </w:r>
            <w:r>
              <w:rPr>
                <w:sz w:val="15"/>
                <w:szCs w:val="15"/>
              </w:rPr>
              <w:t>2.717***</w:t>
            </w:r>
          </w:p>
        </w:tc>
        <w:tc>
          <w:tcPr>
            <w:tcW w:w="1194" w:type="dxa"/>
            <w:tcBorders/>
            <w:vAlign w:val="center"/>
          </w:tcPr>
          <w:p>
            <w:pPr>
              <w:pStyle w:val="Normal"/>
              <w:jc w:val="center"/>
              <w:rPr/>
            </w:pPr>
            <w:r>
              <w:rPr>
                <w:sz w:val="15"/>
                <w:szCs w:val="15"/>
              </w:rPr>
              <w:t>−</w:t>
            </w:r>
            <w:r>
              <w:rPr>
                <w:sz w:val="15"/>
                <w:szCs w:val="15"/>
              </w:rPr>
              <w:t>0.730</w:t>
            </w:r>
          </w:p>
        </w:tc>
        <w:tc>
          <w:tcPr>
            <w:tcW w:w="1007" w:type="dxa"/>
            <w:tcBorders/>
            <w:vAlign w:val="center"/>
          </w:tcPr>
          <w:p>
            <w:pPr>
              <w:pStyle w:val="Normal"/>
              <w:jc w:val="center"/>
              <w:rPr/>
            </w:pPr>
            <w:r>
              <w:rPr>
                <w:sz w:val="15"/>
                <w:szCs w:val="15"/>
              </w:rPr>
              <w:t>−</w:t>
            </w:r>
            <w:r>
              <w:rPr>
                <w:sz w:val="15"/>
                <w:szCs w:val="15"/>
              </w:rPr>
              <w:t>2.773***</w:t>
            </w:r>
          </w:p>
        </w:tc>
        <w:tc>
          <w:tcPr>
            <w:tcW w:w="1007" w:type="dxa"/>
            <w:tcBorders/>
            <w:vAlign w:val="center"/>
          </w:tcPr>
          <w:p>
            <w:pPr>
              <w:pStyle w:val="Normal"/>
              <w:jc w:val="center"/>
              <w:rPr/>
            </w:pPr>
            <w:r>
              <w:rPr>
                <w:sz w:val="15"/>
                <w:szCs w:val="15"/>
              </w:rPr>
              <w:t>−</w:t>
            </w:r>
            <w:r>
              <w:rPr>
                <w:sz w:val="15"/>
                <w:szCs w:val="15"/>
              </w:rPr>
              <w:t>3.417***</w:t>
            </w:r>
          </w:p>
        </w:tc>
        <w:tc>
          <w:tcPr>
            <w:tcW w:w="910" w:type="dxa"/>
            <w:tcBorders/>
            <w:vAlign w:val="center"/>
          </w:tcPr>
          <w:p>
            <w:pPr>
              <w:pStyle w:val="Normal"/>
              <w:jc w:val="center"/>
              <w:rPr/>
            </w:pPr>
            <w:r>
              <w:rPr>
                <w:sz w:val="15"/>
                <w:szCs w:val="15"/>
              </w:rPr>
              <w:t>−</w:t>
            </w:r>
            <w:r>
              <w:rPr>
                <w:sz w:val="15"/>
                <w:szCs w:val="15"/>
              </w:rPr>
              <w:t>1.819**</w:t>
            </w:r>
          </w:p>
        </w:tc>
        <w:tc>
          <w:tcPr>
            <w:tcW w:w="1510" w:type="dxa"/>
            <w:tcBorders/>
            <w:vAlign w:val="center"/>
          </w:tcPr>
          <w:p>
            <w:pPr>
              <w:pStyle w:val="Normal"/>
              <w:jc w:val="center"/>
              <w:rPr/>
            </w:pPr>
            <w:r>
              <w:rPr>
                <w:sz w:val="15"/>
                <w:szCs w:val="15"/>
              </w:rPr>
              <w:t>−</w:t>
            </w:r>
            <w:r>
              <w:rPr>
                <w:sz w:val="15"/>
                <w:szCs w:val="15"/>
              </w:rPr>
              <w:t>2.175**</w:t>
            </w:r>
          </w:p>
        </w:tc>
        <w:tc>
          <w:tcPr>
            <w:tcW w:w="1008" w:type="dxa"/>
            <w:tcBorders/>
            <w:vAlign w:val="center"/>
          </w:tcPr>
          <w:p>
            <w:pPr>
              <w:pStyle w:val="Normal"/>
              <w:jc w:val="center"/>
              <w:rPr/>
            </w:pPr>
            <w:r>
              <w:rPr>
                <w:sz w:val="15"/>
                <w:szCs w:val="15"/>
              </w:rPr>
              <w:t>−</w:t>
            </w:r>
            <w:r>
              <w:rPr>
                <w:sz w:val="15"/>
                <w:szCs w:val="15"/>
              </w:rPr>
              <w:t>30.88***</w:t>
            </w:r>
          </w:p>
        </w:tc>
      </w:tr>
      <w:tr>
        <w:trPr/>
        <w:tc>
          <w:tcPr>
            <w:tcW w:w="1694" w:type="dxa"/>
            <w:tcBorders/>
            <w:vAlign w:val="center"/>
          </w:tcPr>
          <w:p>
            <w:pPr>
              <w:pStyle w:val="Normal"/>
              <w:jc w:val="center"/>
              <w:rPr/>
            </w:pPr>
            <w:r>
              <w:rPr/>
            </w:r>
          </w:p>
        </w:tc>
        <w:tc>
          <w:tcPr>
            <w:tcW w:w="1030" w:type="dxa"/>
            <w:tcBorders/>
            <w:vAlign w:val="center"/>
          </w:tcPr>
          <w:p>
            <w:pPr>
              <w:pStyle w:val="Normal"/>
              <w:jc w:val="center"/>
              <w:rPr/>
            </w:pPr>
            <w:r>
              <w:rPr>
                <w:sz w:val="14"/>
                <w:szCs w:val="14"/>
              </w:rPr>
              <w:t>(0.553)</w:t>
            </w:r>
          </w:p>
        </w:tc>
        <w:tc>
          <w:tcPr>
            <w:tcW w:w="1194" w:type="dxa"/>
            <w:tcBorders/>
            <w:vAlign w:val="center"/>
          </w:tcPr>
          <w:p>
            <w:pPr>
              <w:pStyle w:val="Normal"/>
              <w:jc w:val="center"/>
              <w:rPr/>
            </w:pPr>
            <w:r>
              <w:rPr>
                <w:sz w:val="14"/>
                <w:szCs w:val="14"/>
              </w:rPr>
              <w:t>(1.246)</w:t>
            </w:r>
          </w:p>
        </w:tc>
        <w:tc>
          <w:tcPr>
            <w:tcW w:w="1007" w:type="dxa"/>
            <w:tcBorders/>
            <w:vAlign w:val="center"/>
          </w:tcPr>
          <w:p>
            <w:pPr>
              <w:pStyle w:val="Normal"/>
              <w:jc w:val="center"/>
              <w:rPr/>
            </w:pPr>
            <w:r>
              <w:rPr>
                <w:sz w:val="14"/>
                <w:szCs w:val="14"/>
              </w:rPr>
              <w:t>(0.867)</w:t>
            </w:r>
          </w:p>
        </w:tc>
        <w:tc>
          <w:tcPr>
            <w:tcW w:w="1007" w:type="dxa"/>
            <w:tcBorders/>
            <w:vAlign w:val="center"/>
          </w:tcPr>
          <w:p>
            <w:pPr>
              <w:pStyle w:val="Normal"/>
              <w:jc w:val="center"/>
              <w:rPr/>
            </w:pPr>
            <w:r>
              <w:rPr>
                <w:sz w:val="14"/>
                <w:szCs w:val="14"/>
              </w:rPr>
              <w:t>(0.789)</w:t>
            </w:r>
          </w:p>
        </w:tc>
        <w:tc>
          <w:tcPr>
            <w:tcW w:w="910" w:type="dxa"/>
            <w:tcBorders/>
            <w:vAlign w:val="center"/>
          </w:tcPr>
          <w:p>
            <w:pPr>
              <w:pStyle w:val="Normal"/>
              <w:jc w:val="center"/>
              <w:rPr/>
            </w:pPr>
            <w:r>
              <w:rPr>
                <w:sz w:val="14"/>
                <w:szCs w:val="14"/>
              </w:rPr>
              <w:t>(0.781)</w:t>
            </w:r>
          </w:p>
        </w:tc>
        <w:tc>
          <w:tcPr>
            <w:tcW w:w="1510" w:type="dxa"/>
            <w:tcBorders/>
            <w:vAlign w:val="center"/>
          </w:tcPr>
          <w:p>
            <w:pPr>
              <w:pStyle w:val="Normal"/>
              <w:jc w:val="center"/>
              <w:rPr/>
            </w:pPr>
            <w:r>
              <w:rPr>
                <w:sz w:val="14"/>
                <w:szCs w:val="14"/>
              </w:rPr>
              <w:t>(0.887)</w:t>
            </w:r>
          </w:p>
        </w:tc>
        <w:tc>
          <w:tcPr>
            <w:tcW w:w="1008" w:type="dxa"/>
            <w:tcBorders/>
            <w:vAlign w:val="center"/>
          </w:tcPr>
          <w:p>
            <w:pPr>
              <w:pStyle w:val="Normal"/>
              <w:jc w:val="center"/>
              <w:rPr/>
            </w:pPr>
            <w:r>
              <w:rPr>
                <w:sz w:val="14"/>
                <w:szCs w:val="14"/>
              </w:rPr>
              <w:t>(8.016)</w:t>
            </w:r>
          </w:p>
        </w:tc>
      </w:tr>
      <w:tr>
        <w:trPr/>
        <w:tc>
          <w:tcPr>
            <w:tcW w:w="1694" w:type="dxa"/>
            <w:tcBorders>
              <w:top w:val="single" w:sz="4" w:space="0" w:color="000000"/>
            </w:tcBorders>
            <w:vAlign w:val="center"/>
          </w:tcPr>
          <w:p>
            <w:pPr>
              <w:pStyle w:val="Normal"/>
              <w:jc w:val="center"/>
              <w:rPr/>
            </w:pPr>
            <w:r>
              <w:rPr>
                <w:sz w:val="15"/>
                <w:szCs w:val="15"/>
              </w:rPr>
              <w:t>EU×Year FE</w:t>
            </w:r>
          </w:p>
        </w:tc>
        <w:tc>
          <w:tcPr>
            <w:tcW w:w="1030" w:type="dxa"/>
            <w:tcBorders>
              <w:top w:val="single" w:sz="4" w:space="0" w:color="000000"/>
            </w:tcBorders>
            <w:vAlign w:val="center"/>
          </w:tcPr>
          <w:p>
            <w:pPr>
              <w:pStyle w:val="Normal"/>
              <w:jc w:val="center"/>
              <w:rPr/>
            </w:pPr>
            <w:r>
              <w:rPr>
                <w:sz w:val="15"/>
                <w:szCs w:val="15"/>
              </w:rPr>
              <w:t>Yes</w:t>
            </w:r>
          </w:p>
        </w:tc>
        <w:tc>
          <w:tcPr>
            <w:tcW w:w="1194" w:type="dxa"/>
            <w:tcBorders>
              <w:top w:val="single" w:sz="4" w:space="0" w:color="000000"/>
            </w:tcBorders>
            <w:vAlign w:val="center"/>
          </w:tcPr>
          <w:p>
            <w:pPr>
              <w:pStyle w:val="Normal"/>
              <w:jc w:val="center"/>
              <w:rPr/>
            </w:pPr>
            <w:r>
              <w:rPr>
                <w:sz w:val="15"/>
                <w:szCs w:val="15"/>
              </w:rPr>
              <w:t>Yes</w:t>
            </w:r>
          </w:p>
        </w:tc>
        <w:tc>
          <w:tcPr>
            <w:tcW w:w="1007" w:type="dxa"/>
            <w:tcBorders>
              <w:top w:val="single" w:sz="4" w:space="0" w:color="000000"/>
            </w:tcBorders>
            <w:vAlign w:val="center"/>
          </w:tcPr>
          <w:p>
            <w:pPr>
              <w:pStyle w:val="Normal"/>
              <w:jc w:val="center"/>
              <w:rPr/>
            </w:pPr>
            <w:r>
              <w:rPr>
                <w:sz w:val="15"/>
                <w:szCs w:val="15"/>
              </w:rPr>
              <w:t>Yes</w:t>
            </w:r>
          </w:p>
        </w:tc>
        <w:tc>
          <w:tcPr>
            <w:tcW w:w="1007" w:type="dxa"/>
            <w:tcBorders>
              <w:top w:val="single" w:sz="4" w:space="0" w:color="000000"/>
            </w:tcBorders>
            <w:vAlign w:val="center"/>
          </w:tcPr>
          <w:p>
            <w:pPr>
              <w:pStyle w:val="Normal"/>
              <w:jc w:val="center"/>
              <w:rPr/>
            </w:pPr>
            <w:r>
              <w:rPr>
                <w:sz w:val="15"/>
                <w:szCs w:val="15"/>
              </w:rPr>
              <w:t>Yes</w:t>
            </w:r>
          </w:p>
        </w:tc>
        <w:tc>
          <w:tcPr>
            <w:tcW w:w="910" w:type="dxa"/>
            <w:tcBorders>
              <w:top w:val="single" w:sz="4" w:space="0" w:color="000000"/>
            </w:tcBorders>
            <w:vAlign w:val="center"/>
          </w:tcPr>
          <w:p>
            <w:pPr>
              <w:pStyle w:val="Normal"/>
              <w:jc w:val="center"/>
              <w:rPr/>
            </w:pPr>
            <w:r>
              <w:rPr>
                <w:sz w:val="15"/>
                <w:szCs w:val="15"/>
              </w:rPr>
              <w:t>Yes</w:t>
            </w:r>
          </w:p>
        </w:tc>
        <w:tc>
          <w:tcPr>
            <w:tcW w:w="1510" w:type="dxa"/>
            <w:tcBorders>
              <w:top w:val="single" w:sz="4" w:space="0" w:color="000000"/>
            </w:tcBorders>
            <w:vAlign w:val="center"/>
          </w:tcPr>
          <w:p>
            <w:pPr>
              <w:pStyle w:val="Normal"/>
              <w:jc w:val="center"/>
              <w:rPr/>
            </w:pPr>
            <w:r>
              <w:rPr>
                <w:sz w:val="15"/>
                <w:szCs w:val="15"/>
              </w:rPr>
              <w:t>Yes</w:t>
            </w:r>
          </w:p>
        </w:tc>
        <w:tc>
          <w:tcPr>
            <w:tcW w:w="1008" w:type="dxa"/>
            <w:tcBorders>
              <w:top w:val="single" w:sz="4" w:space="0" w:color="000000"/>
            </w:tcBorders>
            <w:vAlign w:val="center"/>
          </w:tcPr>
          <w:p>
            <w:pPr>
              <w:pStyle w:val="Normal"/>
              <w:jc w:val="center"/>
              <w:rPr/>
            </w:pPr>
            <w:r>
              <w:rPr>
                <w:sz w:val="15"/>
                <w:szCs w:val="15"/>
              </w:rPr>
              <w:t>Yes</w:t>
            </w:r>
          </w:p>
        </w:tc>
      </w:tr>
      <w:tr>
        <w:trPr/>
        <w:tc>
          <w:tcPr>
            <w:tcW w:w="1694" w:type="dxa"/>
            <w:tcBorders/>
            <w:vAlign w:val="center"/>
          </w:tcPr>
          <w:p>
            <w:pPr>
              <w:pStyle w:val="Normal"/>
              <w:jc w:val="center"/>
              <w:rPr/>
            </w:pPr>
            <w:r>
              <w:rPr>
                <w:sz w:val="15"/>
                <w:szCs w:val="15"/>
              </w:rPr>
              <w:t>ACP Country FE</w:t>
            </w:r>
          </w:p>
        </w:tc>
        <w:tc>
          <w:tcPr>
            <w:tcW w:w="1030" w:type="dxa"/>
            <w:tcBorders/>
            <w:vAlign w:val="center"/>
          </w:tcPr>
          <w:p>
            <w:pPr>
              <w:pStyle w:val="Normal"/>
              <w:jc w:val="center"/>
              <w:rPr/>
            </w:pPr>
            <w:r>
              <w:rPr>
                <w:sz w:val="15"/>
                <w:szCs w:val="15"/>
              </w:rPr>
              <w:t>Yes</w:t>
            </w:r>
          </w:p>
        </w:tc>
        <w:tc>
          <w:tcPr>
            <w:tcW w:w="1194" w:type="dxa"/>
            <w:tcBorders/>
            <w:vAlign w:val="center"/>
          </w:tcPr>
          <w:p>
            <w:pPr>
              <w:pStyle w:val="Normal"/>
              <w:jc w:val="center"/>
              <w:rPr/>
            </w:pPr>
            <w:r>
              <w:rPr>
                <w:sz w:val="15"/>
                <w:szCs w:val="15"/>
              </w:rPr>
              <w:t>Yes</w:t>
            </w:r>
          </w:p>
        </w:tc>
        <w:tc>
          <w:tcPr>
            <w:tcW w:w="1007" w:type="dxa"/>
            <w:tcBorders/>
            <w:vAlign w:val="center"/>
          </w:tcPr>
          <w:p>
            <w:pPr>
              <w:pStyle w:val="Normal"/>
              <w:jc w:val="center"/>
              <w:rPr/>
            </w:pPr>
            <w:r>
              <w:rPr>
                <w:sz w:val="15"/>
                <w:szCs w:val="15"/>
              </w:rPr>
              <w:t>Yes</w:t>
            </w:r>
          </w:p>
        </w:tc>
        <w:tc>
          <w:tcPr>
            <w:tcW w:w="1007" w:type="dxa"/>
            <w:tcBorders/>
            <w:vAlign w:val="center"/>
          </w:tcPr>
          <w:p>
            <w:pPr>
              <w:pStyle w:val="Normal"/>
              <w:jc w:val="center"/>
              <w:rPr/>
            </w:pPr>
            <w:r>
              <w:rPr>
                <w:sz w:val="15"/>
                <w:szCs w:val="15"/>
              </w:rPr>
              <w:t>Yes</w:t>
            </w:r>
          </w:p>
        </w:tc>
        <w:tc>
          <w:tcPr>
            <w:tcW w:w="910" w:type="dxa"/>
            <w:tcBorders/>
            <w:vAlign w:val="center"/>
          </w:tcPr>
          <w:p>
            <w:pPr>
              <w:pStyle w:val="Normal"/>
              <w:jc w:val="center"/>
              <w:rPr/>
            </w:pPr>
            <w:r>
              <w:rPr>
                <w:sz w:val="15"/>
                <w:szCs w:val="15"/>
              </w:rPr>
              <w:t>Yes</w:t>
            </w:r>
          </w:p>
        </w:tc>
        <w:tc>
          <w:tcPr>
            <w:tcW w:w="1510" w:type="dxa"/>
            <w:tcBorders/>
            <w:vAlign w:val="center"/>
          </w:tcPr>
          <w:p>
            <w:pPr>
              <w:pStyle w:val="Normal"/>
              <w:jc w:val="center"/>
              <w:rPr/>
            </w:pPr>
            <w:r>
              <w:rPr>
                <w:sz w:val="15"/>
                <w:szCs w:val="15"/>
              </w:rPr>
              <w:t>Yes</w:t>
            </w:r>
          </w:p>
        </w:tc>
        <w:tc>
          <w:tcPr>
            <w:tcW w:w="1008" w:type="dxa"/>
            <w:tcBorders/>
            <w:vAlign w:val="center"/>
          </w:tcPr>
          <w:p>
            <w:pPr>
              <w:pStyle w:val="Normal"/>
              <w:jc w:val="center"/>
              <w:rPr/>
            </w:pPr>
            <w:r>
              <w:rPr>
                <w:sz w:val="15"/>
                <w:szCs w:val="15"/>
              </w:rPr>
              <w:t>Yes</w:t>
            </w:r>
          </w:p>
        </w:tc>
      </w:tr>
      <w:tr>
        <w:trPr/>
        <w:tc>
          <w:tcPr>
            <w:tcW w:w="1694" w:type="dxa"/>
            <w:tcBorders/>
            <w:vAlign w:val="center"/>
          </w:tcPr>
          <w:p>
            <w:pPr>
              <w:pStyle w:val="Normal"/>
              <w:jc w:val="center"/>
              <w:rPr/>
            </w:pPr>
            <w:r>
              <w:rPr>
                <w:sz w:val="15"/>
                <w:szCs w:val="15"/>
              </w:rPr>
              <w:t>Year FE</w:t>
            </w:r>
          </w:p>
        </w:tc>
        <w:tc>
          <w:tcPr>
            <w:tcW w:w="1030" w:type="dxa"/>
            <w:tcBorders/>
            <w:vAlign w:val="center"/>
          </w:tcPr>
          <w:p>
            <w:pPr>
              <w:pStyle w:val="Normal"/>
              <w:jc w:val="center"/>
              <w:rPr/>
            </w:pPr>
            <w:r>
              <w:rPr>
                <w:sz w:val="15"/>
                <w:szCs w:val="15"/>
              </w:rPr>
              <w:t>Yes</w:t>
            </w:r>
          </w:p>
        </w:tc>
        <w:tc>
          <w:tcPr>
            <w:tcW w:w="1194" w:type="dxa"/>
            <w:tcBorders/>
            <w:vAlign w:val="center"/>
          </w:tcPr>
          <w:p>
            <w:pPr>
              <w:pStyle w:val="Normal"/>
              <w:jc w:val="center"/>
              <w:rPr/>
            </w:pPr>
            <w:r>
              <w:rPr>
                <w:sz w:val="15"/>
                <w:szCs w:val="15"/>
              </w:rPr>
              <w:t>Yes</w:t>
            </w:r>
          </w:p>
        </w:tc>
        <w:tc>
          <w:tcPr>
            <w:tcW w:w="1007" w:type="dxa"/>
            <w:tcBorders/>
            <w:vAlign w:val="center"/>
          </w:tcPr>
          <w:p>
            <w:pPr>
              <w:pStyle w:val="Normal"/>
              <w:jc w:val="center"/>
              <w:rPr/>
            </w:pPr>
            <w:r>
              <w:rPr>
                <w:sz w:val="15"/>
                <w:szCs w:val="15"/>
              </w:rPr>
              <w:t>Yes</w:t>
            </w:r>
          </w:p>
        </w:tc>
        <w:tc>
          <w:tcPr>
            <w:tcW w:w="1007" w:type="dxa"/>
            <w:tcBorders/>
            <w:vAlign w:val="center"/>
          </w:tcPr>
          <w:p>
            <w:pPr>
              <w:pStyle w:val="Normal"/>
              <w:jc w:val="center"/>
              <w:rPr/>
            </w:pPr>
            <w:r>
              <w:rPr>
                <w:sz w:val="15"/>
                <w:szCs w:val="15"/>
              </w:rPr>
              <w:t>Yes</w:t>
            </w:r>
          </w:p>
        </w:tc>
        <w:tc>
          <w:tcPr>
            <w:tcW w:w="910" w:type="dxa"/>
            <w:tcBorders/>
            <w:vAlign w:val="center"/>
          </w:tcPr>
          <w:p>
            <w:pPr>
              <w:pStyle w:val="Normal"/>
              <w:jc w:val="center"/>
              <w:rPr/>
            </w:pPr>
            <w:r>
              <w:rPr>
                <w:sz w:val="15"/>
                <w:szCs w:val="15"/>
              </w:rPr>
              <w:t>Yes</w:t>
            </w:r>
          </w:p>
        </w:tc>
        <w:tc>
          <w:tcPr>
            <w:tcW w:w="1510" w:type="dxa"/>
            <w:tcBorders/>
            <w:vAlign w:val="center"/>
          </w:tcPr>
          <w:p>
            <w:pPr>
              <w:pStyle w:val="Normal"/>
              <w:jc w:val="center"/>
              <w:rPr/>
            </w:pPr>
            <w:r>
              <w:rPr>
                <w:sz w:val="15"/>
                <w:szCs w:val="15"/>
              </w:rPr>
              <w:t>Yes</w:t>
            </w:r>
          </w:p>
        </w:tc>
        <w:tc>
          <w:tcPr>
            <w:tcW w:w="1008" w:type="dxa"/>
            <w:tcBorders/>
            <w:vAlign w:val="center"/>
          </w:tcPr>
          <w:p>
            <w:pPr>
              <w:pStyle w:val="Normal"/>
              <w:jc w:val="center"/>
              <w:rPr/>
            </w:pPr>
            <w:r>
              <w:rPr>
                <w:sz w:val="15"/>
                <w:szCs w:val="15"/>
              </w:rPr>
              <w:t>Yes</w:t>
            </w:r>
          </w:p>
        </w:tc>
      </w:tr>
      <w:tr>
        <w:trPr/>
        <w:tc>
          <w:tcPr>
            <w:tcW w:w="1694" w:type="dxa"/>
            <w:tcBorders>
              <w:bottom w:val="single" w:sz="8" w:space="0" w:color="000000"/>
            </w:tcBorders>
            <w:vAlign w:val="center"/>
          </w:tcPr>
          <w:p>
            <w:pPr>
              <w:pStyle w:val="Normal"/>
              <w:jc w:val="center"/>
              <w:rPr/>
            </w:pPr>
            <w:r>
              <w:rPr>
                <w:sz w:val="15"/>
                <w:szCs w:val="15"/>
              </w:rPr>
              <w:t>Observations</w:t>
            </w:r>
          </w:p>
        </w:tc>
        <w:tc>
          <w:tcPr>
            <w:tcW w:w="1030" w:type="dxa"/>
            <w:tcBorders>
              <w:bottom w:val="single" w:sz="8" w:space="0" w:color="000000"/>
            </w:tcBorders>
            <w:vAlign w:val="center"/>
          </w:tcPr>
          <w:p>
            <w:pPr>
              <w:pStyle w:val="Normal"/>
              <w:jc w:val="center"/>
              <w:rPr/>
            </w:pPr>
            <w:r>
              <w:rPr>
                <w:sz w:val="15"/>
                <w:szCs w:val="15"/>
              </w:rPr>
              <w:t>9,371</w:t>
            </w:r>
          </w:p>
        </w:tc>
        <w:tc>
          <w:tcPr>
            <w:tcW w:w="1194" w:type="dxa"/>
            <w:tcBorders>
              <w:bottom w:val="single" w:sz="8" w:space="0" w:color="000000"/>
            </w:tcBorders>
            <w:vAlign w:val="center"/>
          </w:tcPr>
          <w:p>
            <w:pPr>
              <w:pStyle w:val="Normal"/>
              <w:jc w:val="center"/>
              <w:rPr/>
            </w:pPr>
            <w:r>
              <w:rPr>
                <w:sz w:val="15"/>
                <w:szCs w:val="15"/>
              </w:rPr>
              <w:t>4,333</w:t>
            </w:r>
          </w:p>
        </w:tc>
        <w:tc>
          <w:tcPr>
            <w:tcW w:w="1007" w:type="dxa"/>
            <w:tcBorders>
              <w:bottom w:val="single" w:sz="8" w:space="0" w:color="000000"/>
            </w:tcBorders>
            <w:vAlign w:val="center"/>
          </w:tcPr>
          <w:p>
            <w:pPr>
              <w:pStyle w:val="Normal"/>
              <w:jc w:val="center"/>
              <w:rPr/>
            </w:pPr>
            <w:r>
              <w:rPr>
                <w:sz w:val="15"/>
                <w:szCs w:val="15"/>
              </w:rPr>
              <w:t>4,952</w:t>
            </w:r>
          </w:p>
        </w:tc>
        <w:tc>
          <w:tcPr>
            <w:tcW w:w="1007" w:type="dxa"/>
            <w:tcBorders>
              <w:bottom w:val="single" w:sz="8" w:space="0" w:color="000000"/>
            </w:tcBorders>
            <w:vAlign w:val="center"/>
          </w:tcPr>
          <w:p>
            <w:pPr>
              <w:pStyle w:val="Normal"/>
              <w:jc w:val="center"/>
              <w:rPr/>
            </w:pPr>
            <w:r>
              <w:rPr>
                <w:sz w:val="15"/>
                <w:szCs w:val="15"/>
              </w:rPr>
              <w:t>3,095</w:t>
            </w:r>
          </w:p>
        </w:tc>
        <w:tc>
          <w:tcPr>
            <w:tcW w:w="910" w:type="dxa"/>
            <w:tcBorders>
              <w:bottom w:val="single" w:sz="8" w:space="0" w:color="000000"/>
            </w:tcBorders>
            <w:vAlign w:val="center"/>
          </w:tcPr>
          <w:p>
            <w:pPr>
              <w:pStyle w:val="Normal"/>
              <w:jc w:val="center"/>
              <w:rPr/>
            </w:pPr>
            <w:r>
              <w:rPr>
                <w:sz w:val="15"/>
                <w:szCs w:val="15"/>
              </w:rPr>
              <w:t>7,428</w:t>
            </w:r>
          </w:p>
        </w:tc>
        <w:tc>
          <w:tcPr>
            <w:tcW w:w="1510" w:type="dxa"/>
            <w:tcBorders>
              <w:bottom w:val="single" w:sz="8" w:space="0" w:color="000000"/>
            </w:tcBorders>
            <w:vAlign w:val="center"/>
          </w:tcPr>
          <w:p>
            <w:pPr>
              <w:pStyle w:val="Normal"/>
              <w:jc w:val="center"/>
              <w:rPr/>
            </w:pPr>
            <w:r>
              <w:rPr>
                <w:sz w:val="15"/>
                <w:szCs w:val="15"/>
              </w:rPr>
              <w:t>9,285</w:t>
            </w:r>
          </w:p>
        </w:tc>
        <w:tc>
          <w:tcPr>
            <w:tcW w:w="1008" w:type="dxa"/>
            <w:tcBorders>
              <w:bottom w:val="single" w:sz="8" w:space="0" w:color="000000"/>
            </w:tcBorders>
            <w:vAlign w:val="center"/>
          </w:tcPr>
          <w:p>
            <w:pPr>
              <w:pStyle w:val="Normal"/>
              <w:jc w:val="center"/>
              <w:rPr/>
            </w:pPr>
            <w:r>
              <w:rPr>
                <w:sz w:val="15"/>
                <w:szCs w:val="15"/>
              </w:rPr>
              <w:t>9,169</w:t>
            </w:r>
          </w:p>
        </w:tc>
      </w:tr>
    </w:tbl>
    <w:p>
      <w:pPr>
        <w:pStyle w:val="Normal"/>
        <w:spacing w:before="40" w:after="40"/>
        <w:rPr/>
      </w:pPr>
      <w:r>
        <w:rPr>
          <w:sz w:val="18"/>
          <w:szCs w:val="18"/>
        </w:rPr>
        <w:t>Notes: Pair-level clustered standard errors in parentheses. *** p &lt; 0.01, ** p &lt; 0.05, * p &lt; 0.10. Each column estimates the baseline PPML specification on the subsample of ACP countries belonging to the indicated REC. ESA covers the twelve countries in the Eastern and Southern Africa EPA negotiating group. The EAC EPA indicator is omitted as it is zero throughout the sample period. In the Central Africa column, EPA = 1 reflects Cameroon's provisional application from August 2014 only. SADC IT shares for SACU members are imputed from non-SACU SADC member means; see Section 4. PIF estimates reflect model instability due to sparse data and concentrated flows.</w:t>
      </w:r>
    </w:p>
    <w:p>
      <w:pPr>
        <w:pStyle w:val="Normal"/>
        <w:spacing w:before="280" w:after="80"/>
        <w:rPr>
          <w:sz w:val="24"/>
          <w:szCs w:val="24"/>
        </w:rPr>
      </w:pPr>
      <w:r>
        <w:rPr>
          <w:b/>
          <w:bCs/>
          <w:i/>
          <w:iCs/>
          <w:sz w:val="24"/>
          <w:szCs w:val="24"/>
        </w:rPr>
        <w:t>5.5  Robustness: The Sign Holds</w:t>
      </w:r>
    </w:p>
    <w:p>
      <w:pPr>
        <w:pStyle w:val="Normal"/>
        <w:spacing w:before="0" w:after="160"/>
        <w:ind w:firstLine="720"/>
        <w:rPr>
          <w:sz w:val="24"/>
          <w:szCs w:val="24"/>
        </w:rPr>
      </w:pPr>
      <w:r>
        <w:rPr>
          <w:sz w:val="24"/>
          <w:szCs w:val="24"/>
        </w:rPr>
        <w:t>Tables 5 through 7 test the stumbling-block finding against alternative estimators, control sets, and sample restrictions.</w:t>
      </w:r>
    </w:p>
    <w:p>
      <w:pPr>
        <w:pStyle w:val="Normal"/>
        <w:spacing w:before="0" w:after="160"/>
        <w:ind w:firstLine="720"/>
        <w:rPr>
          <w:sz w:val="24"/>
          <w:szCs w:val="24"/>
        </w:rPr>
      </w:pPr>
      <w:r>
        <w:rPr>
          <w:sz w:val="24"/>
          <w:szCs w:val="24"/>
        </w:rPr>
        <w:t>The sample sensitivity checks in Table 6 are consistent throughout. On the specification side, relaxing the Poisson variance assumption has little effect. The Negative Binomial PML estimate is −0.378 (s.e. 0.348), the same sign and similar magnitude as the PPML baseline, confirming the result does not depend on the variance assumption. The one sign reversal is column (3), OLS on log(1+trade), which returns +4.975. This is a known artifact of the log(1+y) transformation when observations cluster near zero, as they do in the Pacific and SADC subsamples (Santos Silva and Tenreyro, 2006). The specification is included to illustrate the cost of the wrong estimator, not as a credible alternative. Excluding CARIFORUM or PIF individually leaves the coefficient negative and within the range of the baseline, confirming that neither bloc is driving the pooled result.</w:t>
      </w:r>
    </w:p>
    <w:p>
      <w:pPr>
        <w:pStyle w:val="Normal"/>
        <w:spacing w:before="0" w:after="160"/>
        <w:ind w:firstLine="720"/>
        <w:rPr>
          <w:sz w:val="24"/>
          <w:szCs w:val="24"/>
        </w:rPr>
      </w:pPr>
      <w:r>
        <w:rPr>
          <w:sz w:val="24"/>
          <w:szCs w:val="24"/>
        </w:rPr>
        <w:t>Column (4) provides the direct mechanical endogeneity check, reconstructing the IT share denominator from non-EU trade partners only, so that movements in EU bilateral flows cannot alter the regressor by design. The resulting coefficient is −0.084 (s.e. 0.414), negative but attenuated and statistically indistinguishable from zero. As discussed in Section 4, the attenuation is expected — excluding EU trade compresses the integration variable — and sign consistency is what this test is designed to establish. The directional asymmetry and the uniform negative sign across all seven RECs carry more evidentiary weight against the endogeneity concern than this coefficient alone.</w:t>
      </w:r>
    </w:p>
    <w:p>
      <w:pPr>
        <w:pStyle w:val="Normal"/>
        <w:spacing w:before="0" w:after="160"/>
        <w:ind w:firstLine="720"/>
        <w:rPr>
          <w:sz w:val="24"/>
          <w:szCs w:val="24"/>
        </w:rPr>
      </w:pPr>
      <w:r>
        <w:rPr>
          <w:sz w:val="24"/>
          <w:szCs w:val="24"/>
        </w:rPr>
        <w:t>The most consequential exclusion is the five SACU members, whose IT shares required imputation as described in Section 4. Dropping them entirely (column 7) returns −1.460 (p &lt; 0.01), more than four times the baseline in absolute magnitude, confirming that the imputation was attenuating the estimate rather than generating it. The stumbling-block result is therefore not a product of the imputation; if anything, the true SADC coefficient is stronger than the baseline suggests.</w:t>
      </w:r>
    </w:p>
    <w:p>
      <w:pPr>
        <w:pStyle w:val="Normal"/>
        <w:spacing w:before="0" w:after="160"/>
        <w:ind w:firstLine="720"/>
        <w:rPr>
          <w:sz w:val="24"/>
          <w:szCs w:val="24"/>
        </w:rPr>
      </w:pPr>
      <w:r>
        <w:rPr>
          <w:sz w:val="24"/>
          <w:szCs w:val="24"/>
        </w:rPr>
        <w:t>The temporal restrictions sharpen the picture further. Dropping the three pre-Cotonou years (starting from 1998) tightens the coefficient to −1.262 (p &lt; 0.01), suggesting the 1995–1997 observations contribute noise rather than signal. Restricting to 2007 onward, the eve of the first EPA provisional application, provides the cleaner institutional test. The estimate strengthens to −1.778 (p &lt; 0.01), consistent with the stumbling-block relationship intensifying as integration deepened under the EPA-era framework. The EPA indicator itself turns positive in this window (+0.111, p &lt; 0.05), which may reflect trade creation among EPA holders once the pre-EPA baseline is removed, though the restricted sample makes that interpretation tentative.</w:t>
      </w:r>
    </w:p>
    <w:p>
      <w:pPr>
        <w:pStyle w:val="Normal"/>
        <w:spacing w:before="0" w:after="160"/>
        <w:ind w:firstLine="720"/>
        <w:rPr>
          <w:sz w:val="24"/>
          <w:szCs w:val="24"/>
        </w:rPr>
      </w:pPr>
      <w:r>
        <w:rPr>
          <w:sz w:val="24"/>
          <w:szCs w:val="24"/>
        </w:rPr>
        <w:t>Dropping South Africa or Nigeria individually preserves the negative sign but widens standard errors enough that neither exclusion independently confirms the result, which is expected given how much bilateral EU trade is concentrated in those two economies.</w:t>
      </w:r>
    </w:p>
    <w:p>
      <w:pPr>
        <w:pStyle w:val="Normal"/>
        <w:spacing w:before="0" w:after="160"/>
        <w:ind w:firstLine="720"/>
        <w:rPr>
          <w:sz w:val="24"/>
          <w:szCs w:val="24"/>
        </w:rPr>
      </w:pPr>
      <w:r>
        <w:rPr>
          <w:sz w:val="24"/>
          <w:szCs w:val="24"/>
        </w:rPr>
        <w:t>Across the sample cuts in Table 6, the IT share coefficient ranges from −0.109 to −1.778; across the six interpretable REC subsamples in Table 4, from −0.730 to −3.417. Every estimate is negative. No estimator, sample restriction, or modeling choice reverses the sign. The primary evidence remains the EU-to-ACP directional estimate in Table 3, where precision is highest; the robustness tables confirm it is not fragile to reasonable alternatives.</w:t>
      </w:r>
    </w:p>
    <w:p>
      <w:pPr>
        <w:pStyle w:val="Normal"/>
        <w:spacing w:before="320" w:after="80"/>
        <w:rPr/>
      </w:pPr>
      <w:r>
        <w:rPr>
          <w:b/>
          <w:bCs/>
          <w:sz w:val="22"/>
          <w:szCs w:val="22"/>
        </w:rPr>
        <w:t>Table 5: Robustness — Alternative Specifications</w:t>
      </w:r>
    </w:p>
    <w:tbl>
      <w:tblPr>
        <w:tblW w:w="9360" w:type="dxa"/>
        <w:jc w:val="start"/>
        <w:tblInd w:w="0" w:type="dxa"/>
        <w:tblLayout w:type="fixed"/>
        <w:tblCellMar>
          <w:top w:w="36" w:type="dxa"/>
          <w:start w:w="80" w:type="dxa"/>
          <w:bottom w:w="36" w:type="dxa"/>
          <w:end w:w="50" w:type="dxa"/>
        </w:tblCellMar>
        <w:tblLook w:val="0000" w:firstRow="0" w:noVBand="0" w:lastRow="0" w:firstColumn="0" w:lastColumn="0" w:noHBand="0"/>
      </w:tblPr>
      <w:tblGrid>
        <w:gridCol w:w="1496"/>
        <w:gridCol w:w="1511"/>
        <w:gridCol w:w="1047"/>
        <w:gridCol w:w="1359"/>
        <w:gridCol w:w="1024"/>
        <w:gridCol w:w="1866"/>
        <w:gridCol w:w="1057"/>
      </w:tblGrid>
      <w:tr>
        <w:trPr/>
        <w:tc>
          <w:tcPr>
            <w:tcW w:w="1496" w:type="dxa"/>
            <w:tcBorders>
              <w:top w:val="single" w:sz="8" w:space="0" w:color="000000"/>
              <w:bottom w:val="single" w:sz="4" w:space="0" w:color="000000"/>
            </w:tcBorders>
            <w:vAlign w:val="center"/>
          </w:tcPr>
          <w:p>
            <w:pPr>
              <w:pStyle w:val="Normal"/>
              <w:jc w:val="center"/>
              <w:rPr/>
            </w:pPr>
            <w:r>
              <w:rPr/>
            </w:r>
          </w:p>
        </w:tc>
        <w:tc>
          <w:tcPr>
            <w:tcW w:w="1511" w:type="dxa"/>
            <w:tcBorders>
              <w:top w:val="single" w:sz="8" w:space="0" w:color="000000"/>
              <w:bottom w:val="single" w:sz="4" w:space="0" w:color="000000"/>
            </w:tcBorders>
            <w:vAlign w:val="center"/>
          </w:tcPr>
          <w:p>
            <w:pPr>
              <w:pStyle w:val="Normal"/>
              <w:jc w:val="center"/>
              <w:rPr/>
            </w:pPr>
            <w:r>
              <w:rPr>
                <w:b/>
                <w:bCs/>
                <w:sz w:val="17"/>
                <w:szCs w:val="17"/>
              </w:rPr>
              <w:t>(1) Baseline PPML</w:t>
            </w:r>
          </w:p>
        </w:tc>
        <w:tc>
          <w:tcPr>
            <w:tcW w:w="1047" w:type="dxa"/>
            <w:tcBorders>
              <w:top w:val="single" w:sz="8" w:space="0" w:color="000000"/>
              <w:bottom w:val="single" w:sz="4" w:space="0" w:color="000000"/>
            </w:tcBorders>
            <w:vAlign w:val="center"/>
          </w:tcPr>
          <w:p>
            <w:pPr>
              <w:pStyle w:val="Normal"/>
              <w:jc w:val="center"/>
              <w:rPr/>
            </w:pPr>
            <w:r>
              <w:rPr>
                <w:b/>
                <w:bCs/>
                <w:sz w:val="17"/>
                <w:szCs w:val="17"/>
              </w:rPr>
              <w:t>(2) NB-PML</w:t>
            </w:r>
          </w:p>
        </w:tc>
        <w:tc>
          <w:tcPr>
            <w:tcW w:w="1359" w:type="dxa"/>
            <w:tcBorders>
              <w:top w:val="single" w:sz="8" w:space="0" w:color="000000"/>
              <w:bottom w:val="single" w:sz="4" w:space="0" w:color="000000"/>
            </w:tcBorders>
            <w:vAlign w:val="center"/>
          </w:tcPr>
          <w:p>
            <w:pPr>
              <w:pStyle w:val="Normal"/>
              <w:jc w:val="center"/>
              <w:rPr/>
            </w:pPr>
            <w:r>
              <w:rPr>
                <w:b/>
                <w:bCs/>
                <w:sz w:val="17"/>
                <w:szCs w:val="17"/>
              </w:rPr>
              <w:t>(3) OLS log(1+y)</w:t>
            </w:r>
          </w:p>
        </w:tc>
        <w:tc>
          <w:tcPr>
            <w:tcW w:w="1024" w:type="dxa"/>
            <w:tcBorders>
              <w:top w:val="single" w:sz="8" w:space="0" w:color="000000"/>
              <w:bottom w:val="single" w:sz="4" w:space="0" w:color="000000"/>
            </w:tcBorders>
            <w:vAlign w:val="center"/>
          </w:tcPr>
          <w:p>
            <w:pPr>
              <w:pStyle w:val="Normal"/>
              <w:jc w:val="center"/>
              <w:rPr/>
            </w:pPr>
            <w:r>
              <w:rPr>
                <w:b/>
                <w:bCs/>
                <w:sz w:val="17"/>
                <w:szCs w:val="17"/>
              </w:rPr>
              <w:t>(4) IT Share</w:t>
              <w:br/>
              <w:t>(ex-EU)</w:t>
            </w:r>
          </w:p>
        </w:tc>
        <w:tc>
          <w:tcPr>
            <w:tcW w:w="1866" w:type="dxa"/>
            <w:tcBorders>
              <w:top w:val="single" w:sz="8" w:space="0" w:color="000000"/>
              <w:bottom w:val="single" w:sz="4" w:space="0" w:color="000000"/>
            </w:tcBorders>
            <w:vAlign w:val="center"/>
          </w:tcPr>
          <w:p>
            <w:pPr>
              <w:pStyle w:val="Normal"/>
              <w:jc w:val="center"/>
              <w:rPr/>
            </w:pPr>
            <w:r>
              <w:rPr>
                <w:b/>
                <w:bCs/>
                <w:sz w:val="17"/>
                <w:szCs w:val="17"/>
              </w:rPr>
              <w:t>(5) Excl. CARIFORUM</w:t>
            </w:r>
          </w:p>
        </w:tc>
        <w:tc>
          <w:tcPr>
            <w:tcW w:w="1057" w:type="dxa"/>
            <w:tcBorders>
              <w:top w:val="single" w:sz="8" w:space="0" w:color="000000"/>
              <w:bottom w:val="single" w:sz="4" w:space="0" w:color="000000"/>
            </w:tcBorders>
            <w:vAlign w:val="center"/>
          </w:tcPr>
          <w:p>
            <w:pPr>
              <w:pStyle w:val="Normal"/>
              <w:jc w:val="center"/>
              <w:rPr/>
            </w:pPr>
            <w:r>
              <w:rPr>
                <w:b/>
                <w:bCs/>
                <w:sz w:val="17"/>
                <w:szCs w:val="17"/>
              </w:rPr>
              <w:t>(6) Excl. PIF</w:t>
            </w:r>
          </w:p>
        </w:tc>
      </w:tr>
      <w:tr>
        <w:trPr/>
        <w:tc>
          <w:tcPr>
            <w:tcW w:w="1496" w:type="dxa"/>
            <w:tcBorders/>
            <w:tcMar>
              <w:start w:w="100" w:type="dxa"/>
            </w:tcMar>
            <w:vAlign w:val="center"/>
          </w:tcPr>
          <w:p>
            <w:pPr>
              <w:pStyle w:val="Normal"/>
              <w:jc w:val="center"/>
              <w:rPr/>
            </w:pPr>
            <w:r>
              <w:rPr>
                <w:i/>
                <w:iCs/>
                <w:sz w:val="17"/>
                <w:szCs w:val="17"/>
              </w:rPr>
              <w:t>ln(Distance)</w:t>
            </w:r>
          </w:p>
        </w:tc>
        <w:tc>
          <w:tcPr>
            <w:tcW w:w="1511" w:type="dxa"/>
            <w:tcBorders/>
            <w:vAlign w:val="center"/>
          </w:tcPr>
          <w:p>
            <w:pPr>
              <w:pStyle w:val="Normal"/>
              <w:jc w:val="center"/>
              <w:rPr/>
            </w:pPr>
            <w:r>
              <w:rPr>
                <w:sz w:val="17"/>
                <w:szCs w:val="17"/>
              </w:rPr>
              <w:t>−</w:t>
            </w:r>
            <w:r>
              <w:rPr>
                <w:sz w:val="17"/>
                <w:szCs w:val="17"/>
              </w:rPr>
              <w:t>1.625**</w:t>
            </w:r>
          </w:p>
        </w:tc>
        <w:tc>
          <w:tcPr>
            <w:tcW w:w="1047" w:type="dxa"/>
            <w:tcBorders/>
            <w:vAlign w:val="center"/>
          </w:tcPr>
          <w:p>
            <w:pPr>
              <w:pStyle w:val="Normal"/>
              <w:jc w:val="center"/>
              <w:rPr/>
            </w:pPr>
            <w:r>
              <w:rPr>
                <w:sz w:val="17"/>
                <w:szCs w:val="17"/>
              </w:rPr>
              <w:t>−</w:t>
            </w:r>
            <w:r>
              <w:rPr>
                <w:sz w:val="17"/>
                <w:szCs w:val="17"/>
              </w:rPr>
              <w:t>0.603**</w:t>
            </w:r>
          </w:p>
        </w:tc>
        <w:tc>
          <w:tcPr>
            <w:tcW w:w="1359" w:type="dxa"/>
            <w:tcBorders/>
            <w:vAlign w:val="center"/>
          </w:tcPr>
          <w:p>
            <w:pPr>
              <w:pStyle w:val="Normal"/>
              <w:jc w:val="center"/>
              <w:rPr/>
            </w:pPr>
            <w:r>
              <w:rPr>
                <w:sz w:val="17"/>
                <w:szCs w:val="17"/>
              </w:rPr>
              <w:t>−</w:t>
            </w:r>
            <w:r>
              <w:rPr>
                <w:sz w:val="17"/>
                <w:szCs w:val="17"/>
              </w:rPr>
              <w:t>1.501***</w:t>
            </w:r>
          </w:p>
        </w:tc>
        <w:tc>
          <w:tcPr>
            <w:tcW w:w="1024" w:type="dxa"/>
            <w:tcBorders/>
            <w:vAlign w:val="center"/>
          </w:tcPr>
          <w:p>
            <w:pPr>
              <w:pStyle w:val="Normal"/>
              <w:jc w:val="center"/>
              <w:rPr/>
            </w:pPr>
            <w:r>
              <w:rPr>
                <w:sz w:val="17"/>
                <w:szCs w:val="17"/>
              </w:rPr>
              <w:t>−</w:t>
            </w:r>
            <w:r>
              <w:rPr>
                <w:sz w:val="17"/>
                <w:szCs w:val="17"/>
              </w:rPr>
              <w:t>1.605**</w:t>
            </w:r>
          </w:p>
        </w:tc>
        <w:tc>
          <w:tcPr>
            <w:tcW w:w="1866" w:type="dxa"/>
            <w:tcBorders/>
            <w:vAlign w:val="center"/>
          </w:tcPr>
          <w:p>
            <w:pPr>
              <w:pStyle w:val="Normal"/>
              <w:jc w:val="center"/>
              <w:rPr/>
            </w:pPr>
            <w:r>
              <w:rPr>
                <w:sz w:val="17"/>
                <w:szCs w:val="17"/>
              </w:rPr>
              <w:t>−</w:t>
            </w:r>
            <w:r>
              <w:rPr>
                <w:sz w:val="17"/>
                <w:szCs w:val="17"/>
              </w:rPr>
              <w:t>2.248***</w:t>
            </w:r>
          </w:p>
        </w:tc>
        <w:tc>
          <w:tcPr>
            <w:tcW w:w="1057" w:type="dxa"/>
            <w:tcBorders/>
            <w:vAlign w:val="center"/>
          </w:tcPr>
          <w:p>
            <w:pPr>
              <w:pStyle w:val="Normal"/>
              <w:jc w:val="center"/>
              <w:rPr/>
            </w:pPr>
            <w:r>
              <w:rPr>
                <w:sz w:val="17"/>
                <w:szCs w:val="17"/>
              </w:rPr>
              <w:t>−</w:t>
            </w:r>
            <w:r>
              <w:rPr>
                <w:sz w:val="17"/>
                <w:szCs w:val="17"/>
              </w:rPr>
              <w:t>1.677**</w:t>
            </w:r>
          </w:p>
        </w:tc>
      </w:tr>
      <w:tr>
        <w:trPr/>
        <w:tc>
          <w:tcPr>
            <w:tcW w:w="1496" w:type="dxa"/>
            <w:tcBorders/>
            <w:tcMar>
              <w:start w:w="100" w:type="dxa"/>
            </w:tcMar>
            <w:vAlign w:val="center"/>
          </w:tcPr>
          <w:p>
            <w:pPr>
              <w:pStyle w:val="Normal"/>
              <w:jc w:val="center"/>
              <w:rPr/>
            </w:pPr>
            <w:r>
              <w:rPr/>
            </w:r>
          </w:p>
        </w:tc>
        <w:tc>
          <w:tcPr>
            <w:tcW w:w="1511" w:type="dxa"/>
            <w:tcBorders/>
            <w:vAlign w:val="center"/>
          </w:tcPr>
          <w:p>
            <w:pPr>
              <w:pStyle w:val="Normal"/>
              <w:jc w:val="center"/>
              <w:rPr/>
            </w:pPr>
            <w:r>
              <w:rPr>
                <w:sz w:val="16"/>
                <w:szCs w:val="16"/>
              </w:rPr>
              <w:t>(0.649)</w:t>
            </w:r>
          </w:p>
        </w:tc>
        <w:tc>
          <w:tcPr>
            <w:tcW w:w="1047" w:type="dxa"/>
            <w:tcBorders/>
            <w:vAlign w:val="center"/>
          </w:tcPr>
          <w:p>
            <w:pPr>
              <w:pStyle w:val="Normal"/>
              <w:jc w:val="center"/>
              <w:rPr/>
            </w:pPr>
            <w:r>
              <w:rPr>
                <w:sz w:val="16"/>
                <w:szCs w:val="16"/>
              </w:rPr>
              <w:t>(0.242)</w:t>
            </w:r>
          </w:p>
        </w:tc>
        <w:tc>
          <w:tcPr>
            <w:tcW w:w="1359" w:type="dxa"/>
            <w:tcBorders/>
            <w:vAlign w:val="center"/>
          </w:tcPr>
          <w:p>
            <w:pPr>
              <w:pStyle w:val="Normal"/>
              <w:jc w:val="center"/>
              <w:rPr/>
            </w:pPr>
            <w:r>
              <w:rPr>
                <w:sz w:val="16"/>
                <w:szCs w:val="16"/>
              </w:rPr>
              <w:t>(0.235)</w:t>
            </w:r>
          </w:p>
        </w:tc>
        <w:tc>
          <w:tcPr>
            <w:tcW w:w="1024" w:type="dxa"/>
            <w:tcBorders/>
            <w:vAlign w:val="center"/>
          </w:tcPr>
          <w:p>
            <w:pPr>
              <w:pStyle w:val="Normal"/>
              <w:jc w:val="center"/>
              <w:rPr/>
            </w:pPr>
            <w:r>
              <w:rPr>
                <w:sz w:val="16"/>
                <w:szCs w:val="16"/>
              </w:rPr>
              <w:t>(0.647)</w:t>
            </w:r>
          </w:p>
        </w:tc>
        <w:tc>
          <w:tcPr>
            <w:tcW w:w="1866" w:type="dxa"/>
            <w:tcBorders/>
            <w:vAlign w:val="center"/>
          </w:tcPr>
          <w:p>
            <w:pPr>
              <w:pStyle w:val="Normal"/>
              <w:jc w:val="center"/>
              <w:rPr/>
            </w:pPr>
            <w:r>
              <w:rPr>
                <w:sz w:val="16"/>
                <w:szCs w:val="16"/>
              </w:rPr>
              <w:t>(0.723)</w:t>
            </w:r>
          </w:p>
        </w:tc>
        <w:tc>
          <w:tcPr>
            <w:tcW w:w="1057" w:type="dxa"/>
            <w:tcBorders/>
            <w:vAlign w:val="center"/>
          </w:tcPr>
          <w:p>
            <w:pPr>
              <w:pStyle w:val="Normal"/>
              <w:jc w:val="center"/>
              <w:rPr/>
            </w:pPr>
            <w:r>
              <w:rPr>
                <w:sz w:val="16"/>
                <w:szCs w:val="16"/>
              </w:rPr>
              <w:t>(0.716)</w:t>
            </w:r>
          </w:p>
        </w:tc>
      </w:tr>
      <w:tr>
        <w:trPr/>
        <w:tc>
          <w:tcPr>
            <w:tcW w:w="1496" w:type="dxa"/>
            <w:tcBorders/>
            <w:tcMar>
              <w:start w:w="100" w:type="dxa"/>
            </w:tcMar>
            <w:vAlign w:val="center"/>
          </w:tcPr>
          <w:p>
            <w:pPr>
              <w:pStyle w:val="Normal"/>
              <w:jc w:val="center"/>
              <w:rPr/>
            </w:pPr>
            <w:r>
              <w:rPr>
                <w:i/>
                <w:iCs/>
                <w:sz w:val="17"/>
                <w:szCs w:val="17"/>
              </w:rPr>
              <w:t>Common Language</w:t>
            </w:r>
          </w:p>
        </w:tc>
        <w:tc>
          <w:tcPr>
            <w:tcW w:w="1511" w:type="dxa"/>
            <w:tcBorders/>
            <w:vAlign w:val="center"/>
          </w:tcPr>
          <w:p>
            <w:pPr>
              <w:pStyle w:val="Normal"/>
              <w:jc w:val="center"/>
              <w:rPr/>
            </w:pPr>
            <w:r>
              <w:rPr>
                <w:sz w:val="17"/>
                <w:szCs w:val="17"/>
              </w:rPr>
              <w:t>0.873***</w:t>
            </w:r>
          </w:p>
        </w:tc>
        <w:tc>
          <w:tcPr>
            <w:tcW w:w="1047" w:type="dxa"/>
            <w:tcBorders/>
            <w:vAlign w:val="center"/>
          </w:tcPr>
          <w:p>
            <w:pPr>
              <w:pStyle w:val="Normal"/>
              <w:jc w:val="center"/>
              <w:rPr/>
            </w:pPr>
            <w:r>
              <w:rPr>
                <w:sz w:val="17"/>
                <w:szCs w:val="17"/>
              </w:rPr>
              <w:t>0.493***</w:t>
            </w:r>
          </w:p>
        </w:tc>
        <w:tc>
          <w:tcPr>
            <w:tcW w:w="1359" w:type="dxa"/>
            <w:tcBorders/>
            <w:vAlign w:val="center"/>
          </w:tcPr>
          <w:p>
            <w:pPr>
              <w:pStyle w:val="Normal"/>
              <w:jc w:val="center"/>
              <w:rPr/>
            </w:pPr>
            <w:r>
              <w:rPr>
                <w:sz w:val="17"/>
                <w:szCs w:val="17"/>
              </w:rPr>
              <w:t>0.579***</w:t>
            </w:r>
          </w:p>
        </w:tc>
        <w:tc>
          <w:tcPr>
            <w:tcW w:w="1024" w:type="dxa"/>
            <w:tcBorders/>
            <w:vAlign w:val="center"/>
          </w:tcPr>
          <w:p>
            <w:pPr>
              <w:pStyle w:val="Normal"/>
              <w:jc w:val="center"/>
              <w:rPr/>
            </w:pPr>
            <w:r>
              <w:rPr>
                <w:sz w:val="17"/>
                <w:szCs w:val="17"/>
              </w:rPr>
              <w:t>0.870***</w:t>
            </w:r>
          </w:p>
        </w:tc>
        <w:tc>
          <w:tcPr>
            <w:tcW w:w="1866" w:type="dxa"/>
            <w:tcBorders/>
            <w:vAlign w:val="center"/>
          </w:tcPr>
          <w:p>
            <w:pPr>
              <w:pStyle w:val="Normal"/>
              <w:jc w:val="center"/>
              <w:rPr/>
            </w:pPr>
            <w:r>
              <w:rPr>
                <w:sz w:val="17"/>
                <w:szCs w:val="17"/>
              </w:rPr>
              <w:t>0.861***</w:t>
            </w:r>
          </w:p>
        </w:tc>
        <w:tc>
          <w:tcPr>
            <w:tcW w:w="1057" w:type="dxa"/>
            <w:tcBorders/>
            <w:vAlign w:val="center"/>
          </w:tcPr>
          <w:p>
            <w:pPr>
              <w:pStyle w:val="Normal"/>
              <w:jc w:val="center"/>
              <w:rPr/>
            </w:pPr>
            <w:r>
              <w:rPr>
                <w:sz w:val="17"/>
                <w:szCs w:val="17"/>
              </w:rPr>
              <w:t>0.884***</w:t>
            </w:r>
          </w:p>
        </w:tc>
      </w:tr>
      <w:tr>
        <w:trPr/>
        <w:tc>
          <w:tcPr>
            <w:tcW w:w="1496" w:type="dxa"/>
            <w:tcBorders/>
            <w:tcMar>
              <w:start w:w="100" w:type="dxa"/>
            </w:tcMar>
            <w:vAlign w:val="center"/>
          </w:tcPr>
          <w:p>
            <w:pPr>
              <w:pStyle w:val="Normal"/>
              <w:jc w:val="center"/>
              <w:rPr/>
            </w:pPr>
            <w:r>
              <w:rPr/>
            </w:r>
          </w:p>
        </w:tc>
        <w:tc>
          <w:tcPr>
            <w:tcW w:w="1511" w:type="dxa"/>
            <w:tcBorders/>
            <w:vAlign w:val="center"/>
          </w:tcPr>
          <w:p>
            <w:pPr>
              <w:pStyle w:val="Normal"/>
              <w:jc w:val="center"/>
              <w:rPr/>
            </w:pPr>
            <w:r>
              <w:rPr>
                <w:sz w:val="16"/>
                <w:szCs w:val="16"/>
              </w:rPr>
              <w:t>(0.178)</w:t>
            </w:r>
          </w:p>
        </w:tc>
        <w:tc>
          <w:tcPr>
            <w:tcW w:w="1047" w:type="dxa"/>
            <w:tcBorders/>
            <w:vAlign w:val="center"/>
          </w:tcPr>
          <w:p>
            <w:pPr>
              <w:pStyle w:val="Normal"/>
              <w:jc w:val="center"/>
              <w:rPr/>
            </w:pPr>
            <w:r>
              <w:rPr>
                <w:sz w:val="16"/>
                <w:szCs w:val="16"/>
              </w:rPr>
              <w:t>(0.115)</w:t>
            </w:r>
          </w:p>
        </w:tc>
        <w:tc>
          <w:tcPr>
            <w:tcW w:w="1359" w:type="dxa"/>
            <w:tcBorders/>
            <w:vAlign w:val="center"/>
          </w:tcPr>
          <w:p>
            <w:pPr>
              <w:pStyle w:val="Normal"/>
              <w:jc w:val="center"/>
              <w:rPr/>
            </w:pPr>
            <w:r>
              <w:rPr>
                <w:sz w:val="16"/>
                <w:szCs w:val="16"/>
              </w:rPr>
              <w:t>(0.118)</w:t>
            </w:r>
          </w:p>
        </w:tc>
        <w:tc>
          <w:tcPr>
            <w:tcW w:w="1024" w:type="dxa"/>
            <w:tcBorders/>
            <w:vAlign w:val="center"/>
          </w:tcPr>
          <w:p>
            <w:pPr>
              <w:pStyle w:val="Normal"/>
              <w:jc w:val="center"/>
              <w:rPr/>
            </w:pPr>
            <w:r>
              <w:rPr>
                <w:sz w:val="16"/>
                <w:szCs w:val="16"/>
              </w:rPr>
              <w:t>(0.177)</w:t>
            </w:r>
          </w:p>
        </w:tc>
        <w:tc>
          <w:tcPr>
            <w:tcW w:w="1866" w:type="dxa"/>
            <w:tcBorders/>
            <w:vAlign w:val="center"/>
          </w:tcPr>
          <w:p>
            <w:pPr>
              <w:pStyle w:val="Normal"/>
              <w:jc w:val="center"/>
              <w:rPr/>
            </w:pPr>
            <w:r>
              <w:rPr>
                <w:sz w:val="16"/>
                <w:szCs w:val="16"/>
              </w:rPr>
              <w:t>(0.189)</w:t>
            </w:r>
          </w:p>
        </w:tc>
        <w:tc>
          <w:tcPr>
            <w:tcW w:w="1057" w:type="dxa"/>
            <w:tcBorders/>
            <w:vAlign w:val="center"/>
          </w:tcPr>
          <w:p>
            <w:pPr>
              <w:pStyle w:val="Normal"/>
              <w:jc w:val="center"/>
              <w:rPr/>
            </w:pPr>
            <w:r>
              <w:rPr>
                <w:sz w:val="16"/>
                <w:szCs w:val="16"/>
              </w:rPr>
              <w:t>(0.180)</w:t>
            </w:r>
          </w:p>
        </w:tc>
      </w:tr>
      <w:tr>
        <w:trPr/>
        <w:tc>
          <w:tcPr>
            <w:tcW w:w="1496" w:type="dxa"/>
            <w:tcBorders/>
            <w:tcMar>
              <w:start w:w="100" w:type="dxa"/>
            </w:tcMar>
            <w:vAlign w:val="center"/>
          </w:tcPr>
          <w:p>
            <w:pPr>
              <w:pStyle w:val="Normal"/>
              <w:jc w:val="center"/>
              <w:rPr/>
            </w:pPr>
            <w:r>
              <w:rPr>
                <w:i/>
                <w:iCs/>
                <w:sz w:val="17"/>
                <w:szCs w:val="17"/>
              </w:rPr>
              <w:t>Colonial Tie</w:t>
            </w:r>
          </w:p>
        </w:tc>
        <w:tc>
          <w:tcPr>
            <w:tcW w:w="1511" w:type="dxa"/>
            <w:tcBorders/>
            <w:vAlign w:val="center"/>
          </w:tcPr>
          <w:p>
            <w:pPr>
              <w:pStyle w:val="Normal"/>
              <w:jc w:val="center"/>
              <w:rPr/>
            </w:pPr>
            <w:r>
              <w:rPr>
                <w:sz w:val="17"/>
                <w:szCs w:val="17"/>
              </w:rPr>
              <w:t>0.385*</w:t>
            </w:r>
          </w:p>
        </w:tc>
        <w:tc>
          <w:tcPr>
            <w:tcW w:w="1047" w:type="dxa"/>
            <w:tcBorders/>
            <w:vAlign w:val="center"/>
          </w:tcPr>
          <w:p>
            <w:pPr>
              <w:pStyle w:val="Normal"/>
              <w:jc w:val="center"/>
              <w:rPr/>
            </w:pPr>
            <w:r>
              <w:rPr>
                <w:sz w:val="17"/>
                <w:szCs w:val="17"/>
              </w:rPr>
              <w:t>1.251***</w:t>
            </w:r>
          </w:p>
        </w:tc>
        <w:tc>
          <w:tcPr>
            <w:tcW w:w="1359" w:type="dxa"/>
            <w:tcBorders/>
            <w:vAlign w:val="center"/>
          </w:tcPr>
          <w:p>
            <w:pPr>
              <w:pStyle w:val="Normal"/>
              <w:jc w:val="center"/>
              <w:rPr/>
            </w:pPr>
            <w:r>
              <w:rPr>
                <w:sz w:val="17"/>
                <w:szCs w:val="17"/>
              </w:rPr>
              <w:t>1.107***</w:t>
            </w:r>
          </w:p>
        </w:tc>
        <w:tc>
          <w:tcPr>
            <w:tcW w:w="1024" w:type="dxa"/>
            <w:tcBorders/>
            <w:vAlign w:val="center"/>
          </w:tcPr>
          <w:p>
            <w:pPr>
              <w:pStyle w:val="Normal"/>
              <w:jc w:val="center"/>
              <w:rPr/>
            </w:pPr>
            <w:r>
              <w:rPr>
                <w:sz w:val="17"/>
                <w:szCs w:val="17"/>
              </w:rPr>
              <w:t>0.384*</w:t>
            </w:r>
          </w:p>
        </w:tc>
        <w:tc>
          <w:tcPr>
            <w:tcW w:w="1866" w:type="dxa"/>
            <w:tcBorders/>
            <w:vAlign w:val="center"/>
          </w:tcPr>
          <w:p>
            <w:pPr>
              <w:pStyle w:val="Normal"/>
              <w:jc w:val="center"/>
              <w:rPr/>
            </w:pPr>
            <w:r>
              <w:rPr>
                <w:sz w:val="17"/>
                <w:szCs w:val="17"/>
              </w:rPr>
              <w:t>0.414*</w:t>
            </w:r>
          </w:p>
        </w:tc>
        <w:tc>
          <w:tcPr>
            <w:tcW w:w="1057" w:type="dxa"/>
            <w:tcBorders/>
            <w:vAlign w:val="center"/>
          </w:tcPr>
          <w:p>
            <w:pPr>
              <w:pStyle w:val="Normal"/>
              <w:jc w:val="center"/>
              <w:rPr/>
            </w:pPr>
            <w:r>
              <w:rPr>
                <w:sz w:val="17"/>
                <w:szCs w:val="17"/>
              </w:rPr>
              <w:t>0.361*</w:t>
            </w:r>
          </w:p>
        </w:tc>
      </w:tr>
      <w:tr>
        <w:trPr/>
        <w:tc>
          <w:tcPr>
            <w:tcW w:w="1496" w:type="dxa"/>
            <w:tcBorders/>
            <w:tcMar>
              <w:start w:w="100" w:type="dxa"/>
            </w:tcMar>
            <w:vAlign w:val="center"/>
          </w:tcPr>
          <w:p>
            <w:pPr>
              <w:pStyle w:val="Normal"/>
              <w:jc w:val="center"/>
              <w:rPr/>
            </w:pPr>
            <w:r>
              <w:rPr/>
            </w:r>
          </w:p>
        </w:tc>
        <w:tc>
          <w:tcPr>
            <w:tcW w:w="1511" w:type="dxa"/>
            <w:tcBorders/>
            <w:vAlign w:val="center"/>
          </w:tcPr>
          <w:p>
            <w:pPr>
              <w:pStyle w:val="Normal"/>
              <w:jc w:val="center"/>
              <w:rPr/>
            </w:pPr>
            <w:r>
              <w:rPr>
                <w:sz w:val="16"/>
                <w:szCs w:val="16"/>
              </w:rPr>
              <w:t>(0.201)</w:t>
            </w:r>
          </w:p>
        </w:tc>
        <w:tc>
          <w:tcPr>
            <w:tcW w:w="1047" w:type="dxa"/>
            <w:tcBorders/>
            <w:vAlign w:val="center"/>
          </w:tcPr>
          <w:p>
            <w:pPr>
              <w:pStyle w:val="Normal"/>
              <w:jc w:val="center"/>
              <w:rPr/>
            </w:pPr>
            <w:r>
              <w:rPr>
                <w:sz w:val="16"/>
                <w:szCs w:val="16"/>
              </w:rPr>
              <w:t>(0.156)</w:t>
            </w:r>
          </w:p>
        </w:tc>
        <w:tc>
          <w:tcPr>
            <w:tcW w:w="1359" w:type="dxa"/>
            <w:tcBorders/>
            <w:vAlign w:val="center"/>
          </w:tcPr>
          <w:p>
            <w:pPr>
              <w:pStyle w:val="Normal"/>
              <w:jc w:val="center"/>
              <w:rPr/>
            </w:pPr>
            <w:r>
              <w:rPr>
                <w:sz w:val="16"/>
                <w:szCs w:val="16"/>
              </w:rPr>
              <w:t>(0.172)</w:t>
            </w:r>
          </w:p>
        </w:tc>
        <w:tc>
          <w:tcPr>
            <w:tcW w:w="1024" w:type="dxa"/>
            <w:tcBorders/>
            <w:vAlign w:val="center"/>
          </w:tcPr>
          <w:p>
            <w:pPr>
              <w:pStyle w:val="Normal"/>
              <w:jc w:val="center"/>
              <w:rPr/>
            </w:pPr>
            <w:r>
              <w:rPr>
                <w:sz w:val="16"/>
                <w:szCs w:val="16"/>
              </w:rPr>
              <w:t>(0.201)</w:t>
            </w:r>
          </w:p>
        </w:tc>
        <w:tc>
          <w:tcPr>
            <w:tcW w:w="1866" w:type="dxa"/>
            <w:tcBorders/>
            <w:vAlign w:val="center"/>
          </w:tcPr>
          <w:p>
            <w:pPr>
              <w:pStyle w:val="Normal"/>
              <w:jc w:val="center"/>
              <w:rPr/>
            </w:pPr>
            <w:r>
              <w:rPr>
                <w:sz w:val="16"/>
                <w:szCs w:val="16"/>
              </w:rPr>
              <w:t>(0.212)</w:t>
            </w:r>
          </w:p>
        </w:tc>
        <w:tc>
          <w:tcPr>
            <w:tcW w:w="1057" w:type="dxa"/>
            <w:tcBorders/>
            <w:vAlign w:val="center"/>
          </w:tcPr>
          <w:p>
            <w:pPr>
              <w:pStyle w:val="Normal"/>
              <w:jc w:val="center"/>
              <w:rPr/>
            </w:pPr>
            <w:r>
              <w:rPr>
                <w:sz w:val="16"/>
                <w:szCs w:val="16"/>
              </w:rPr>
              <w:t>(0.204)</w:t>
            </w:r>
          </w:p>
        </w:tc>
      </w:tr>
      <w:tr>
        <w:trPr/>
        <w:tc>
          <w:tcPr>
            <w:tcW w:w="1496" w:type="dxa"/>
            <w:tcBorders/>
            <w:tcMar>
              <w:start w:w="100" w:type="dxa"/>
            </w:tcMar>
            <w:vAlign w:val="center"/>
          </w:tcPr>
          <w:p>
            <w:pPr>
              <w:pStyle w:val="Normal"/>
              <w:jc w:val="center"/>
              <w:rPr/>
            </w:pPr>
            <w:r>
              <w:rPr>
                <w:i/>
                <w:iCs/>
                <w:sz w:val="17"/>
                <w:szCs w:val="17"/>
              </w:rPr>
              <w:t>EPA (in force)</w:t>
            </w:r>
          </w:p>
        </w:tc>
        <w:tc>
          <w:tcPr>
            <w:tcW w:w="1511" w:type="dxa"/>
            <w:tcBorders/>
            <w:vAlign w:val="center"/>
          </w:tcPr>
          <w:p>
            <w:pPr>
              <w:pStyle w:val="Normal"/>
              <w:jc w:val="center"/>
              <w:rPr/>
            </w:pPr>
            <w:r>
              <w:rPr>
                <w:sz w:val="17"/>
                <w:szCs w:val="17"/>
              </w:rPr>
              <w:t>−</w:t>
            </w:r>
            <w:r>
              <w:rPr>
                <w:sz w:val="17"/>
                <w:szCs w:val="17"/>
              </w:rPr>
              <w:t>0.035</w:t>
            </w:r>
          </w:p>
        </w:tc>
        <w:tc>
          <w:tcPr>
            <w:tcW w:w="1047" w:type="dxa"/>
            <w:tcBorders/>
            <w:vAlign w:val="center"/>
          </w:tcPr>
          <w:p>
            <w:pPr>
              <w:pStyle w:val="Normal"/>
              <w:jc w:val="center"/>
              <w:rPr/>
            </w:pPr>
            <w:r>
              <w:rPr>
                <w:sz w:val="17"/>
                <w:szCs w:val="17"/>
              </w:rPr>
              <w:t>−</w:t>
            </w:r>
            <w:r>
              <w:rPr>
                <w:sz w:val="17"/>
                <w:szCs w:val="17"/>
              </w:rPr>
              <w:t>0.321***</w:t>
            </w:r>
          </w:p>
        </w:tc>
        <w:tc>
          <w:tcPr>
            <w:tcW w:w="1359" w:type="dxa"/>
            <w:tcBorders/>
            <w:vAlign w:val="center"/>
          </w:tcPr>
          <w:p>
            <w:pPr>
              <w:pStyle w:val="Normal"/>
              <w:jc w:val="center"/>
              <w:rPr/>
            </w:pPr>
            <w:r>
              <w:rPr>
                <w:sz w:val="17"/>
                <w:szCs w:val="17"/>
              </w:rPr>
              <w:t>−</w:t>
            </w:r>
            <w:r>
              <w:rPr>
                <w:sz w:val="17"/>
                <w:szCs w:val="17"/>
              </w:rPr>
              <w:t>0.142***</w:t>
            </w:r>
          </w:p>
        </w:tc>
        <w:tc>
          <w:tcPr>
            <w:tcW w:w="1024" w:type="dxa"/>
            <w:tcBorders/>
            <w:vAlign w:val="center"/>
          </w:tcPr>
          <w:p>
            <w:pPr>
              <w:pStyle w:val="Normal"/>
              <w:jc w:val="center"/>
              <w:rPr/>
            </w:pPr>
            <w:r>
              <w:rPr>
                <w:sz w:val="17"/>
                <w:szCs w:val="17"/>
              </w:rPr>
              <w:t>−</w:t>
            </w:r>
            <w:r>
              <w:rPr>
                <w:sz w:val="17"/>
                <w:szCs w:val="17"/>
              </w:rPr>
              <w:t>0.070</w:t>
            </w:r>
          </w:p>
        </w:tc>
        <w:tc>
          <w:tcPr>
            <w:tcW w:w="1866" w:type="dxa"/>
            <w:tcBorders/>
            <w:vAlign w:val="center"/>
          </w:tcPr>
          <w:p>
            <w:pPr>
              <w:pStyle w:val="Normal"/>
              <w:jc w:val="center"/>
              <w:rPr/>
            </w:pPr>
            <w:r>
              <w:rPr>
                <w:sz w:val="17"/>
                <w:szCs w:val="17"/>
              </w:rPr>
              <w:t>+0.043</w:t>
            </w:r>
          </w:p>
        </w:tc>
        <w:tc>
          <w:tcPr>
            <w:tcW w:w="1057" w:type="dxa"/>
            <w:tcBorders/>
            <w:vAlign w:val="center"/>
          </w:tcPr>
          <w:p>
            <w:pPr>
              <w:pStyle w:val="Normal"/>
              <w:jc w:val="center"/>
              <w:rPr/>
            </w:pPr>
            <w:r>
              <w:rPr>
                <w:sz w:val="17"/>
                <w:szCs w:val="17"/>
              </w:rPr>
              <w:t>−</w:t>
            </w:r>
            <w:r>
              <w:rPr>
                <w:sz w:val="17"/>
                <w:szCs w:val="17"/>
              </w:rPr>
              <w:t>0.029</w:t>
            </w:r>
          </w:p>
        </w:tc>
      </w:tr>
      <w:tr>
        <w:trPr/>
        <w:tc>
          <w:tcPr>
            <w:tcW w:w="1496" w:type="dxa"/>
            <w:tcBorders/>
            <w:tcMar>
              <w:start w:w="100" w:type="dxa"/>
            </w:tcMar>
            <w:vAlign w:val="center"/>
          </w:tcPr>
          <w:p>
            <w:pPr>
              <w:pStyle w:val="Normal"/>
              <w:jc w:val="center"/>
              <w:rPr/>
            </w:pPr>
            <w:r>
              <w:rPr/>
            </w:r>
          </w:p>
        </w:tc>
        <w:tc>
          <w:tcPr>
            <w:tcW w:w="1511" w:type="dxa"/>
            <w:tcBorders/>
            <w:vAlign w:val="center"/>
          </w:tcPr>
          <w:p>
            <w:pPr>
              <w:pStyle w:val="Normal"/>
              <w:jc w:val="center"/>
              <w:rPr/>
            </w:pPr>
            <w:r>
              <w:rPr>
                <w:sz w:val="16"/>
                <w:szCs w:val="16"/>
              </w:rPr>
              <w:t>(0.056)</w:t>
            </w:r>
          </w:p>
        </w:tc>
        <w:tc>
          <w:tcPr>
            <w:tcW w:w="1047" w:type="dxa"/>
            <w:tcBorders/>
            <w:vAlign w:val="center"/>
          </w:tcPr>
          <w:p>
            <w:pPr>
              <w:pStyle w:val="Normal"/>
              <w:jc w:val="center"/>
              <w:rPr/>
            </w:pPr>
            <w:r>
              <w:rPr>
                <w:sz w:val="16"/>
                <w:szCs w:val="16"/>
              </w:rPr>
              <w:t>(0.052)</w:t>
            </w:r>
          </w:p>
        </w:tc>
        <w:tc>
          <w:tcPr>
            <w:tcW w:w="1359" w:type="dxa"/>
            <w:tcBorders/>
            <w:vAlign w:val="center"/>
          </w:tcPr>
          <w:p>
            <w:pPr>
              <w:pStyle w:val="Normal"/>
              <w:jc w:val="center"/>
              <w:rPr/>
            </w:pPr>
            <w:r>
              <w:rPr>
                <w:sz w:val="16"/>
                <w:szCs w:val="16"/>
              </w:rPr>
              <w:t>(0.047)</w:t>
            </w:r>
          </w:p>
        </w:tc>
        <w:tc>
          <w:tcPr>
            <w:tcW w:w="1024" w:type="dxa"/>
            <w:tcBorders/>
            <w:vAlign w:val="center"/>
          </w:tcPr>
          <w:p>
            <w:pPr>
              <w:pStyle w:val="Normal"/>
              <w:jc w:val="center"/>
              <w:rPr/>
            </w:pPr>
            <w:r>
              <w:rPr>
                <w:sz w:val="16"/>
                <w:szCs w:val="16"/>
              </w:rPr>
              <w:t>(0.052)</w:t>
            </w:r>
          </w:p>
        </w:tc>
        <w:tc>
          <w:tcPr>
            <w:tcW w:w="1866" w:type="dxa"/>
            <w:tcBorders/>
            <w:vAlign w:val="center"/>
          </w:tcPr>
          <w:p>
            <w:pPr>
              <w:pStyle w:val="Normal"/>
              <w:jc w:val="center"/>
              <w:rPr/>
            </w:pPr>
            <w:r>
              <w:rPr>
                <w:sz w:val="16"/>
                <w:szCs w:val="16"/>
              </w:rPr>
              <w:t>(0.059)</w:t>
            </w:r>
          </w:p>
        </w:tc>
        <w:tc>
          <w:tcPr>
            <w:tcW w:w="1057" w:type="dxa"/>
            <w:tcBorders/>
            <w:vAlign w:val="center"/>
          </w:tcPr>
          <w:p>
            <w:pPr>
              <w:pStyle w:val="Normal"/>
              <w:jc w:val="center"/>
              <w:rPr/>
            </w:pPr>
            <w:r>
              <w:rPr>
                <w:sz w:val="16"/>
                <w:szCs w:val="16"/>
              </w:rPr>
              <w:t>(0.057)</w:t>
            </w:r>
          </w:p>
        </w:tc>
      </w:tr>
      <w:tr>
        <w:trPr/>
        <w:tc>
          <w:tcPr>
            <w:tcW w:w="1496" w:type="dxa"/>
            <w:tcBorders/>
            <w:tcMar>
              <w:start w:w="100" w:type="dxa"/>
            </w:tcMar>
            <w:vAlign w:val="center"/>
          </w:tcPr>
          <w:p>
            <w:pPr>
              <w:pStyle w:val="Normal"/>
              <w:jc w:val="center"/>
              <w:rPr/>
            </w:pPr>
            <w:r>
              <w:rPr>
                <w:i/>
                <w:iCs/>
                <w:sz w:val="17"/>
                <w:szCs w:val="17"/>
              </w:rPr>
              <w:t>IT Share</w:t>
            </w:r>
          </w:p>
        </w:tc>
        <w:tc>
          <w:tcPr>
            <w:tcW w:w="1511" w:type="dxa"/>
            <w:tcBorders/>
            <w:vAlign w:val="center"/>
          </w:tcPr>
          <w:p>
            <w:pPr>
              <w:pStyle w:val="Normal"/>
              <w:jc w:val="center"/>
              <w:rPr/>
            </w:pPr>
            <w:r>
              <w:rPr>
                <w:sz w:val="17"/>
                <w:szCs w:val="17"/>
              </w:rPr>
              <w:t>−</w:t>
            </w:r>
            <w:r>
              <w:rPr>
                <w:sz w:val="17"/>
                <w:szCs w:val="17"/>
              </w:rPr>
              <w:t>0.341</w:t>
            </w:r>
          </w:p>
        </w:tc>
        <w:tc>
          <w:tcPr>
            <w:tcW w:w="1047" w:type="dxa"/>
            <w:tcBorders/>
            <w:vAlign w:val="center"/>
          </w:tcPr>
          <w:p>
            <w:pPr>
              <w:pStyle w:val="Normal"/>
              <w:jc w:val="center"/>
              <w:rPr/>
            </w:pPr>
            <w:r>
              <w:rPr>
                <w:sz w:val="17"/>
                <w:szCs w:val="17"/>
              </w:rPr>
              <w:t>−</w:t>
            </w:r>
            <w:r>
              <w:rPr>
                <w:sz w:val="17"/>
                <w:szCs w:val="17"/>
              </w:rPr>
              <w:t>0.378</w:t>
            </w:r>
          </w:p>
        </w:tc>
        <w:tc>
          <w:tcPr>
            <w:tcW w:w="1359" w:type="dxa"/>
            <w:tcBorders/>
            <w:vAlign w:val="center"/>
          </w:tcPr>
          <w:p>
            <w:pPr>
              <w:pStyle w:val="Normal"/>
              <w:jc w:val="center"/>
              <w:rPr/>
            </w:pPr>
            <w:r>
              <w:rPr>
                <w:sz w:val="17"/>
                <w:szCs w:val="17"/>
              </w:rPr>
              <w:t>+4.975***</w:t>
            </w:r>
          </w:p>
        </w:tc>
        <w:tc>
          <w:tcPr>
            <w:tcW w:w="1024" w:type="dxa"/>
            <w:tcBorders/>
            <w:vAlign w:val="center"/>
          </w:tcPr>
          <w:p>
            <w:pPr>
              <w:pStyle w:val="Normal"/>
              <w:jc w:val="center"/>
              <w:rPr/>
            </w:pPr>
            <w:r>
              <w:rPr/>
            </w:r>
          </w:p>
        </w:tc>
        <w:tc>
          <w:tcPr>
            <w:tcW w:w="1866" w:type="dxa"/>
            <w:tcBorders/>
            <w:vAlign w:val="center"/>
          </w:tcPr>
          <w:p>
            <w:pPr>
              <w:pStyle w:val="Normal"/>
              <w:jc w:val="center"/>
              <w:rPr/>
            </w:pPr>
            <w:r>
              <w:rPr>
                <w:sz w:val="17"/>
                <w:szCs w:val="17"/>
              </w:rPr>
              <w:t>−</w:t>
            </w:r>
            <w:r>
              <w:rPr>
                <w:sz w:val="17"/>
                <w:szCs w:val="17"/>
              </w:rPr>
              <w:t>0.242</w:t>
            </w:r>
          </w:p>
        </w:tc>
        <w:tc>
          <w:tcPr>
            <w:tcW w:w="1057" w:type="dxa"/>
            <w:tcBorders/>
            <w:vAlign w:val="center"/>
          </w:tcPr>
          <w:p>
            <w:pPr>
              <w:pStyle w:val="Normal"/>
              <w:jc w:val="center"/>
              <w:rPr/>
            </w:pPr>
            <w:r>
              <w:rPr>
                <w:sz w:val="17"/>
                <w:szCs w:val="17"/>
              </w:rPr>
              <w:t>−</w:t>
            </w:r>
            <w:r>
              <w:rPr>
                <w:sz w:val="17"/>
                <w:szCs w:val="17"/>
              </w:rPr>
              <w:t>0.296</w:t>
            </w:r>
          </w:p>
        </w:tc>
      </w:tr>
      <w:tr>
        <w:trPr/>
        <w:tc>
          <w:tcPr>
            <w:tcW w:w="1496" w:type="dxa"/>
            <w:tcBorders/>
            <w:tcMar>
              <w:start w:w="100" w:type="dxa"/>
            </w:tcMar>
            <w:vAlign w:val="center"/>
          </w:tcPr>
          <w:p>
            <w:pPr>
              <w:pStyle w:val="Normal"/>
              <w:jc w:val="center"/>
              <w:rPr/>
            </w:pPr>
            <w:r>
              <w:rPr/>
            </w:r>
          </w:p>
        </w:tc>
        <w:tc>
          <w:tcPr>
            <w:tcW w:w="1511" w:type="dxa"/>
            <w:tcBorders/>
            <w:vAlign w:val="center"/>
          </w:tcPr>
          <w:p>
            <w:pPr>
              <w:pStyle w:val="Normal"/>
              <w:jc w:val="center"/>
              <w:rPr/>
            </w:pPr>
            <w:r>
              <w:rPr>
                <w:sz w:val="16"/>
                <w:szCs w:val="16"/>
              </w:rPr>
              <w:t>(0.283)</w:t>
            </w:r>
          </w:p>
        </w:tc>
        <w:tc>
          <w:tcPr>
            <w:tcW w:w="1047" w:type="dxa"/>
            <w:tcBorders/>
            <w:vAlign w:val="center"/>
          </w:tcPr>
          <w:p>
            <w:pPr>
              <w:pStyle w:val="Normal"/>
              <w:jc w:val="center"/>
              <w:rPr/>
            </w:pPr>
            <w:r>
              <w:rPr>
                <w:sz w:val="16"/>
                <w:szCs w:val="16"/>
              </w:rPr>
              <w:t>(0.348)</w:t>
            </w:r>
          </w:p>
        </w:tc>
        <w:tc>
          <w:tcPr>
            <w:tcW w:w="1359" w:type="dxa"/>
            <w:tcBorders/>
            <w:vAlign w:val="center"/>
          </w:tcPr>
          <w:p>
            <w:pPr>
              <w:pStyle w:val="Normal"/>
              <w:jc w:val="center"/>
              <w:rPr/>
            </w:pPr>
            <w:r>
              <w:rPr>
                <w:sz w:val="16"/>
                <w:szCs w:val="16"/>
              </w:rPr>
              <w:t>(0.562)</w:t>
            </w:r>
          </w:p>
        </w:tc>
        <w:tc>
          <w:tcPr>
            <w:tcW w:w="1024" w:type="dxa"/>
            <w:tcBorders/>
            <w:vAlign w:val="center"/>
          </w:tcPr>
          <w:p>
            <w:pPr>
              <w:pStyle w:val="Normal"/>
              <w:jc w:val="center"/>
              <w:rPr/>
            </w:pPr>
            <w:r>
              <w:rPr/>
            </w:r>
          </w:p>
        </w:tc>
        <w:tc>
          <w:tcPr>
            <w:tcW w:w="1866" w:type="dxa"/>
            <w:tcBorders/>
            <w:vAlign w:val="center"/>
          </w:tcPr>
          <w:p>
            <w:pPr>
              <w:pStyle w:val="Normal"/>
              <w:jc w:val="center"/>
              <w:rPr/>
            </w:pPr>
            <w:r>
              <w:rPr>
                <w:sz w:val="16"/>
                <w:szCs w:val="16"/>
              </w:rPr>
              <w:t>(0.299)</w:t>
            </w:r>
          </w:p>
        </w:tc>
        <w:tc>
          <w:tcPr>
            <w:tcW w:w="1057" w:type="dxa"/>
            <w:tcBorders/>
            <w:vAlign w:val="center"/>
          </w:tcPr>
          <w:p>
            <w:pPr>
              <w:pStyle w:val="Normal"/>
              <w:jc w:val="center"/>
              <w:rPr/>
            </w:pPr>
            <w:r>
              <w:rPr>
                <w:sz w:val="16"/>
                <w:szCs w:val="16"/>
              </w:rPr>
              <w:t>(0.279)</w:t>
            </w:r>
          </w:p>
        </w:tc>
      </w:tr>
      <w:tr>
        <w:trPr/>
        <w:tc>
          <w:tcPr>
            <w:tcW w:w="1496" w:type="dxa"/>
            <w:tcBorders/>
            <w:tcMar>
              <w:start w:w="100" w:type="dxa"/>
            </w:tcMar>
            <w:vAlign w:val="center"/>
          </w:tcPr>
          <w:p>
            <w:pPr>
              <w:pStyle w:val="Normal"/>
              <w:jc w:val="center"/>
              <w:rPr/>
            </w:pPr>
            <w:r>
              <w:rPr>
                <w:i/>
                <w:iCs/>
                <w:sz w:val="17"/>
                <w:szCs w:val="17"/>
              </w:rPr>
              <w:t>IT Share (ex-EU)</w:t>
            </w:r>
          </w:p>
        </w:tc>
        <w:tc>
          <w:tcPr>
            <w:tcW w:w="1511" w:type="dxa"/>
            <w:tcBorders/>
            <w:vAlign w:val="center"/>
          </w:tcPr>
          <w:p>
            <w:pPr>
              <w:pStyle w:val="Normal"/>
              <w:jc w:val="center"/>
              <w:rPr/>
            </w:pPr>
            <w:r>
              <w:rPr/>
            </w:r>
          </w:p>
        </w:tc>
        <w:tc>
          <w:tcPr>
            <w:tcW w:w="1047" w:type="dxa"/>
            <w:tcBorders/>
            <w:vAlign w:val="center"/>
          </w:tcPr>
          <w:p>
            <w:pPr>
              <w:pStyle w:val="Normal"/>
              <w:jc w:val="center"/>
              <w:rPr/>
            </w:pPr>
            <w:r>
              <w:rPr/>
            </w:r>
          </w:p>
        </w:tc>
        <w:tc>
          <w:tcPr>
            <w:tcW w:w="1359" w:type="dxa"/>
            <w:tcBorders/>
            <w:vAlign w:val="center"/>
          </w:tcPr>
          <w:p>
            <w:pPr>
              <w:pStyle w:val="Normal"/>
              <w:jc w:val="center"/>
              <w:rPr/>
            </w:pPr>
            <w:r>
              <w:rPr/>
            </w:r>
          </w:p>
        </w:tc>
        <w:tc>
          <w:tcPr>
            <w:tcW w:w="1024" w:type="dxa"/>
            <w:tcBorders/>
            <w:vAlign w:val="center"/>
          </w:tcPr>
          <w:p>
            <w:pPr>
              <w:pStyle w:val="Normal"/>
              <w:jc w:val="center"/>
              <w:rPr/>
            </w:pPr>
            <w:r>
              <w:rPr>
                <w:sz w:val="17"/>
                <w:szCs w:val="17"/>
              </w:rPr>
              <w:t>−</w:t>
            </w:r>
            <w:r>
              <w:rPr>
                <w:sz w:val="17"/>
                <w:szCs w:val="17"/>
              </w:rPr>
              <w:t>0.084</w:t>
            </w:r>
          </w:p>
        </w:tc>
        <w:tc>
          <w:tcPr>
            <w:tcW w:w="1866" w:type="dxa"/>
            <w:tcBorders/>
            <w:vAlign w:val="center"/>
          </w:tcPr>
          <w:p>
            <w:pPr>
              <w:pStyle w:val="Normal"/>
              <w:jc w:val="center"/>
              <w:rPr/>
            </w:pPr>
            <w:r>
              <w:rPr/>
            </w:r>
          </w:p>
        </w:tc>
        <w:tc>
          <w:tcPr>
            <w:tcW w:w="1057" w:type="dxa"/>
            <w:tcBorders/>
            <w:vAlign w:val="center"/>
          </w:tcPr>
          <w:p>
            <w:pPr>
              <w:pStyle w:val="Normal"/>
              <w:jc w:val="center"/>
              <w:rPr/>
            </w:pPr>
            <w:r>
              <w:rPr/>
            </w:r>
          </w:p>
        </w:tc>
      </w:tr>
      <w:tr>
        <w:trPr/>
        <w:tc>
          <w:tcPr>
            <w:tcW w:w="1496" w:type="dxa"/>
            <w:tcBorders/>
            <w:tcMar>
              <w:start w:w="100" w:type="dxa"/>
            </w:tcMar>
            <w:vAlign w:val="center"/>
          </w:tcPr>
          <w:p>
            <w:pPr>
              <w:pStyle w:val="Normal"/>
              <w:jc w:val="center"/>
              <w:rPr/>
            </w:pPr>
            <w:r>
              <w:rPr/>
            </w:r>
          </w:p>
        </w:tc>
        <w:tc>
          <w:tcPr>
            <w:tcW w:w="1511" w:type="dxa"/>
            <w:tcBorders/>
            <w:vAlign w:val="center"/>
          </w:tcPr>
          <w:p>
            <w:pPr>
              <w:pStyle w:val="Normal"/>
              <w:jc w:val="center"/>
              <w:rPr/>
            </w:pPr>
            <w:r>
              <w:rPr/>
            </w:r>
          </w:p>
        </w:tc>
        <w:tc>
          <w:tcPr>
            <w:tcW w:w="1047" w:type="dxa"/>
            <w:tcBorders/>
            <w:vAlign w:val="center"/>
          </w:tcPr>
          <w:p>
            <w:pPr>
              <w:pStyle w:val="Normal"/>
              <w:jc w:val="center"/>
              <w:rPr/>
            </w:pPr>
            <w:r>
              <w:rPr/>
            </w:r>
          </w:p>
        </w:tc>
        <w:tc>
          <w:tcPr>
            <w:tcW w:w="1359" w:type="dxa"/>
            <w:tcBorders/>
            <w:vAlign w:val="center"/>
          </w:tcPr>
          <w:p>
            <w:pPr>
              <w:pStyle w:val="Normal"/>
              <w:jc w:val="center"/>
              <w:rPr/>
            </w:pPr>
            <w:r>
              <w:rPr/>
            </w:r>
          </w:p>
        </w:tc>
        <w:tc>
          <w:tcPr>
            <w:tcW w:w="1024" w:type="dxa"/>
            <w:tcBorders/>
            <w:vAlign w:val="center"/>
          </w:tcPr>
          <w:p>
            <w:pPr>
              <w:pStyle w:val="Normal"/>
              <w:jc w:val="center"/>
              <w:rPr/>
            </w:pPr>
            <w:r>
              <w:rPr>
                <w:sz w:val="16"/>
                <w:szCs w:val="16"/>
              </w:rPr>
              <w:t>(0.414)</w:t>
            </w:r>
          </w:p>
        </w:tc>
        <w:tc>
          <w:tcPr>
            <w:tcW w:w="1866" w:type="dxa"/>
            <w:tcBorders/>
            <w:vAlign w:val="center"/>
          </w:tcPr>
          <w:p>
            <w:pPr>
              <w:pStyle w:val="Normal"/>
              <w:jc w:val="center"/>
              <w:rPr/>
            </w:pPr>
            <w:r>
              <w:rPr/>
            </w:r>
          </w:p>
        </w:tc>
        <w:tc>
          <w:tcPr>
            <w:tcW w:w="1057" w:type="dxa"/>
            <w:tcBorders/>
            <w:vAlign w:val="center"/>
          </w:tcPr>
          <w:p>
            <w:pPr>
              <w:pStyle w:val="Normal"/>
              <w:jc w:val="center"/>
              <w:rPr/>
            </w:pPr>
            <w:r>
              <w:rPr/>
            </w:r>
          </w:p>
        </w:tc>
      </w:tr>
      <w:tr>
        <w:trPr/>
        <w:tc>
          <w:tcPr>
            <w:tcW w:w="1496" w:type="dxa"/>
            <w:tcBorders>
              <w:top w:val="single" w:sz="4" w:space="0" w:color="000000"/>
            </w:tcBorders>
            <w:tcMar>
              <w:start w:w="100" w:type="dxa"/>
            </w:tcMar>
            <w:vAlign w:val="center"/>
          </w:tcPr>
          <w:p>
            <w:pPr>
              <w:pStyle w:val="Normal"/>
              <w:jc w:val="center"/>
              <w:rPr/>
            </w:pPr>
            <w:r>
              <w:rPr>
                <w:sz w:val="17"/>
                <w:szCs w:val="17"/>
              </w:rPr>
              <w:t>EU×Year FE</w:t>
            </w:r>
          </w:p>
        </w:tc>
        <w:tc>
          <w:tcPr>
            <w:tcW w:w="1511" w:type="dxa"/>
            <w:tcBorders>
              <w:top w:val="single" w:sz="4" w:space="0" w:color="000000"/>
            </w:tcBorders>
            <w:vAlign w:val="center"/>
          </w:tcPr>
          <w:p>
            <w:pPr>
              <w:pStyle w:val="Normal"/>
              <w:jc w:val="center"/>
              <w:rPr/>
            </w:pPr>
            <w:r>
              <w:rPr>
                <w:sz w:val="17"/>
                <w:szCs w:val="17"/>
              </w:rPr>
              <w:t>Yes</w:t>
            </w:r>
          </w:p>
        </w:tc>
        <w:tc>
          <w:tcPr>
            <w:tcW w:w="1047" w:type="dxa"/>
            <w:tcBorders>
              <w:top w:val="single" w:sz="4" w:space="0" w:color="000000"/>
            </w:tcBorders>
            <w:vAlign w:val="center"/>
          </w:tcPr>
          <w:p>
            <w:pPr>
              <w:pStyle w:val="Normal"/>
              <w:jc w:val="center"/>
              <w:rPr/>
            </w:pPr>
            <w:r>
              <w:rPr>
                <w:sz w:val="17"/>
                <w:szCs w:val="17"/>
              </w:rPr>
              <w:t>Yes</w:t>
            </w:r>
          </w:p>
        </w:tc>
        <w:tc>
          <w:tcPr>
            <w:tcW w:w="1359" w:type="dxa"/>
            <w:tcBorders>
              <w:top w:val="single" w:sz="4" w:space="0" w:color="000000"/>
            </w:tcBorders>
            <w:vAlign w:val="center"/>
          </w:tcPr>
          <w:p>
            <w:pPr>
              <w:pStyle w:val="Normal"/>
              <w:jc w:val="center"/>
              <w:rPr/>
            </w:pPr>
            <w:r>
              <w:rPr>
                <w:sz w:val="17"/>
                <w:szCs w:val="17"/>
              </w:rPr>
              <w:t>Yes</w:t>
            </w:r>
          </w:p>
        </w:tc>
        <w:tc>
          <w:tcPr>
            <w:tcW w:w="1024" w:type="dxa"/>
            <w:tcBorders>
              <w:top w:val="single" w:sz="4" w:space="0" w:color="000000"/>
            </w:tcBorders>
            <w:vAlign w:val="center"/>
          </w:tcPr>
          <w:p>
            <w:pPr>
              <w:pStyle w:val="Normal"/>
              <w:jc w:val="center"/>
              <w:rPr/>
            </w:pPr>
            <w:r>
              <w:rPr>
                <w:sz w:val="17"/>
                <w:szCs w:val="17"/>
              </w:rPr>
              <w:t>Yes</w:t>
            </w:r>
          </w:p>
        </w:tc>
        <w:tc>
          <w:tcPr>
            <w:tcW w:w="1866" w:type="dxa"/>
            <w:tcBorders>
              <w:top w:val="single" w:sz="4" w:space="0" w:color="000000"/>
            </w:tcBorders>
            <w:vAlign w:val="center"/>
          </w:tcPr>
          <w:p>
            <w:pPr>
              <w:pStyle w:val="Normal"/>
              <w:jc w:val="center"/>
              <w:rPr/>
            </w:pPr>
            <w:r>
              <w:rPr>
                <w:sz w:val="17"/>
                <w:szCs w:val="17"/>
              </w:rPr>
              <w:t>Yes</w:t>
            </w:r>
          </w:p>
        </w:tc>
        <w:tc>
          <w:tcPr>
            <w:tcW w:w="1057" w:type="dxa"/>
            <w:tcBorders>
              <w:top w:val="single" w:sz="4" w:space="0" w:color="000000"/>
            </w:tcBorders>
            <w:vAlign w:val="center"/>
          </w:tcPr>
          <w:p>
            <w:pPr>
              <w:pStyle w:val="Normal"/>
              <w:jc w:val="center"/>
              <w:rPr/>
            </w:pPr>
            <w:r>
              <w:rPr>
                <w:sz w:val="17"/>
                <w:szCs w:val="17"/>
              </w:rPr>
              <w:t>Yes</w:t>
            </w:r>
          </w:p>
        </w:tc>
      </w:tr>
      <w:tr>
        <w:trPr/>
        <w:tc>
          <w:tcPr>
            <w:tcW w:w="1496" w:type="dxa"/>
            <w:tcBorders/>
            <w:tcMar>
              <w:start w:w="100" w:type="dxa"/>
            </w:tcMar>
            <w:vAlign w:val="center"/>
          </w:tcPr>
          <w:p>
            <w:pPr>
              <w:pStyle w:val="Normal"/>
              <w:jc w:val="center"/>
              <w:rPr/>
            </w:pPr>
            <w:r>
              <w:rPr>
                <w:sz w:val="17"/>
                <w:szCs w:val="17"/>
              </w:rPr>
              <w:t>ACP Country FE</w:t>
            </w:r>
          </w:p>
        </w:tc>
        <w:tc>
          <w:tcPr>
            <w:tcW w:w="1511" w:type="dxa"/>
            <w:tcBorders/>
            <w:vAlign w:val="center"/>
          </w:tcPr>
          <w:p>
            <w:pPr>
              <w:pStyle w:val="Normal"/>
              <w:jc w:val="center"/>
              <w:rPr/>
            </w:pPr>
            <w:r>
              <w:rPr>
                <w:sz w:val="17"/>
                <w:szCs w:val="17"/>
              </w:rPr>
              <w:t>Yes</w:t>
            </w:r>
          </w:p>
        </w:tc>
        <w:tc>
          <w:tcPr>
            <w:tcW w:w="1047" w:type="dxa"/>
            <w:tcBorders/>
            <w:vAlign w:val="center"/>
          </w:tcPr>
          <w:p>
            <w:pPr>
              <w:pStyle w:val="Normal"/>
              <w:jc w:val="center"/>
              <w:rPr/>
            </w:pPr>
            <w:r>
              <w:rPr>
                <w:sz w:val="17"/>
                <w:szCs w:val="17"/>
              </w:rPr>
              <w:t>Yes</w:t>
            </w:r>
          </w:p>
        </w:tc>
        <w:tc>
          <w:tcPr>
            <w:tcW w:w="1359" w:type="dxa"/>
            <w:tcBorders/>
            <w:vAlign w:val="center"/>
          </w:tcPr>
          <w:p>
            <w:pPr>
              <w:pStyle w:val="Normal"/>
              <w:jc w:val="center"/>
              <w:rPr/>
            </w:pPr>
            <w:r>
              <w:rPr>
                <w:sz w:val="17"/>
                <w:szCs w:val="17"/>
              </w:rPr>
              <w:t>Yes</w:t>
            </w:r>
          </w:p>
        </w:tc>
        <w:tc>
          <w:tcPr>
            <w:tcW w:w="1024" w:type="dxa"/>
            <w:tcBorders/>
            <w:vAlign w:val="center"/>
          </w:tcPr>
          <w:p>
            <w:pPr>
              <w:pStyle w:val="Normal"/>
              <w:jc w:val="center"/>
              <w:rPr/>
            </w:pPr>
            <w:r>
              <w:rPr>
                <w:sz w:val="17"/>
                <w:szCs w:val="17"/>
              </w:rPr>
              <w:t>Yes</w:t>
            </w:r>
          </w:p>
        </w:tc>
        <w:tc>
          <w:tcPr>
            <w:tcW w:w="1866" w:type="dxa"/>
            <w:tcBorders/>
            <w:vAlign w:val="center"/>
          </w:tcPr>
          <w:p>
            <w:pPr>
              <w:pStyle w:val="Normal"/>
              <w:jc w:val="center"/>
              <w:rPr/>
            </w:pPr>
            <w:r>
              <w:rPr>
                <w:sz w:val="17"/>
                <w:szCs w:val="17"/>
              </w:rPr>
              <w:t>Yes</w:t>
            </w:r>
          </w:p>
        </w:tc>
        <w:tc>
          <w:tcPr>
            <w:tcW w:w="1057" w:type="dxa"/>
            <w:tcBorders/>
            <w:vAlign w:val="center"/>
          </w:tcPr>
          <w:p>
            <w:pPr>
              <w:pStyle w:val="Normal"/>
              <w:jc w:val="center"/>
              <w:rPr/>
            </w:pPr>
            <w:r>
              <w:rPr>
                <w:sz w:val="17"/>
                <w:szCs w:val="17"/>
              </w:rPr>
              <w:t>Yes</w:t>
            </w:r>
          </w:p>
        </w:tc>
      </w:tr>
      <w:tr>
        <w:trPr/>
        <w:tc>
          <w:tcPr>
            <w:tcW w:w="1496" w:type="dxa"/>
            <w:tcBorders/>
            <w:tcMar>
              <w:start w:w="100" w:type="dxa"/>
            </w:tcMar>
            <w:vAlign w:val="center"/>
          </w:tcPr>
          <w:p>
            <w:pPr>
              <w:pStyle w:val="Normal"/>
              <w:jc w:val="center"/>
              <w:rPr/>
            </w:pPr>
            <w:r>
              <w:rPr>
                <w:sz w:val="17"/>
                <w:szCs w:val="17"/>
              </w:rPr>
              <w:t>Year FE</w:t>
            </w:r>
          </w:p>
        </w:tc>
        <w:tc>
          <w:tcPr>
            <w:tcW w:w="1511" w:type="dxa"/>
            <w:tcBorders/>
            <w:vAlign w:val="center"/>
          </w:tcPr>
          <w:p>
            <w:pPr>
              <w:pStyle w:val="Normal"/>
              <w:jc w:val="center"/>
              <w:rPr/>
            </w:pPr>
            <w:r>
              <w:rPr>
                <w:sz w:val="17"/>
                <w:szCs w:val="17"/>
              </w:rPr>
              <w:t>Yes</w:t>
            </w:r>
          </w:p>
        </w:tc>
        <w:tc>
          <w:tcPr>
            <w:tcW w:w="1047" w:type="dxa"/>
            <w:tcBorders/>
            <w:vAlign w:val="center"/>
          </w:tcPr>
          <w:p>
            <w:pPr>
              <w:pStyle w:val="Normal"/>
              <w:jc w:val="center"/>
              <w:rPr/>
            </w:pPr>
            <w:r>
              <w:rPr>
                <w:sz w:val="17"/>
                <w:szCs w:val="17"/>
              </w:rPr>
              <w:t>Yes</w:t>
            </w:r>
          </w:p>
        </w:tc>
        <w:tc>
          <w:tcPr>
            <w:tcW w:w="1359" w:type="dxa"/>
            <w:tcBorders/>
            <w:vAlign w:val="center"/>
          </w:tcPr>
          <w:p>
            <w:pPr>
              <w:pStyle w:val="Normal"/>
              <w:jc w:val="center"/>
              <w:rPr/>
            </w:pPr>
            <w:r>
              <w:rPr>
                <w:sz w:val="17"/>
                <w:szCs w:val="17"/>
              </w:rPr>
              <w:t>Yes</w:t>
            </w:r>
          </w:p>
        </w:tc>
        <w:tc>
          <w:tcPr>
            <w:tcW w:w="1024" w:type="dxa"/>
            <w:tcBorders/>
            <w:vAlign w:val="center"/>
          </w:tcPr>
          <w:p>
            <w:pPr>
              <w:pStyle w:val="Normal"/>
              <w:jc w:val="center"/>
              <w:rPr/>
            </w:pPr>
            <w:r>
              <w:rPr>
                <w:sz w:val="17"/>
                <w:szCs w:val="17"/>
              </w:rPr>
              <w:t>Yes</w:t>
            </w:r>
          </w:p>
        </w:tc>
        <w:tc>
          <w:tcPr>
            <w:tcW w:w="1866" w:type="dxa"/>
            <w:tcBorders/>
            <w:vAlign w:val="center"/>
          </w:tcPr>
          <w:p>
            <w:pPr>
              <w:pStyle w:val="Normal"/>
              <w:jc w:val="center"/>
              <w:rPr/>
            </w:pPr>
            <w:r>
              <w:rPr>
                <w:sz w:val="17"/>
                <w:szCs w:val="17"/>
              </w:rPr>
              <w:t>Yes</w:t>
            </w:r>
          </w:p>
        </w:tc>
        <w:tc>
          <w:tcPr>
            <w:tcW w:w="1057" w:type="dxa"/>
            <w:tcBorders/>
            <w:vAlign w:val="center"/>
          </w:tcPr>
          <w:p>
            <w:pPr>
              <w:pStyle w:val="Normal"/>
              <w:jc w:val="center"/>
              <w:rPr/>
            </w:pPr>
            <w:r>
              <w:rPr>
                <w:sz w:val="17"/>
                <w:szCs w:val="17"/>
              </w:rPr>
              <w:t>Yes</w:t>
            </w:r>
          </w:p>
        </w:tc>
      </w:tr>
      <w:tr>
        <w:trPr/>
        <w:tc>
          <w:tcPr>
            <w:tcW w:w="1496" w:type="dxa"/>
            <w:tcBorders>
              <w:bottom w:val="single" w:sz="8" w:space="0" w:color="000000"/>
            </w:tcBorders>
            <w:tcMar>
              <w:start w:w="100" w:type="dxa"/>
            </w:tcMar>
            <w:vAlign w:val="center"/>
          </w:tcPr>
          <w:p>
            <w:pPr>
              <w:pStyle w:val="Normal"/>
              <w:jc w:val="center"/>
              <w:rPr/>
            </w:pPr>
            <w:r>
              <w:rPr>
                <w:sz w:val="17"/>
                <w:szCs w:val="17"/>
              </w:rPr>
              <w:t>Observations</w:t>
            </w:r>
          </w:p>
        </w:tc>
        <w:tc>
          <w:tcPr>
            <w:tcW w:w="1511" w:type="dxa"/>
            <w:tcBorders>
              <w:bottom w:val="single" w:sz="8" w:space="0" w:color="000000"/>
            </w:tcBorders>
            <w:vAlign w:val="center"/>
          </w:tcPr>
          <w:p>
            <w:pPr>
              <w:pStyle w:val="Normal"/>
              <w:jc w:val="center"/>
              <w:rPr/>
            </w:pPr>
            <w:r>
              <w:rPr>
                <w:sz w:val="17"/>
                <w:szCs w:val="17"/>
              </w:rPr>
              <w:t>47,633</w:t>
            </w:r>
          </w:p>
        </w:tc>
        <w:tc>
          <w:tcPr>
            <w:tcW w:w="1047" w:type="dxa"/>
            <w:tcBorders>
              <w:bottom w:val="single" w:sz="8" w:space="0" w:color="000000"/>
            </w:tcBorders>
            <w:vAlign w:val="center"/>
          </w:tcPr>
          <w:p>
            <w:pPr>
              <w:pStyle w:val="Normal"/>
              <w:jc w:val="center"/>
              <w:rPr/>
            </w:pPr>
            <w:r>
              <w:rPr>
                <w:sz w:val="17"/>
                <w:szCs w:val="17"/>
              </w:rPr>
              <w:t>47,633</w:t>
            </w:r>
          </w:p>
        </w:tc>
        <w:tc>
          <w:tcPr>
            <w:tcW w:w="1359" w:type="dxa"/>
            <w:tcBorders>
              <w:bottom w:val="single" w:sz="8" w:space="0" w:color="000000"/>
            </w:tcBorders>
            <w:vAlign w:val="center"/>
          </w:tcPr>
          <w:p>
            <w:pPr>
              <w:pStyle w:val="Normal"/>
              <w:jc w:val="center"/>
              <w:rPr/>
            </w:pPr>
            <w:r>
              <w:rPr>
                <w:sz w:val="17"/>
                <w:szCs w:val="17"/>
              </w:rPr>
              <w:t>47,941</w:t>
            </w:r>
          </w:p>
        </w:tc>
        <w:tc>
          <w:tcPr>
            <w:tcW w:w="1024" w:type="dxa"/>
            <w:tcBorders>
              <w:bottom w:val="single" w:sz="8" w:space="0" w:color="000000"/>
            </w:tcBorders>
            <w:vAlign w:val="center"/>
          </w:tcPr>
          <w:p>
            <w:pPr>
              <w:pStyle w:val="Normal"/>
              <w:jc w:val="center"/>
              <w:rPr/>
            </w:pPr>
            <w:r>
              <w:rPr>
                <w:sz w:val="17"/>
                <w:szCs w:val="17"/>
              </w:rPr>
              <w:t>47,278</w:t>
            </w:r>
          </w:p>
        </w:tc>
        <w:tc>
          <w:tcPr>
            <w:tcW w:w="1866" w:type="dxa"/>
            <w:tcBorders>
              <w:bottom w:val="single" w:sz="8" w:space="0" w:color="000000"/>
            </w:tcBorders>
            <w:vAlign w:val="center"/>
          </w:tcPr>
          <w:p>
            <w:pPr>
              <w:pStyle w:val="Normal"/>
              <w:jc w:val="center"/>
              <w:rPr/>
            </w:pPr>
            <w:r>
              <w:rPr>
                <w:sz w:val="17"/>
                <w:szCs w:val="17"/>
              </w:rPr>
              <w:t>38,348</w:t>
            </w:r>
          </w:p>
        </w:tc>
        <w:tc>
          <w:tcPr>
            <w:tcW w:w="1057" w:type="dxa"/>
            <w:tcBorders>
              <w:bottom w:val="single" w:sz="8" w:space="0" w:color="000000"/>
            </w:tcBorders>
            <w:vAlign w:val="center"/>
          </w:tcPr>
          <w:p>
            <w:pPr>
              <w:pStyle w:val="Normal"/>
              <w:jc w:val="center"/>
              <w:rPr/>
            </w:pPr>
            <w:r>
              <w:rPr>
                <w:sz w:val="17"/>
                <w:szCs w:val="17"/>
              </w:rPr>
              <w:t>38,464</w:t>
            </w:r>
          </w:p>
        </w:tc>
      </w:tr>
    </w:tbl>
    <w:p>
      <w:pPr>
        <w:pStyle w:val="Normal"/>
        <w:spacing w:before="40" w:after="40"/>
        <w:rPr/>
      </w:pPr>
      <w:r>
        <w:rPr>
          <w:sz w:val="18"/>
          <w:szCs w:val="18"/>
        </w:rPr>
        <w:t>Notes: Pair-level clustered standard errors in parentheses. *** p &lt; 0.01, ** p &lt; 0.05, * p &lt; 0.10. Column (1) repeats the PPML baseline for comparison. Column (2): Negative Binomial PML, relaxing the Poisson variance assumption. Column (3): OLS on log(1 + trade), retaining zero-trade pairs; the sign reversal is a known artifact of the log(1+y) transformation (Santos Silva and Tenreyro, 2006). Column (4): PPML using IT Share (ex-EU), which reconstructs the denominator using only non-EU trade partners; by construction, the regressor cannot move with changes in EU bilateral flows. 355 observations with no recorded non-EU trade in BACI are excluded relative to column (1). Columns (5)–(6) exclude CARIFORUM and PIF, respectively.</w:t>
      </w:r>
    </w:p>
    <w:p>
      <w:pPr>
        <w:pStyle w:val="Normal"/>
        <w:spacing w:before="320" w:after="80"/>
        <w:rPr/>
      </w:pPr>
      <w:r>
        <w:rPr>
          <w:b/>
          <w:bCs/>
          <w:sz w:val="22"/>
          <w:szCs w:val="22"/>
        </w:rPr>
        <w:t>Table 6: Robustness — Alternative Sample Restrictions</w:t>
      </w:r>
    </w:p>
    <w:tbl>
      <w:tblPr>
        <w:tblW w:w="9360" w:type="dxa"/>
        <w:jc w:val="start"/>
        <w:tblInd w:w="0" w:type="dxa"/>
        <w:tblLayout w:type="fixed"/>
        <w:tblCellMar>
          <w:top w:w="36" w:type="dxa"/>
          <w:start w:w="80" w:type="dxa"/>
          <w:bottom w:w="36" w:type="dxa"/>
          <w:end w:w="50" w:type="dxa"/>
        </w:tblCellMar>
        <w:tblLook w:val="0000" w:firstRow="0" w:noVBand="0" w:lastRow="0" w:firstColumn="0" w:lastColumn="0" w:noHBand="0"/>
      </w:tblPr>
      <w:tblGrid>
        <w:gridCol w:w="1086"/>
        <w:gridCol w:w="821"/>
        <w:gridCol w:w="970"/>
        <w:gridCol w:w="969"/>
        <w:gridCol w:w="1139"/>
        <w:gridCol w:w="1092"/>
        <w:gridCol w:w="1292"/>
        <w:gridCol w:w="1032"/>
        <w:gridCol w:w="959"/>
      </w:tblGrid>
      <w:tr>
        <w:trPr/>
        <w:tc>
          <w:tcPr>
            <w:tcW w:w="1086" w:type="dxa"/>
            <w:tcBorders>
              <w:top w:val="single" w:sz="8" w:space="0" w:color="000000"/>
              <w:bottom w:val="single" w:sz="4" w:space="0" w:color="000000"/>
            </w:tcBorders>
            <w:vAlign w:val="center"/>
          </w:tcPr>
          <w:p>
            <w:pPr>
              <w:pStyle w:val="Normal"/>
              <w:jc w:val="center"/>
              <w:rPr/>
            </w:pPr>
            <w:r>
              <w:rPr/>
            </w:r>
          </w:p>
        </w:tc>
        <w:tc>
          <w:tcPr>
            <w:tcW w:w="821" w:type="dxa"/>
            <w:tcBorders>
              <w:top w:val="single" w:sz="8" w:space="0" w:color="000000"/>
              <w:bottom w:val="single" w:sz="4" w:space="0" w:color="000000"/>
            </w:tcBorders>
            <w:vAlign w:val="center"/>
          </w:tcPr>
          <w:p>
            <w:pPr>
              <w:pStyle w:val="Normal"/>
              <w:jc w:val="center"/>
              <w:rPr/>
            </w:pPr>
            <w:r>
              <w:rPr>
                <w:b/>
                <w:bCs/>
                <w:sz w:val="14"/>
                <w:szCs w:val="14"/>
              </w:rPr>
              <w:t>(1) Baseline</w:t>
            </w:r>
          </w:p>
        </w:tc>
        <w:tc>
          <w:tcPr>
            <w:tcW w:w="970" w:type="dxa"/>
            <w:tcBorders>
              <w:top w:val="single" w:sz="8" w:space="0" w:color="000000"/>
              <w:bottom w:val="single" w:sz="4" w:space="0" w:color="000000"/>
            </w:tcBorders>
            <w:vAlign w:val="center"/>
          </w:tcPr>
          <w:p>
            <w:pPr>
              <w:pStyle w:val="Normal"/>
              <w:jc w:val="center"/>
              <w:rPr/>
            </w:pPr>
            <w:r>
              <w:rPr>
                <w:b/>
                <w:bCs/>
                <w:sz w:val="14"/>
                <w:szCs w:val="14"/>
              </w:rPr>
              <w:t>(2) From 1998</w:t>
            </w:r>
          </w:p>
        </w:tc>
        <w:tc>
          <w:tcPr>
            <w:tcW w:w="969" w:type="dxa"/>
            <w:tcBorders>
              <w:top w:val="single" w:sz="8" w:space="0" w:color="000000"/>
              <w:bottom w:val="single" w:sz="4" w:space="0" w:color="000000"/>
            </w:tcBorders>
            <w:vAlign w:val="center"/>
          </w:tcPr>
          <w:p>
            <w:pPr>
              <w:pStyle w:val="Normal"/>
              <w:jc w:val="center"/>
              <w:rPr/>
            </w:pPr>
            <w:r>
              <w:rPr>
                <w:b/>
                <w:bCs/>
                <w:sz w:val="14"/>
                <w:szCs w:val="14"/>
              </w:rPr>
              <w:t>(3) From 2007</w:t>
            </w:r>
          </w:p>
        </w:tc>
        <w:tc>
          <w:tcPr>
            <w:tcW w:w="1139" w:type="dxa"/>
            <w:tcBorders>
              <w:top w:val="single" w:sz="8" w:space="0" w:color="000000"/>
              <w:bottom w:val="single" w:sz="4" w:space="0" w:color="000000"/>
            </w:tcBorders>
            <w:vAlign w:val="center"/>
          </w:tcPr>
          <w:p>
            <w:pPr>
              <w:pStyle w:val="Normal"/>
              <w:jc w:val="center"/>
              <w:rPr/>
            </w:pPr>
            <w:r>
              <w:rPr>
                <w:b/>
                <w:bCs/>
                <w:sz w:val="14"/>
                <w:szCs w:val="14"/>
              </w:rPr>
              <w:t>(4) Excl. S.Africa</w:t>
            </w:r>
          </w:p>
        </w:tc>
        <w:tc>
          <w:tcPr>
            <w:tcW w:w="1092" w:type="dxa"/>
            <w:tcBorders>
              <w:top w:val="single" w:sz="8" w:space="0" w:color="000000"/>
              <w:bottom w:val="single" w:sz="4" w:space="0" w:color="000000"/>
            </w:tcBorders>
            <w:vAlign w:val="center"/>
          </w:tcPr>
          <w:p>
            <w:pPr>
              <w:pStyle w:val="Normal"/>
              <w:jc w:val="center"/>
              <w:rPr/>
            </w:pPr>
            <w:r>
              <w:rPr>
                <w:b/>
                <w:bCs/>
                <w:sz w:val="14"/>
                <w:szCs w:val="14"/>
              </w:rPr>
              <w:t>(5) Excl. Nigeria</w:t>
            </w:r>
          </w:p>
        </w:tc>
        <w:tc>
          <w:tcPr>
            <w:tcW w:w="1292" w:type="dxa"/>
            <w:tcBorders>
              <w:top w:val="single" w:sz="8" w:space="0" w:color="000000"/>
              <w:bottom w:val="single" w:sz="4" w:space="0" w:color="000000"/>
            </w:tcBorders>
            <w:vAlign w:val="center"/>
          </w:tcPr>
          <w:p>
            <w:pPr>
              <w:pStyle w:val="Normal"/>
              <w:jc w:val="center"/>
              <w:rPr/>
            </w:pPr>
            <w:r>
              <w:rPr>
                <w:b/>
                <w:bCs/>
                <w:sz w:val="14"/>
                <w:szCs w:val="14"/>
              </w:rPr>
              <w:t>(6) Excl. SOM+ERI</w:t>
            </w:r>
          </w:p>
        </w:tc>
        <w:tc>
          <w:tcPr>
            <w:tcW w:w="1032" w:type="dxa"/>
            <w:tcBorders>
              <w:top w:val="single" w:sz="8" w:space="0" w:color="000000"/>
              <w:bottom w:val="single" w:sz="4" w:space="0" w:color="000000"/>
            </w:tcBorders>
            <w:vAlign w:val="center"/>
          </w:tcPr>
          <w:p>
            <w:pPr>
              <w:pStyle w:val="Normal"/>
              <w:jc w:val="center"/>
              <w:rPr/>
            </w:pPr>
            <w:r>
              <w:rPr>
                <w:b/>
                <w:bCs/>
                <w:sz w:val="14"/>
                <w:szCs w:val="14"/>
              </w:rPr>
              <w:t>(7) Excl. SACU</w:t>
            </w:r>
          </w:p>
        </w:tc>
        <w:tc>
          <w:tcPr>
            <w:tcW w:w="959" w:type="dxa"/>
            <w:tcBorders>
              <w:top w:val="single" w:sz="8" w:space="0" w:color="000000"/>
              <w:bottom w:val="single" w:sz="4" w:space="0" w:color="000000"/>
            </w:tcBorders>
            <w:vAlign w:val="center"/>
          </w:tcPr>
          <w:p>
            <w:pPr>
              <w:pStyle w:val="Normal"/>
              <w:jc w:val="center"/>
              <w:rPr/>
            </w:pPr>
            <w:r>
              <w:rPr>
                <w:b/>
                <w:bCs/>
                <w:sz w:val="14"/>
                <w:szCs w:val="14"/>
              </w:rPr>
              <w:t>(8) Excl. GBR</w:t>
            </w:r>
          </w:p>
        </w:tc>
      </w:tr>
      <w:tr>
        <w:trPr/>
        <w:tc>
          <w:tcPr>
            <w:tcW w:w="1086" w:type="dxa"/>
            <w:tcBorders/>
            <w:vAlign w:val="center"/>
          </w:tcPr>
          <w:p>
            <w:pPr>
              <w:pStyle w:val="Normal"/>
              <w:jc w:val="center"/>
              <w:rPr/>
            </w:pPr>
            <w:r>
              <w:rPr>
                <w:i/>
                <w:iCs/>
                <w:sz w:val="14"/>
                <w:szCs w:val="14"/>
              </w:rPr>
              <w:t>IT Share</w:t>
            </w:r>
          </w:p>
        </w:tc>
        <w:tc>
          <w:tcPr>
            <w:tcW w:w="821" w:type="dxa"/>
            <w:tcBorders/>
            <w:vAlign w:val="center"/>
          </w:tcPr>
          <w:p>
            <w:pPr>
              <w:pStyle w:val="Normal"/>
              <w:jc w:val="center"/>
              <w:rPr/>
            </w:pPr>
            <w:r>
              <w:rPr>
                <w:sz w:val="14"/>
                <w:szCs w:val="14"/>
              </w:rPr>
              <w:t>−</w:t>
            </w:r>
            <w:r>
              <w:rPr>
                <w:sz w:val="14"/>
                <w:szCs w:val="14"/>
              </w:rPr>
              <w:t>0.341</w:t>
            </w:r>
          </w:p>
        </w:tc>
        <w:tc>
          <w:tcPr>
            <w:tcW w:w="970" w:type="dxa"/>
            <w:tcBorders/>
            <w:vAlign w:val="center"/>
          </w:tcPr>
          <w:p>
            <w:pPr>
              <w:pStyle w:val="Normal"/>
              <w:jc w:val="center"/>
              <w:rPr/>
            </w:pPr>
            <w:r>
              <w:rPr>
                <w:sz w:val="14"/>
                <w:szCs w:val="14"/>
              </w:rPr>
              <w:t>−</w:t>
            </w:r>
            <w:r>
              <w:rPr>
                <w:sz w:val="14"/>
                <w:szCs w:val="14"/>
              </w:rPr>
              <w:t>1.262***</w:t>
            </w:r>
          </w:p>
        </w:tc>
        <w:tc>
          <w:tcPr>
            <w:tcW w:w="969" w:type="dxa"/>
            <w:tcBorders/>
            <w:vAlign w:val="center"/>
          </w:tcPr>
          <w:p>
            <w:pPr>
              <w:pStyle w:val="Normal"/>
              <w:jc w:val="center"/>
              <w:rPr/>
            </w:pPr>
            <w:r>
              <w:rPr>
                <w:sz w:val="14"/>
                <w:szCs w:val="14"/>
              </w:rPr>
              <w:t>−</w:t>
            </w:r>
            <w:r>
              <w:rPr>
                <w:sz w:val="14"/>
                <w:szCs w:val="14"/>
              </w:rPr>
              <w:t>1.778***</w:t>
            </w:r>
          </w:p>
        </w:tc>
        <w:tc>
          <w:tcPr>
            <w:tcW w:w="1139" w:type="dxa"/>
            <w:tcBorders/>
            <w:vAlign w:val="center"/>
          </w:tcPr>
          <w:p>
            <w:pPr>
              <w:pStyle w:val="Normal"/>
              <w:jc w:val="center"/>
              <w:rPr/>
            </w:pPr>
            <w:r>
              <w:rPr>
                <w:sz w:val="14"/>
                <w:szCs w:val="14"/>
              </w:rPr>
              <w:t>−</w:t>
            </w:r>
            <w:r>
              <w:rPr>
                <w:sz w:val="14"/>
                <w:szCs w:val="14"/>
              </w:rPr>
              <w:t>0.182</w:t>
            </w:r>
          </w:p>
        </w:tc>
        <w:tc>
          <w:tcPr>
            <w:tcW w:w="1092" w:type="dxa"/>
            <w:tcBorders/>
            <w:vAlign w:val="center"/>
          </w:tcPr>
          <w:p>
            <w:pPr>
              <w:pStyle w:val="Normal"/>
              <w:jc w:val="center"/>
              <w:rPr/>
            </w:pPr>
            <w:r>
              <w:rPr>
                <w:sz w:val="14"/>
                <w:szCs w:val="14"/>
              </w:rPr>
              <w:t>−</w:t>
            </w:r>
            <w:r>
              <w:rPr>
                <w:sz w:val="14"/>
                <w:szCs w:val="14"/>
              </w:rPr>
              <w:t>0.109</w:t>
            </w:r>
          </w:p>
        </w:tc>
        <w:tc>
          <w:tcPr>
            <w:tcW w:w="1292" w:type="dxa"/>
            <w:tcBorders/>
            <w:vAlign w:val="center"/>
          </w:tcPr>
          <w:p>
            <w:pPr>
              <w:pStyle w:val="Normal"/>
              <w:jc w:val="center"/>
              <w:rPr/>
            </w:pPr>
            <w:r>
              <w:rPr>
                <w:sz w:val="14"/>
                <w:szCs w:val="14"/>
              </w:rPr>
              <w:t>−</w:t>
            </w:r>
            <w:r>
              <w:rPr>
                <w:sz w:val="14"/>
                <w:szCs w:val="14"/>
              </w:rPr>
              <w:t>0.346</w:t>
            </w:r>
          </w:p>
        </w:tc>
        <w:tc>
          <w:tcPr>
            <w:tcW w:w="1032" w:type="dxa"/>
            <w:tcBorders/>
            <w:vAlign w:val="center"/>
          </w:tcPr>
          <w:p>
            <w:pPr>
              <w:pStyle w:val="Normal"/>
              <w:jc w:val="center"/>
              <w:rPr/>
            </w:pPr>
            <w:r>
              <w:rPr>
                <w:sz w:val="14"/>
                <w:szCs w:val="14"/>
              </w:rPr>
              <w:t>−</w:t>
            </w:r>
            <w:r>
              <w:rPr>
                <w:sz w:val="14"/>
                <w:szCs w:val="14"/>
              </w:rPr>
              <w:t>1.460***</w:t>
            </w:r>
          </w:p>
        </w:tc>
        <w:tc>
          <w:tcPr>
            <w:tcW w:w="959" w:type="dxa"/>
            <w:tcBorders/>
            <w:vAlign w:val="center"/>
          </w:tcPr>
          <w:p>
            <w:pPr>
              <w:pStyle w:val="Normal"/>
              <w:jc w:val="center"/>
              <w:rPr/>
            </w:pPr>
            <w:r>
              <w:rPr>
                <w:sz w:val="14"/>
                <w:szCs w:val="14"/>
              </w:rPr>
              <w:t>−</w:t>
            </w:r>
            <w:r>
              <w:rPr>
                <w:sz w:val="14"/>
                <w:szCs w:val="14"/>
              </w:rPr>
              <w:t>0.564*</w:t>
            </w:r>
          </w:p>
        </w:tc>
      </w:tr>
      <w:tr>
        <w:trPr/>
        <w:tc>
          <w:tcPr>
            <w:tcW w:w="1086" w:type="dxa"/>
            <w:tcBorders/>
            <w:vAlign w:val="center"/>
          </w:tcPr>
          <w:p>
            <w:pPr>
              <w:pStyle w:val="Normal"/>
              <w:jc w:val="center"/>
              <w:rPr/>
            </w:pPr>
            <w:r>
              <w:rPr/>
            </w:r>
          </w:p>
        </w:tc>
        <w:tc>
          <w:tcPr>
            <w:tcW w:w="821" w:type="dxa"/>
            <w:tcBorders/>
            <w:vAlign w:val="center"/>
          </w:tcPr>
          <w:p>
            <w:pPr>
              <w:pStyle w:val="Normal"/>
              <w:jc w:val="center"/>
              <w:rPr/>
            </w:pPr>
            <w:r>
              <w:rPr>
                <w:sz w:val="13"/>
                <w:szCs w:val="13"/>
              </w:rPr>
              <w:t>(0.283)</w:t>
            </w:r>
          </w:p>
        </w:tc>
        <w:tc>
          <w:tcPr>
            <w:tcW w:w="970" w:type="dxa"/>
            <w:tcBorders/>
            <w:vAlign w:val="center"/>
          </w:tcPr>
          <w:p>
            <w:pPr>
              <w:pStyle w:val="Normal"/>
              <w:jc w:val="center"/>
              <w:rPr/>
            </w:pPr>
            <w:r>
              <w:rPr>
                <w:sz w:val="13"/>
                <w:szCs w:val="13"/>
              </w:rPr>
              <w:t>(0.300)</w:t>
            </w:r>
          </w:p>
        </w:tc>
        <w:tc>
          <w:tcPr>
            <w:tcW w:w="969" w:type="dxa"/>
            <w:tcBorders/>
            <w:vAlign w:val="center"/>
          </w:tcPr>
          <w:p>
            <w:pPr>
              <w:pStyle w:val="Normal"/>
              <w:jc w:val="center"/>
              <w:rPr/>
            </w:pPr>
            <w:r>
              <w:rPr>
                <w:sz w:val="13"/>
                <w:szCs w:val="13"/>
              </w:rPr>
              <w:t>(0.352)</w:t>
            </w:r>
          </w:p>
        </w:tc>
        <w:tc>
          <w:tcPr>
            <w:tcW w:w="1139" w:type="dxa"/>
            <w:tcBorders/>
            <w:vAlign w:val="center"/>
          </w:tcPr>
          <w:p>
            <w:pPr>
              <w:pStyle w:val="Normal"/>
              <w:jc w:val="center"/>
              <w:rPr/>
            </w:pPr>
            <w:r>
              <w:rPr>
                <w:sz w:val="13"/>
                <w:szCs w:val="13"/>
              </w:rPr>
              <w:t>(0.321)</w:t>
            </w:r>
          </w:p>
        </w:tc>
        <w:tc>
          <w:tcPr>
            <w:tcW w:w="1092" w:type="dxa"/>
            <w:tcBorders/>
            <w:vAlign w:val="center"/>
          </w:tcPr>
          <w:p>
            <w:pPr>
              <w:pStyle w:val="Normal"/>
              <w:jc w:val="center"/>
              <w:rPr/>
            </w:pPr>
            <w:r>
              <w:rPr>
                <w:sz w:val="13"/>
                <w:szCs w:val="13"/>
              </w:rPr>
              <w:t>(0.275)</w:t>
            </w:r>
          </w:p>
        </w:tc>
        <w:tc>
          <w:tcPr>
            <w:tcW w:w="1292" w:type="dxa"/>
            <w:tcBorders/>
            <w:vAlign w:val="center"/>
          </w:tcPr>
          <w:p>
            <w:pPr>
              <w:pStyle w:val="Normal"/>
              <w:jc w:val="center"/>
              <w:rPr/>
            </w:pPr>
            <w:r>
              <w:rPr>
                <w:sz w:val="13"/>
                <w:szCs w:val="13"/>
              </w:rPr>
              <w:t>(0.284)</w:t>
            </w:r>
          </w:p>
        </w:tc>
        <w:tc>
          <w:tcPr>
            <w:tcW w:w="1032" w:type="dxa"/>
            <w:tcBorders/>
            <w:vAlign w:val="center"/>
          </w:tcPr>
          <w:p>
            <w:pPr>
              <w:pStyle w:val="Normal"/>
              <w:jc w:val="center"/>
              <w:rPr/>
            </w:pPr>
            <w:r>
              <w:rPr>
                <w:sz w:val="13"/>
                <w:szCs w:val="13"/>
              </w:rPr>
              <w:t>(0.385)</w:t>
            </w:r>
          </w:p>
        </w:tc>
        <w:tc>
          <w:tcPr>
            <w:tcW w:w="959" w:type="dxa"/>
            <w:tcBorders/>
            <w:vAlign w:val="center"/>
          </w:tcPr>
          <w:p>
            <w:pPr>
              <w:pStyle w:val="Normal"/>
              <w:jc w:val="center"/>
              <w:rPr/>
            </w:pPr>
            <w:r>
              <w:rPr>
                <w:sz w:val="13"/>
                <w:szCs w:val="13"/>
              </w:rPr>
              <w:t>(0.322)</w:t>
            </w:r>
          </w:p>
        </w:tc>
      </w:tr>
      <w:tr>
        <w:trPr/>
        <w:tc>
          <w:tcPr>
            <w:tcW w:w="1086" w:type="dxa"/>
            <w:tcBorders/>
            <w:vAlign w:val="center"/>
          </w:tcPr>
          <w:p>
            <w:pPr>
              <w:pStyle w:val="Normal"/>
              <w:jc w:val="center"/>
              <w:rPr/>
            </w:pPr>
            <w:r>
              <w:rPr>
                <w:i/>
                <w:iCs/>
                <w:sz w:val="14"/>
                <w:szCs w:val="14"/>
              </w:rPr>
              <w:t>EPA (in force)</w:t>
            </w:r>
          </w:p>
        </w:tc>
        <w:tc>
          <w:tcPr>
            <w:tcW w:w="821" w:type="dxa"/>
            <w:tcBorders/>
            <w:vAlign w:val="center"/>
          </w:tcPr>
          <w:p>
            <w:pPr>
              <w:pStyle w:val="Normal"/>
              <w:jc w:val="center"/>
              <w:rPr/>
            </w:pPr>
            <w:r>
              <w:rPr>
                <w:sz w:val="14"/>
                <w:szCs w:val="14"/>
              </w:rPr>
              <w:t>−</w:t>
            </w:r>
            <w:r>
              <w:rPr>
                <w:sz w:val="14"/>
                <w:szCs w:val="14"/>
              </w:rPr>
              <w:t>0.035</w:t>
            </w:r>
          </w:p>
        </w:tc>
        <w:tc>
          <w:tcPr>
            <w:tcW w:w="970" w:type="dxa"/>
            <w:tcBorders/>
            <w:vAlign w:val="center"/>
          </w:tcPr>
          <w:p>
            <w:pPr>
              <w:pStyle w:val="Normal"/>
              <w:jc w:val="center"/>
              <w:rPr/>
            </w:pPr>
            <w:r>
              <w:rPr>
                <w:sz w:val="14"/>
                <w:szCs w:val="14"/>
              </w:rPr>
              <w:t>−</w:t>
            </w:r>
            <w:r>
              <w:rPr>
                <w:sz w:val="14"/>
                <w:szCs w:val="14"/>
              </w:rPr>
              <w:t>0.036</w:t>
            </w:r>
          </w:p>
        </w:tc>
        <w:tc>
          <w:tcPr>
            <w:tcW w:w="969" w:type="dxa"/>
            <w:tcBorders/>
            <w:vAlign w:val="center"/>
          </w:tcPr>
          <w:p>
            <w:pPr>
              <w:pStyle w:val="Normal"/>
              <w:jc w:val="center"/>
              <w:rPr/>
            </w:pPr>
            <w:r>
              <w:rPr>
                <w:sz w:val="14"/>
                <w:szCs w:val="14"/>
              </w:rPr>
              <w:t>+0.111**</w:t>
            </w:r>
          </w:p>
        </w:tc>
        <w:tc>
          <w:tcPr>
            <w:tcW w:w="1139" w:type="dxa"/>
            <w:tcBorders/>
            <w:vAlign w:val="center"/>
          </w:tcPr>
          <w:p>
            <w:pPr>
              <w:pStyle w:val="Normal"/>
              <w:jc w:val="center"/>
              <w:rPr/>
            </w:pPr>
            <w:r>
              <w:rPr>
                <w:sz w:val="14"/>
                <w:szCs w:val="14"/>
              </w:rPr>
              <w:t>−</w:t>
            </w:r>
            <w:r>
              <w:rPr>
                <w:sz w:val="14"/>
                <w:szCs w:val="14"/>
              </w:rPr>
              <w:t>0.154**</w:t>
            </w:r>
          </w:p>
        </w:tc>
        <w:tc>
          <w:tcPr>
            <w:tcW w:w="1092" w:type="dxa"/>
            <w:tcBorders/>
            <w:vAlign w:val="center"/>
          </w:tcPr>
          <w:p>
            <w:pPr>
              <w:pStyle w:val="Normal"/>
              <w:jc w:val="center"/>
              <w:rPr/>
            </w:pPr>
            <w:r>
              <w:rPr>
                <w:sz w:val="14"/>
                <w:szCs w:val="14"/>
              </w:rPr>
              <w:t>−</w:t>
            </w:r>
            <w:r>
              <w:rPr>
                <w:sz w:val="14"/>
                <w:szCs w:val="14"/>
              </w:rPr>
              <w:t>0.020</w:t>
            </w:r>
          </w:p>
        </w:tc>
        <w:tc>
          <w:tcPr>
            <w:tcW w:w="1292" w:type="dxa"/>
            <w:tcBorders/>
            <w:vAlign w:val="center"/>
          </w:tcPr>
          <w:p>
            <w:pPr>
              <w:pStyle w:val="Normal"/>
              <w:jc w:val="center"/>
              <w:rPr/>
            </w:pPr>
            <w:r>
              <w:rPr>
                <w:sz w:val="14"/>
                <w:szCs w:val="14"/>
              </w:rPr>
              <w:t>−</w:t>
            </w:r>
            <w:r>
              <w:rPr>
                <w:sz w:val="14"/>
                <w:szCs w:val="14"/>
              </w:rPr>
              <w:t>0.035</w:t>
            </w:r>
          </w:p>
        </w:tc>
        <w:tc>
          <w:tcPr>
            <w:tcW w:w="1032" w:type="dxa"/>
            <w:tcBorders/>
            <w:vAlign w:val="center"/>
          </w:tcPr>
          <w:p>
            <w:pPr>
              <w:pStyle w:val="Normal"/>
              <w:jc w:val="center"/>
              <w:rPr/>
            </w:pPr>
            <w:r>
              <w:rPr>
                <w:sz w:val="14"/>
                <w:szCs w:val="14"/>
              </w:rPr>
              <w:t>−</w:t>
            </w:r>
            <w:r>
              <w:rPr>
                <w:sz w:val="14"/>
                <w:szCs w:val="14"/>
              </w:rPr>
              <w:t>0.168***</w:t>
            </w:r>
          </w:p>
        </w:tc>
        <w:tc>
          <w:tcPr>
            <w:tcW w:w="959" w:type="dxa"/>
            <w:tcBorders/>
            <w:vAlign w:val="center"/>
          </w:tcPr>
          <w:p>
            <w:pPr>
              <w:pStyle w:val="Normal"/>
              <w:jc w:val="center"/>
              <w:rPr/>
            </w:pPr>
            <w:r>
              <w:rPr>
                <w:sz w:val="14"/>
                <w:szCs w:val="14"/>
              </w:rPr>
              <w:t>−</w:t>
            </w:r>
            <w:r>
              <w:rPr>
                <w:sz w:val="14"/>
                <w:szCs w:val="14"/>
              </w:rPr>
              <w:t>0.019</w:t>
            </w:r>
          </w:p>
        </w:tc>
      </w:tr>
      <w:tr>
        <w:trPr/>
        <w:tc>
          <w:tcPr>
            <w:tcW w:w="1086" w:type="dxa"/>
            <w:tcBorders/>
            <w:vAlign w:val="center"/>
          </w:tcPr>
          <w:p>
            <w:pPr>
              <w:pStyle w:val="Normal"/>
              <w:jc w:val="center"/>
              <w:rPr/>
            </w:pPr>
            <w:r>
              <w:rPr>
                <w:i/>
                <w:iCs/>
                <w:sz w:val="14"/>
                <w:szCs w:val="14"/>
              </w:rPr>
              <w:t>ln(Distance)</w:t>
            </w:r>
          </w:p>
        </w:tc>
        <w:tc>
          <w:tcPr>
            <w:tcW w:w="821" w:type="dxa"/>
            <w:tcBorders/>
            <w:vAlign w:val="center"/>
          </w:tcPr>
          <w:p>
            <w:pPr>
              <w:pStyle w:val="Normal"/>
              <w:jc w:val="center"/>
              <w:rPr/>
            </w:pPr>
            <w:r>
              <w:rPr>
                <w:sz w:val="14"/>
                <w:szCs w:val="14"/>
              </w:rPr>
              <w:t>−</w:t>
            </w:r>
            <w:r>
              <w:rPr>
                <w:sz w:val="14"/>
                <w:szCs w:val="14"/>
              </w:rPr>
              <w:t>1.625**</w:t>
            </w:r>
          </w:p>
        </w:tc>
        <w:tc>
          <w:tcPr>
            <w:tcW w:w="970" w:type="dxa"/>
            <w:tcBorders/>
            <w:vAlign w:val="center"/>
          </w:tcPr>
          <w:p>
            <w:pPr>
              <w:pStyle w:val="Normal"/>
              <w:jc w:val="center"/>
              <w:rPr/>
            </w:pPr>
            <w:r>
              <w:rPr>
                <w:sz w:val="14"/>
                <w:szCs w:val="14"/>
              </w:rPr>
              <w:t>−</w:t>
            </w:r>
            <w:r>
              <w:rPr>
                <w:sz w:val="14"/>
                <w:szCs w:val="14"/>
              </w:rPr>
              <w:t>1.611**</w:t>
            </w:r>
          </w:p>
        </w:tc>
        <w:tc>
          <w:tcPr>
            <w:tcW w:w="969" w:type="dxa"/>
            <w:tcBorders/>
            <w:vAlign w:val="center"/>
          </w:tcPr>
          <w:p>
            <w:pPr>
              <w:pStyle w:val="Normal"/>
              <w:jc w:val="center"/>
              <w:rPr/>
            </w:pPr>
            <w:r>
              <w:rPr>
                <w:sz w:val="14"/>
                <w:szCs w:val="14"/>
              </w:rPr>
              <w:t>−</w:t>
            </w:r>
            <w:r>
              <w:rPr>
                <w:sz w:val="14"/>
                <w:szCs w:val="14"/>
              </w:rPr>
              <w:t>1.565**</w:t>
            </w:r>
          </w:p>
        </w:tc>
        <w:tc>
          <w:tcPr>
            <w:tcW w:w="1139" w:type="dxa"/>
            <w:tcBorders/>
            <w:vAlign w:val="center"/>
          </w:tcPr>
          <w:p>
            <w:pPr>
              <w:pStyle w:val="Normal"/>
              <w:jc w:val="center"/>
              <w:rPr/>
            </w:pPr>
            <w:r>
              <w:rPr>
                <w:sz w:val="14"/>
                <w:szCs w:val="14"/>
              </w:rPr>
              <w:t>−</w:t>
            </w:r>
            <w:r>
              <w:rPr>
                <w:sz w:val="14"/>
                <w:szCs w:val="14"/>
              </w:rPr>
              <w:t>0.540</w:t>
            </w:r>
          </w:p>
        </w:tc>
        <w:tc>
          <w:tcPr>
            <w:tcW w:w="1092" w:type="dxa"/>
            <w:tcBorders/>
            <w:vAlign w:val="center"/>
          </w:tcPr>
          <w:p>
            <w:pPr>
              <w:pStyle w:val="Normal"/>
              <w:jc w:val="center"/>
              <w:rPr/>
            </w:pPr>
            <w:r>
              <w:rPr>
                <w:sz w:val="14"/>
                <w:szCs w:val="14"/>
              </w:rPr>
              <w:t>−</w:t>
            </w:r>
            <w:r>
              <w:rPr>
                <w:sz w:val="14"/>
                <w:szCs w:val="14"/>
              </w:rPr>
              <w:t>1.349***</w:t>
            </w:r>
          </w:p>
        </w:tc>
        <w:tc>
          <w:tcPr>
            <w:tcW w:w="1292" w:type="dxa"/>
            <w:tcBorders/>
            <w:vAlign w:val="center"/>
          </w:tcPr>
          <w:p>
            <w:pPr>
              <w:pStyle w:val="Normal"/>
              <w:jc w:val="center"/>
              <w:rPr/>
            </w:pPr>
            <w:r>
              <w:rPr>
                <w:sz w:val="14"/>
                <w:szCs w:val="14"/>
              </w:rPr>
              <w:t>−</w:t>
            </w:r>
            <w:r>
              <w:rPr>
                <w:sz w:val="14"/>
                <w:szCs w:val="14"/>
              </w:rPr>
              <w:t>1.615**</w:t>
            </w:r>
          </w:p>
        </w:tc>
        <w:tc>
          <w:tcPr>
            <w:tcW w:w="1032" w:type="dxa"/>
            <w:tcBorders/>
            <w:vAlign w:val="center"/>
          </w:tcPr>
          <w:p>
            <w:pPr>
              <w:pStyle w:val="Normal"/>
              <w:jc w:val="center"/>
              <w:rPr/>
            </w:pPr>
            <w:r>
              <w:rPr>
                <w:sz w:val="14"/>
                <w:szCs w:val="14"/>
              </w:rPr>
              <w:t>−</w:t>
            </w:r>
            <w:r>
              <w:rPr>
                <w:sz w:val="14"/>
                <w:szCs w:val="14"/>
              </w:rPr>
              <w:t>0.555</w:t>
            </w:r>
          </w:p>
        </w:tc>
        <w:tc>
          <w:tcPr>
            <w:tcW w:w="959" w:type="dxa"/>
            <w:tcBorders/>
            <w:vAlign w:val="center"/>
          </w:tcPr>
          <w:p>
            <w:pPr>
              <w:pStyle w:val="Normal"/>
              <w:jc w:val="center"/>
              <w:rPr/>
            </w:pPr>
            <w:r>
              <w:rPr>
                <w:sz w:val="14"/>
                <w:szCs w:val="14"/>
              </w:rPr>
              <w:t>−</w:t>
            </w:r>
            <w:r>
              <w:rPr>
                <w:sz w:val="14"/>
                <w:szCs w:val="14"/>
              </w:rPr>
              <w:t>1.786***</w:t>
            </w:r>
          </w:p>
        </w:tc>
      </w:tr>
      <w:tr>
        <w:trPr/>
        <w:tc>
          <w:tcPr>
            <w:tcW w:w="1086" w:type="dxa"/>
            <w:tcBorders>
              <w:top w:val="single" w:sz="4" w:space="0" w:color="000000"/>
            </w:tcBorders>
            <w:vAlign w:val="center"/>
          </w:tcPr>
          <w:p>
            <w:pPr>
              <w:pStyle w:val="Normal"/>
              <w:jc w:val="center"/>
              <w:rPr/>
            </w:pPr>
            <w:r>
              <w:rPr>
                <w:sz w:val="14"/>
                <w:szCs w:val="14"/>
              </w:rPr>
              <w:t>EU×Year FE</w:t>
            </w:r>
          </w:p>
        </w:tc>
        <w:tc>
          <w:tcPr>
            <w:tcW w:w="821" w:type="dxa"/>
            <w:tcBorders>
              <w:top w:val="single" w:sz="4" w:space="0" w:color="000000"/>
            </w:tcBorders>
            <w:vAlign w:val="center"/>
          </w:tcPr>
          <w:p>
            <w:pPr>
              <w:pStyle w:val="Normal"/>
              <w:jc w:val="center"/>
              <w:rPr/>
            </w:pPr>
            <w:r>
              <w:rPr>
                <w:sz w:val="14"/>
                <w:szCs w:val="14"/>
              </w:rPr>
              <w:t>Yes</w:t>
            </w:r>
          </w:p>
        </w:tc>
        <w:tc>
          <w:tcPr>
            <w:tcW w:w="970" w:type="dxa"/>
            <w:tcBorders>
              <w:top w:val="single" w:sz="4" w:space="0" w:color="000000"/>
            </w:tcBorders>
            <w:vAlign w:val="center"/>
          </w:tcPr>
          <w:p>
            <w:pPr>
              <w:pStyle w:val="Normal"/>
              <w:jc w:val="center"/>
              <w:rPr/>
            </w:pPr>
            <w:r>
              <w:rPr>
                <w:sz w:val="14"/>
                <w:szCs w:val="14"/>
              </w:rPr>
              <w:t>Yes</w:t>
            </w:r>
          </w:p>
        </w:tc>
        <w:tc>
          <w:tcPr>
            <w:tcW w:w="969" w:type="dxa"/>
            <w:tcBorders>
              <w:top w:val="single" w:sz="4" w:space="0" w:color="000000"/>
            </w:tcBorders>
            <w:vAlign w:val="center"/>
          </w:tcPr>
          <w:p>
            <w:pPr>
              <w:pStyle w:val="Normal"/>
              <w:jc w:val="center"/>
              <w:rPr/>
            </w:pPr>
            <w:r>
              <w:rPr>
                <w:sz w:val="14"/>
                <w:szCs w:val="14"/>
              </w:rPr>
              <w:t>Yes</w:t>
            </w:r>
          </w:p>
        </w:tc>
        <w:tc>
          <w:tcPr>
            <w:tcW w:w="1139" w:type="dxa"/>
            <w:tcBorders>
              <w:top w:val="single" w:sz="4" w:space="0" w:color="000000"/>
            </w:tcBorders>
            <w:vAlign w:val="center"/>
          </w:tcPr>
          <w:p>
            <w:pPr>
              <w:pStyle w:val="Normal"/>
              <w:jc w:val="center"/>
              <w:rPr/>
            </w:pPr>
            <w:r>
              <w:rPr>
                <w:sz w:val="14"/>
                <w:szCs w:val="14"/>
              </w:rPr>
              <w:t>Yes</w:t>
            </w:r>
          </w:p>
        </w:tc>
        <w:tc>
          <w:tcPr>
            <w:tcW w:w="1092" w:type="dxa"/>
            <w:tcBorders>
              <w:top w:val="single" w:sz="4" w:space="0" w:color="000000"/>
            </w:tcBorders>
            <w:vAlign w:val="center"/>
          </w:tcPr>
          <w:p>
            <w:pPr>
              <w:pStyle w:val="Normal"/>
              <w:jc w:val="center"/>
              <w:rPr/>
            </w:pPr>
            <w:r>
              <w:rPr>
                <w:sz w:val="14"/>
                <w:szCs w:val="14"/>
              </w:rPr>
              <w:t>Yes</w:t>
            </w:r>
          </w:p>
        </w:tc>
        <w:tc>
          <w:tcPr>
            <w:tcW w:w="1292" w:type="dxa"/>
            <w:tcBorders>
              <w:top w:val="single" w:sz="4" w:space="0" w:color="000000"/>
            </w:tcBorders>
            <w:vAlign w:val="center"/>
          </w:tcPr>
          <w:p>
            <w:pPr>
              <w:pStyle w:val="Normal"/>
              <w:jc w:val="center"/>
              <w:rPr/>
            </w:pPr>
            <w:r>
              <w:rPr>
                <w:sz w:val="14"/>
                <w:szCs w:val="14"/>
              </w:rPr>
              <w:t>Yes</w:t>
            </w:r>
          </w:p>
        </w:tc>
        <w:tc>
          <w:tcPr>
            <w:tcW w:w="1032" w:type="dxa"/>
            <w:tcBorders>
              <w:top w:val="single" w:sz="4" w:space="0" w:color="000000"/>
            </w:tcBorders>
            <w:vAlign w:val="center"/>
          </w:tcPr>
          <w:p>
            <w:pPr>
              <w:pStyle w:val="Normal"/>
              <w:jc w:val="center"/>
              <w:rPr/>
            </w:pPr>
            <w:r>
              <w:rPr>
                <w:sz w:val="14"/>
                <w:szCs w:val="14"/>
              </w:rPr>
              <w:t>Yes</w:t>
            </w:r>
          </w:p>
        </w:tc>
        <w:tc>
          <w:tcPr>
            <w:tcW w:w="959" w:type="dxa"/>
            <w:tcBorders>
              <w:top w:val="single" w:sz="4" w:space="0" w:color="000000"/>
            </w:tcBorders>
            <w:vAlign w:val="center"/>
          </w:tcPr>
          <w:p>
            <w:pPr>
              <w:pStyle w:val="Normal"/>
              <w:jc w:val="center"/>
              <w:rPr/>
            </w:pPr>
            <w:r>
              <w:rPr>
                <w:sz w:val="14"/>
                <w:szCs w:val="14"/>
              </w:rPr>
              <w:t>Yes</w:t>
            </w:r>
          </w:p>
        </w:tc>
      </w:tr>
      <w:tr>
        <w:trPr/>
        <w:tc>
          <w:tcPr>
            <w:tcW w:w="1086" w:type="dxa"/>
            <w:tcBorders/>
            <w:vAlign w:val="center"/>
          </w:tcPr>
          <w:p>
            <w:pPr>
              <w:pStyle w:val="Normal"/>
              <w:jc w:val="center"/>
              <w:rPr/>
            </w:pPr>
            <w:r>
              <w:rPr>
                <w:sz w:val="14"/>
                <w:szCs w:val="14"/>
              </w:rPr>
              <w:t>ACP Country FE</w:t>
            </w:r>
          </w:p>
        </w:tc>
        <w:tc>
          <w:tcPr>
            <w:tcW w:w="821" w:type="dxa"/>
            <w:tcBorders/>
            <w:vAlign w:val="center"/>
          </w:tcPr>
          <w:p>
            <w:pPr>
              <w:pStyle w:val="Normal"/>
              <w:jc w:val="center"/>
              <w:rPr/>
            </w:pPr>
            <w:r>
              <w:rPr>
                <w:sz w:val="14"/>
                <w:szCs w:val="14"/>
              </w:rPr>
              <w:t>Yes</w:t>
            </w:r>
          </w:p>
        </w:tc>
        <w:tc>
          <w:tcPr>
            <w:tcW w:w="970" w:type="dxa"/>
            <w:tcBorders/>
            <w:vAlign w:val="center"/>
          </w:tcPr>
          <w:p>
            <w:pPr>
              <w:pStyle w:val="Normal"/>
              <w:jc w:val="center"/>
              <w:rPr/>
            </w:pPr>
            <w:r>
              <w:rPr>
                <w:sz w:val="14"/>
                <w:szCs w:val="14"/>
              </w:rPr>
              <w:t>Yes</w:t>
            </w:r>
          </w:p>
        </w:tc>
        <w:tc>
          <w:tcPr>
            <w:tcW w:w="969" w:type="dxa"/>
            <w:tcBorders/>
            <w:vAlign w:val="center"/>
          </w:tcPr>
          <w:p>
            <w:pPr>
              <w:pStyle w:val="Normal"/>
              <w:jc w:val="center"/>
              <w:rPr/>
            </w:pPr>
            <w:r>
              <w:rPr>
                <w:sz w:val="14"/>
                <w:szCs w:val="14"/>
              </w:rPr>
              <w:t>Yes</w:t>
            </w:r>
          </w:p>
        </w:tc>
        <w:tc>
          <w:tcPr>
            <w:tcW w:w="1139" w:type="dxa"/>
            <w:tcBorders/>
            <w:vAlign w:val="center"/>
          </w:tcPr>
          <w:p>
            <w:pPr>
              <w:pStyle w:val="Normal"/>
              <w:jc w:val="center"/>
              <w:rPr/>
            </w:pPr>
            <w:r>
              <w:rPr>
                <w:sz w:val="14"/>
                <w:szCs w:val="14"/>
              </w:rPr>
              <w:t>Yes</w:t>
            </w:r>
          </w:p>
        </w:tc>
        <w:tc>
          <w:tcPr>
            <w:tcW w:w="1092" w:type="dxa"/>
            <w:tcBorders/>
            <w:vAlign w:val="center"/>
          </w:tcPr>
          <w:p>
            <w:pPr>
              <w:pStyle w:val="Normal"/>
              <w:jc w:val="center"/>
              <w:rPr/>
            </w:pPr>
            <w:r>
              <w:rPr>
                <w:sz w:val="14"/>
                <w:szCs w:val="14"/>
              </w:rPr>
              <w:t>Yes</w:t>
            </w:r>
          </w:p>
        </w:tc>
        <w:tc>
          <w:tcPr>
            <w:tcW w:w="1292" w:type="dxa"/>
            <w:tcBorders/>
            <w:vAlign w:val="center"/>
          </w:tcPr>
          <w:p>
            <w:pPr>
              <w:pStyle w:val="Normal"/>
              <w:jc w:val="center"/>
              <w:rPr/>
            </w:pPr>
            <w:r>
              <w:rPr>
                <w:sz w:val="14"/>
                <w:szCs w:val="14"/>
              </w:rPr>
              <w:t>Yes</w:t>
            </w:r>
          </w:p>
        </w:tc>
        <w:tc>
          <w:tcPr>
            <w:tcW w:w="1032" w:type="dxa"/>
            <w:tcBorders/>
            <w:vAlign w:val="center"/>
          </w:tcPr>
          <w:p>
            <w:pPr>
              <w:pStyle w:val="Normal"/>
              <w:jc w:val="center"/>
              <w:rPr/>
            </w:pPr>
            <w:r>
              <w:rPr>
                <w:sz w:val="14"/>
                <w:szCs w:val="14"/>
              </w:rPr>
              <w:t>Yes</w:t>
            </w:r>
          </w:p>
        </w:tc>
        <w:tc>
          <w:tcPr>
            <w:tcW w:w="959" w:type="dxa"/>
            <w:tcBorders/>
            <w:vAlign w:val="center"/>
          </w:tcPr>
          <w:p>
            <w:pPr>
              <w:pStyle w:val="Normal"/>
              <w:jc w:val="center"/>
              <w:rPr/>
            </w:pPr>
            <w:r>
              <w:rPr>
                <w:sz w:val="14"/>
                <w:szCs w:val="14"/>
              </w:rPr>
              <w:t>Yes</w:t>
            </w:r>
          </w:p>
        </w:tc>
      </w:tr>
      <w:tr>
        <w:trPr/>
        <w:tc>
          <w:tcPr>
            <w:tcW w:w="1086" w:type="dxa"/>
            <w:tcBorders/>
            <w:vAlign w:val="center"/>
          </w:tcPr>
          <w:p>
            <w:pPr>
              <w:pStyle w:val="Normal"/>
              <w:jc w:val="center"/>
              <w:rPr/>
            </w:pPr>
            <w:r>
              <w:rPr>
                <w:sz w:val="14"/>
                <w:szCs w:val="14"/>
              </w:rPr>
              <w:t>Year FE</w:t>
            </w:r>
          </w:p>
        </w:tc>
        <w:tc>
          <w:tcPr>
            <w:tcW w:w="821" w:type="dxa"/>
            <w:tcBorders/>
            <w:vAlign w:val="center"/>
          </w:tcPr>
          <w:p>
            <w:pPr>
              <w:pStyle w:val="Normal"/>
              <w:jc w:val="center"/>
              <w:rPr/>
            </w:pPr>
            <w:r>
              <w:rPr>
                <w:sz w:val="14"/>
                <w:szCs w:val="14"/>
              </w:rPr>
              <w:t>Yes</w:t>
            </w:r>
          </w:p>
        </w:tc>
        <w:tc>
          <w:tcPr>
            <w:tcW w:w="970" w:type="dxa"/>
            <w:tcBorders/>
            <w:vAlign w:val="center"/>
          </w:tcPr>
          <w:p>
            <w:pPr>
              <w:pStyle w:val="Normal"/>
              <w:jc w:val="center"/>
              <w:rPr/>
            </w:pPr>
            <w:r>
              <w:rPr>
                <w:sz w:val="14"/>
                <w:szCs w:val="14"/>
              </w:rPr>
              <w:t>Yes</w:t>
            </w:r>
          </w:p>
        </w:tc>
        <w:tc>
          <w:tcPr>
            <w:tcW w:w="969" w:type="dxa"/>
            <w:tcBorders/>
            <w:vAlign w:val="center"/>
          </w:tcPr>
          <w:p>
            <w:pPr>
              <w:pStyle w:val="Normal"/>
              <w:jc w:val="center"/>
              <w:rPr/>
            </w:pPr>
            <w:r>
              <w:rPr>
                <w:sz w:val="14"/>
                <w:szCs w:val="14"/>
              </w:rPr>
              <w:t>Yes</w:t>
            </w:r>
          </w:p>
        </w:tc>
        <w:tc>
          <w:tcPr>
            <w:tcW w:w="1139" w:type="dxa"/>
            <w:tcBorders/>
            <w:vAlign w:val="center"/>
          </w:tcPr>
          <w:p>
            <w:pPr>
              <w:pStyle w:val="Normal"/>
              <w:jc w:val="center"/>
              <w:rPr/>
            </w:pPr>
            <w:r>
              <w:rPr>
                <w:sz w:val="14"/>
                <w:szCs w:val="14"/>
              </w:rPr>
              <w:t>Yes</w:t>
            </w:r>
          </w:p>
        </w:tc>
        <w:tc>
          <w:tcPr>
            <w:tcW w:w="1092" w:type="dxa"/>
            <w:tcBorders/>
            <w:vAlign w:val="center"/>
          </w:tcPr>
          <w:p>
            <w:pPr>
              <w:pStyle w:val="Normal"/>
              <w:jc w:val="center"/>
              <w:rPr/>
            </w:pPr>
            <w:r>
              <w:rPr>
                <w:sz w:val="14"/>
                <w:szCs w:val="14"/>
              </w:rPr>
              <w:t>Yes</w:t>
            </w:r>
          </w:p>
        </w:tc>
        <w:tc>
          <w:tcPr>
            <w:tcW w:w="1292" w:type="dxa"/>
            <w:tcBorders/>
            <w:vAlign w:val="center"/>
          </w:tcPr>
          <w:p>
            <w:pPr>
              <w:pStyle w:val="Normal"/>
              <w:jc w:val="center"/>
              <w:rPr/>
            </w:pPr>
            <w:r>
              <w:rPr>
                <w:sz w:val="14"/>
                <w:szCs w:val="14"/>
              </w:rPr>
              <w:t>Yes</w:t>
            </w:r>
          </w:p>
        </w:tc>
        <w:tc>
          <w:tcPr>
            <w:tcW w:w="1032" w:type="dxa"/>
            <w:tcBorders/>
            <w:vAlign w:val="center"/>
          </w:tcPr>
          <w:p>
            <w:pPr>
              <w:pStyle w:val="Normal"/>
              <w:jc w:val="center"/>
              <w:rPr/>
            </w:pPr>
            <w:r>
              <w:rPr>
                <w:sz w:val="14"/>
                <w:szCs w:val="14"/>
              </w:rPr>
              <w:t>Yes</w:t>
            </w:r>
          </w:p>
        </w:tc>
        <w:tc>
          <w:tcPr>
            <w:tcW w:w="959" w:type="dxa"/>
            <w:tcBorders/>
            <w:vAlign w:val="center"/>
          </w:tcPr>
          <w:p>
            <w:pPr>
              <w:pStyle w:val="Normal"/>
              <w:jc w:val="center"/>
              <w:rPr/>
            </w:pPr>
            <w:r>
              <w:rPr>
                <w:sz w:val="14"/>
                <w:szCs w:val="14"/>
              </w:rPr>
              <w:t>Yes</w:t>
            </w:r>
          </w:p>
        </w:tc>
      </w:tr>
      <w:tr>
        <w:trPr/>
        <w:tc>
          <w:tcPr>
            <w:tcW w:w="1086" w:type="dxa"/>
            <w:tcBorders>
              <w:bottom w:val="single" w:sz="8" w:space="0" w:color="000000"/>
            </w:tcBorders>
            <w:vAlign w:val="center"/>
          </w:tcPr>
          <w:p>
            <w:pPr>
              <w:pStyle w:val="Normal"/>
              <w:jc w:val="center"/>
              <w:rPr/>
            </w:pPr>
            <w:r>
              <w:rPr>
                <w:sz w:val="14"/>
                <w:szCs w:val="14"/>
              </w:rPr>
              <w:t>Observations</w:t>
            </w:r>
          </w:p>
        </w:tc>
        <w:tc>
          <w:tcPr>
            <w:tcW w:w="821" w:type="dxa"/>
            <w:tcBorders>
              <w:bottom w:val="single" w:sz="8" w:space="0" w:color="000000"/>
            </w:tcBorders>
            <w:vAlign w:val="center"/>
          </w:tcPr>
          <w:p>
            <w:pPr>
              <w:pStyle w:val="Normal"/>
              <w:jc w:val="center"/>
              <w:rPr/>
            </w:pPr>
            <w:r>
              <w:rPr>
                <w:sz w:val="14"/>
                <w:szCs w:val="14"/>
              </w:rPr>
              <w:t>47,633</w:t>
            </w:r>
          </w:p>
        </w:tc>
        <w:tc>
          <w:tcPr>
            <w:tcW w:w="970" w:type="dxa"/>
            <w:tcBorders>
              <w:bottom w:val="single" w:sz="8" w:space="0" w:color="000000"/>
            </w:tcBorders>
            <w:vAlign w:val="center"/>
          </w:tcPr>
          <w:p>
            <w:pPr>
              <w:pStyle w:val="Normal"/>
              <w:jc w:val="center"/>
              <w:rPr/>
            </w:pPr>
            <w:r>
              <w:rPr>
                <w:sz w:val="14"/>
                <w:szCs w:val="14"/>
              </w:rPr>
              <w:t>44,399</w:t>
            </w:r>
          </w:p>
        </w:tc>
        <w:tc>
          <w:tcPr>
            <w:tcW w:w="969" w:type="dxa"/>
            <w:tcBorders>
              <w:bottom w:val="single" w:sz="8" w:space="0" w:color="000000"/>
            </w:tcBorders>
            <w:vAlign w:val="center"/>
          </w:tcPr>
          <w:p>
            <w:pPr>
              <w:pStyle w:val="Normal"/>
              <w:jc w:val="center"/>
              <w:rPr/>
            </w:pPr>
            <w:r>
              <w:rPr>
                <w:sz w:val="14"/>
                <w:szCs w:val="14"/>
              </w:rPr>
              <w:t>31,801</w:t>
            </w:r>
          </w:p>
        </w:tc>
        <w:tc>
          <w:tcPr>
            <w:tcW w:w="1139" w:type="dxa"/>
            <w:tcBorders>
              <w:bottom w:val="single" w:sz="8" w:space="0" w:color="000000"/>
            </w:tcBorders>
            <w:vAlign w:val="center"/>
          </w:tcPr>
          <w:p>
            <w:pPr>
              <w:pStyle w:val="Normal"/>
              <w:jc w:val="center"/>
              <w:rPr/>
            </w:pPr>
            <w:r>
              <w:rPr>
                <w:sz w:val="14"/>
                <w:szCs w:val="14"/>
              </w:rPr>
              <w:t>47,014</w:t>
            </w:r>
          </w:p>
        </w:tc>
        <w:tc>
          <w:tcPr>
            <w:tcW w:w="1092" w:type="dxa"/>
            <w:tcBorders>
              <w:bottom w:val="single" w:sz="8" w:space="0" w:color="000000"/>
            </w:tcBorders>
            <w:vAlign w:val="center"/>
          </w:tcPr>
          <w:p>
            <w:pPr>
              <w:pStyle w:val="Normal"/>
              <w:jc w:val="center"/>
              <w:rPr/>
            </w:pPr>
            <w:r>
              <w:rPr>
                <w:sz w:val="14"/>
                <w:szCs w:val="14"/>
              </w:rPr>
              <w:t>47,014</w:t>
            </w:r>
          </w:p>
        </w:tc>
        <w:tc>
          <w:tcPr>
            <w:tcW w:w="1292" w:type="dxa"/>
            <w:tcBorders>
              <w:bottom w:val="single" w:sz="8" w:space="0" w:color="000000"/>
            </w:tcBorders>
            <w:vAlign w:val="center"/>
          </w:tcPr>
          <w:p>
            <w:pPr>
              <w:pStyle w:val="Normal"/>
              <w:jc w:val="center"/>
              <w:rPr/>
            </w:pPr>
            <w:r>
              <w:rPr>
                <w:sz w:val="14"/>
                <w:szCs w:val="14"/>
              </w:rPr>
              <w:t>46,395</w:t>
            </w:r>
          </w:p>
        </w:tc>
        <w:tc>
          <w:tcPr>
            <w:tcW w:w="1032" w:type="dxa"/>
            <w:tcBorders>
              <w:bottom w:val="single" w:sz="8" w:space="0" w:color="000000"/>
            </w:tcBorders>
            <w:vAlign w:val="center"/>
          </w:tcPr>
          <w:p>
            <w:pPr>
              <w:pStyle w:val="Normal"/>
              <w:jc w:val="center"/>
              <w:rPr/>
            </w:pPr>
            <w:r>
              <w:rPr>
                <w:sz w:val="14"/>
                <w:szCs w:val="14"/>
              </w:rPr>
              <w:t>44,538</w:t>
            </w:r>
          </w:p>
        </w:tc>
        <w:tc>
          <w:tcPr>
            <w:tcW w:w="959" w:type="dxa"/>
            <w:tcBorders>
              <w:bottom w:val="single" w:sz="8" w:space="0" w:color="000000"/>
            </w:tcBorders>
            <w:vAlign w:val="center"/>
          </w:tcPr>
          <w:p>
            <w:pPr>
              <w:pStyle w:val="Normal"/>
              <w:jc w:val="center"/>
              <w:rPr/>
            </w:pPr>
            <w:r>
              <w:rPr>
                <w:sz w:val="14"/>
                <w:szCs w:val="14"/>
              </w:rPr>
              <w:t>45,633</w:t>
            </w:r>
          </w:p>
        </w:tc>
      </w:tr>
    </w:tbl>
    <w:p>
      <w:pPr>
        <w:pStyle w:val="Normal"/>
        <w:spacing w:before="40" w:after="40"/>
        <w:rPr/>
      </w:pPr>
      <w:r>
        <w:rPr>
          <w:sz w:val="18"/>
          <w:szCs w:val="18"/>
        </w:rPr>
        <w:t>Notes: Pair-level clustered standard errors in parentheses. *** p &lt; 0.01, ** p &lt; 0.05, * p &lt; 0.10. Each column re-estimates the baseline PPML specification on the indicated sample restriction; column (1) repeats the baseline. Column (2) drops the three pre-Cotonou years (1995–1997). Column (3) restricts to 2007–2021, the EPA application era. Column (7) excludes SACU members whose IT shares required imputation. Column (8) excludes the United Kingdom, included through 2020 in the main sample. All gravity controls and fixed effects are identical across columns; coefficients suppressed for space, but full estimates available on request.</w:t>
      </w:r>
    </w:p>
    <w:p>
      <w:pPr>
        <w:pStyle w:val="Normal"/>
        <w:spacing w:before="480" w:after="160"/>
        <w:rPr>
          <w:sz w:val="28"/>
          <w:szCs w:val="28"/>
        </w:rPr>
      </w:pPr>
      <w:r>
        <w:rPr>
          <w:b/>
          <w:bCs/>
          <w:sz w:val="28"/>
          <w:szCs w:val="28"/>
        </w:rPr>
        <w:t>6. Conclusion</w:t>
      </w:r>
    </w:p>
    <w:p>
      <w:pPr>
        <w:pStyle w:val="Normal"/>
        <w:ind w:firstLine="720"/>
        <w:rPr>
          <w:sz w:val="24"/>
          <w:szCs w:val="24"/>
        </w:rPr>
      </w:pPr>
      <w:r>
        <w:rPr>
          <w:sz w:val="24"/>
          <w:szCs w:val="24"/>
        </w:rPr>
        <w:t>This paper establishes that intra-regional integration among ACP countries acts as a stumbling block for EU exports to ACP markets — the flow direction where the effect is concentrated and precisely estimated. As ACP blocs deepen integration, EU exports fall significantly (β = −0.699, p &lt; 0.01), while ACP exports to Europe are unaffected (β = −0.005). The mechanism is import substitution: as regional sourcing deepens, ACP domestic markets substitute bloc partners for EU suppliers, while commodity exports to Europe — governed by EU demand and global prices — follow a different logic. The pooled bilateral coefficient (β = −0.341) is consistent with this picture but imprecise, an artifact of pooling two channels with opposite precision; the directional decomposition is the paper's central finding.</w:t>
      </w:r>
    </w:p>
    <w:p>
      <w:pPr>
        <w:pStyle w:val="Normal"/>
        <w:ind w:firstLine="720"/>
        <w:rPr>
          <w:sz w:val="24"/>
          <w:szCs w:val="24"/>
        </w:rPr>
      </w:pPr>
      <w:r>
        <w:rPr>
          <w:sz w:val="24"/>
          <w:szCs w:val="24"/>
        </w:rPr>
        <w:t>The stumbling-block pattern holds across every REC in the sample. All seven subsamples yield negative IT share coefficients, and five of the six interpretable estimates reach conventional significance.</w:t>
      </w:r>
      <w:r>
        <w:rPr/>
        <w:t xml:space="preserve"> </w:t>
      </w:r>
      <w:r>
        <w:rPr>
          <w:sz w:val="24"/>
          <w:szCs w:val="24"/>
        </w:rPr>
        <w:t>The negative sign survives across estimators, time periods, and subsets of ACP countries spanning three continents. No single bloc, estimator, time window, or sample restriction reverses the sign.</w:t>
      </w:r>
    </w:p>
    <w:p>
      <w:pPr>
        <w:pStyle w:val="Normal"/>
        <w:ind w:firstLine="720"/>
        <w:rPr>
          <w:sz w:val="24"/>
          <w:szCs w:val="24"/>
        </w:rPr>
      </w:pPr>
      <w:r>
        <w:rPr>
          <w:sz w:val="24"/>
          <w:szCs w:val="24"/>
        </w:rPr>
        <w:t>EPA coverage does not alter this relationship in any detectable way. The conditional net EPA effect at the sample mean IT share is −0.017 (s.e. 0.050), indistinguishable from zero. This is consistent with Stender et al. (2021) and suggests that EPA implementation, as currently structured, does not systematically offset the import substitution pressure arising from ACP regional integration. In the directional model, an in-force EPA is itself associated with a roughly 10.6% reduction in EU exports to ACP markets (β = −0.112, p &lt; 0.05), independent of integration depth. The interaction model finds no evidence that EPA status moderates the stumbling-block relationship in either direction; the two forces simply run in parallel. This complicates any policy narrative in which EPAs straightforwardly compensate for the pressures that regional deepening creates.</w:t>
      </w:r>
    </w:p>
    <w:p>
      <w:pPr>
        <w:pStyle w:val="Normal"/>
        <w:ind w:firstLine="720"/>
        <w:rPr>
          <w:sz w:val="24"/>
          <w:szCs w:val="24"/>
        </w:rPr>
      </w:pPr>
      <w:r>
        <w:rPr>
          <w:sz w:val="24"/>
          <w:szCs w:val="24"/>
        </w:rPr>
        <w:t>Two caveats constrain how far the results can be pushed. The primary concern is mechanical: because the IT share denominator includes EU bilateral flows, a contraction in EU trade could raise the IT share without any genuine deepening of regional integration. The EU-excluded IT share, reconstructed from non-EU trade partners only, returns a negative coefficient (−0.084, s.e. 0.414), confirming that the sign does not originate mechanically. The attenuation of that estimate, however, shows that genuine integration signal and mechanical correlation are conflated in the standard measure. Instrumental variables estimation, using tariff liberalization episodes or corridor infrastructure investments as instruments for integration depth, remains the most direct path to a sharper causal reading. A related concern is that country-specific growth in sourcing from third parties, China in particular, may correlate with regional integration depth in ways the current design cannot fully separate. Incorporating bilateral ACP–China trade flows as an additional outcome would help distinguish the regional import substitution channel from the broader shift in ACP sourcing toward Chinese suppliers that occurred across this period.</w:t>
      </w:r>
    </w:p>
    <w:p>
      <w:pPr>
        <w:pStyle w:val="Normal"/>
        <w:ind w:firstLine="720"/>
        <w:rPr>
          <w:sz w:val="24"/>
          <w:szCs w:val="24"/>
        </w:rPr>
      </w:pPr>
      <w:r>
        <w:rPr>
          <w:sz w:val="24"/>
          <w:szCs w:val="24"/>
        </w:rPr>
        <w:t>The second caveat concerns timing. The analysis closes in 2021, before the African Continental Free Trade Area has materially altered intra-African trade flows. The AfCFTA represents a qualitative shift in the scale of African regionalism, and its preferential tariff schedule is likely to raise IT shares substantially for ECOWAS and ESA members in particular. Whether that deeper integration amplifies the import substitution channel documented here or redirects it in ways the current EU–ACP framework has not had to accommodate, is the natural next question for the literature. It is also a pressing policy question. Overlapping commitments across AfCFTA, EPA, and individual REC frameworks risk exactly the fragmented trade governance Bhagwati (1993) warned against. The parallel negative associations documented here make that risk harder to dismiss.</w:t>
      </w:r>
      <w:r>
        <w:br w:type="page"/>
      </w:r>
    </w:p>
    <w:p>
      <w:pPr>
        <w:pStyle w:val="Normal"/>
        <w:spacing w:before="0" w:after="160"/>
        <w:rPr>
          <w:sz w:val="24"/>
          <w:szCs w:val="24"/>
        </w:rPr>
      </w:pPr>
      <w:r>
        <w:rPr>
          <w:b/>
          <w:bCs/>
          <w:sz w:val="24"/>
          <w:szCs w:val="24"/>
        </w:rPr>
        <w:t>References</w:t>
      </w:r>
    </w:p>
    <w:p>
      <w:pPr>
        <w:pStyle w:val="Normal"/>
        <w:spacing w:before="0" w:after="100"/>
        <w:ind w:hanging="720" w:start="720"/>
        <w:rPr>
          <w:sz w:val="24"/>
          <w:szCs w:val="24"/>
        </w:rPr>
      </w:pPr>
      <w:r>
        <w:rPr>
          <w:sz w:val="24"/>
          <w:szCs w:val="24"/>
        </w:rPr>
        <w:t>Anderson, J.E. and van Wincoop, E. (2003). Gravity with gravitas: A solution to the border puzzle. American Economic Review, 93(1), 170–192.</w:t>
      </w:r>
    </w:p>
    <w:p>
      <w:pPr>
        <w:pStyle w:val="Normal"/>
        <w:spacing w:before="0" w:after="100"/>
        <w:ind w:hanging="720" w:start="720"/>
        <w:rPr>
          <w:sz w:val="24"/>
          <w:szCs w:val="24"/>
        </w:rPr>
      </w:pPr>
      <w:r>
        <w:rPr>
          <w:sz w:val="24"/>
          <w:szCs w:val="24"/>
        </w:rPr>
        <w:t>Baier, S.L. and Bergstrand, J.H. (2007). Do free trade agreements actually increase members’ international trade? Journal of International Economics, 71(1), 72–95.</w:t>
      </w:r>
    </w:p>
    <w:p>
      <w:pPr>
        <w:pStyle w:val="Normal"/>
        <w:spacing w:before="0" w:after="100"/>
        <w:ind w:hanging="720" w:start="720"/>
        <w:rPr>
          <w:sz w:val="24"/>
          <w:szCs w:val="24"/>
        </w:rPr>
      </w:pPr>
      <w:r>
        <w:rPr>
          <w:sz w:val="24"/>
          <w:szCs w:val="24"/>
        </w:rPr>
        <w:t>Baier, S.L., Bergstrand, J.H., and Feng, M. (2014). Economic integration agreements and the margins of international trade. Journal of International Economics, 93(2), 339–350.</w:t>
      </w:r>
    </w:p>
    <w:p>
      <w:pPr>
        <w:pStyle w:val="Normal"/>
        <w:spacing w:before="0" w:after="100"/>
        <w:ind w:hanging="720" w:start="720"/>
        <w:rPr>
          <w:sz w:val="24"/>
          <w:szCs w:val="24"/>
        </w:rPr>
      </w:pPr>
      <w:r>
        <w:rPr>
          <w:sz w:val="24"/>
          <w:szCs w:val="24"/>
        </w:rPr>
        <w:t>Baier, S.L., Yotov, Y.V., and Zylkin, T. (2019). On the widely differing effects of free trade agreements: Lessons from twenty years of trade integration. Journal of International Economics, 116, 206–226.</w:t>
      </w:r>
    </w:p>
    <w:p>
      <w:pPr>
        <w:pStyle w:val="Normal"/>
        <w:spacing w:before="0" w:after="100"/>
        <w:ind w:hanging="720" w:start="720"/>
        <w:rPr>
          <w:sz w:val="24"/>
          <w:szCs w:val="24"/>
        </w:rPr>
      </w:pPr>
      <w:r>
        <w:rPr>
          <w:sz w:val="24"/>
          <w:szCs w:val="24"/>
        </w:rPr>
        <w:t>Bergé, L. (2018). Efficient estimation of maximum likelihood models with multiple fixed-effects: the R package FENmlm. CREA Discussion Papers, 13. University of Luxembourg.</w:t>
      </w:r>
    </w:p>
    <w:p>
      <w:pPr>
        <w:pStyle w:val="Normal"/>
        <w:spacing w:before="0" w:after="100"/>
        <w:ind w:hanging="720" w:start="720"/>
        <w:rPr>
          <w:sz w:val="24"/>
          <w:szCs w:val="24"/>
        </w:rPr>
      </w:pPr>
      <w:r>
        <w:rPr>
          <w:sz w:val="24"/>
          <w:szCs w:val="24"/>
        </w:rPr>
        <w:t>Bhagwati, J. (1993). Regionalism and multilateralism: An overview. In J. de Melo and A. Panagariya (Eds.), New Dimensions in Regional Integration. Cambridge University Press.</w:t>
      </w:r>
    </w:p>
    <w:p>
      <w:pPr>
        <w:pStyle w:val="Normal"/>
        <w:spacing w:before="0" w:after="100"/>
        <w:ind w:hanging="720" w:start="720"/>
        <w:rPr>
          <w:sz w:val="24"/>
          <w:szCs w:val="24"/>
        </w:rPr>
      </w:pPr>
      <w:r>
        <w:rPr>
          <w:sz w:val="24"/>
          <w:szCs w:val="24"/>
        </w:rPr>
        <w:t>Carrère, C. (2004). African regional agreements: Impact on trade with or without currency unions. Journal of African Economies, 13(2), 199–239.</w:t>
      </w:r>
    </w:p>
    <w:p>
      <w:pPr>
        <w:pStyle w:val="Normal"/>
        <w:spacing w:before="0" w:after="100"/>
        <w:ind w:hanging="720" w:start="720"/>
        <w:rPr>
          <w:sz w:val="24"/>
          <w:szCs w:val="24"/>
        </w:rPr>
      </w:pPr>
      <w:r>
        <w:rPr>
          <w:sz w:val="24"/>
          <w:szCs w:val="24"/>
        </w:rPr>
        <w:t xml:space="preserve">Conte, M., Cotterlaz, P., and Mayer, T. (2022). The CEPII Gravity database. </w:t>
      </w:r>
      <w:r>
        <w:rPr>
          <w:sz w:val="24"/>
          <w:szCs w:val="24"/>
          <w:lang w:val="fr-FR"/>
        </w:rPr>
        <w:t xml:space="preserve">CEPII Working Paper No. 2022-05. Centre d'Études Prospectives et d'Informations Internationales, Paris. </w:t>
      </w:r>
      <w:r>
        <w:rPr>
          <w:sz w:val="24"/>
          <w:szCs w:val="24"/>
        </w:rPr>
        <w:t>[Data version: V202211.]</w:t>
      </w:r>
    </w:p>
    <w:p>
      <w:pPr>
        <w:pStyle w:val="Normal"/>
        <w:spacing w:before="0" w:after="100"/>
        <w:ind w:hanging="720" w:start="720"/>
        <w:rPr>
          <w:sz w:val="24"/>
          <w:szCs w:val="24"/>
        </w:rPr>
      </w:pPr>
      <w:r>
        <w:rPr>
          <w:sz w:val="24"/>
          <w:szCs w:val="24"/>
        </w:rPr>
        <w:t>European Union (various years). Official Journal of the European Union: Economic Partnership Agreement provisional application notices. Publications Office of the European Union, Luxembourg. Available at: https://eur-lex.europa.eu</w:t>
      </w:r>
    </w:p>
    <w:p>
      <w:pPr>
        <w:pStyle w:val="Normal"/>
        <w:spacing w:before="0" w:after="100"/>
        <w:ind w:hanging="720" w:start="720"/>
        <w:rPr>
          <w:sz w:val="24"/>
          <w:szCs w:val="24"/>
        </w:rPr>
      </w:pPr>
      <w:r>
        <w:rPr>
          <w:sz w:val="24"/>
          <w:szCs w:val="24"/>
        </w:rPr>
        <w:t>Frankel, J., Stein, E., and Wei, S.J. (1995). Trading blocs and the Americas: The natural, the unnatural, and the super-natural. Journal of Development Economics, 47(1), 61–95.</w:t>
      </w:r>
    </w:p>
    <w:p>
      <w:pPr>
        <w:pStyle w:val="Normal"/>
        <w:spacing w:before="0" w:after="100"/>
        <w:ind w:hanging="720" w:start="720"/>
        <w:rPr>
          <w:sz w:val="24"/>
          <w:szCs w:val="24"/>
        </w:rPr>
      </w:pPr>
      <w:r>
        <w:rPr>
          <w:sz w:val="24"/>
          <w:szCs w:val="24"/>
        </w:rPr>
        <w:t>Freund, C., and Ornelas, E. (2010). Regional trade agreements. Annual Review of Economics, 2, 139–166.</w:t>
      </w:r>
    </w:p>
    <w:p>
      <w:pPr>
        <w:pStyle w:val="Normal"/>
        <w:spacing w:before="0" w:after="100"/>
        <w:ind w:hanging="720" w:start="720"/>
        <w:rPr>
          <w:sz w:val="24"/>
          <w:szCs w:val="24"/>
        </w:rPr>
      </w:pPr>
      <w:r>
        <w:rPr>
          <w:sz w:val="24"/>
          <w:szCs w:val="24"/>
        </w:rPr>
        <w:t xml:space="preserve">Gaulier, G. and Zignago, S. (2010). BACI: International trade database at the product level. </w:t>
      </w:r>
      <w:r>
        <w:rPr>
          <w:sz w:val="24"/>
          <w:szCs w:val="24"/>
          <w:lang w:val="fr-FR"/>
        </w:rPr>
        <w:t xml:space="preserve">CEPII Working Paper No. 2010-23. Centre d'Études Prospectives et d'Informations Internationales, Paris. </w:t>
      </w:r>
      <w:r>
        <w:rPr>
          <w:sz w:val="24"/>
          <w:szCs w:val="24"/>
        </w:rPr>
        <w:t>[Data version: HS92 V202601.]</w:t>
      </w:r>
    </w:p>
    <w:p>
      <w:pPr>
        <w:pStyle w:val="Normal"/>
        <w:spacing w:before="0" w:after="100"/>
        <w:ind w:hanging="720" w:start="720"/>
        <w:rPr>
          <w:sz w:val="24"/>
          <w:szCs w:val="24"/>
        </w:rPr>
      </w:pPr>
      <w:r>
        <w:rPr>
          <w:sz w:val="24"/>
          <w:szCs w:val="24"/>
        </w:rPr>
        <w:t>Head, K. and Mayer, T. (2014). Gravity equations: Workhorse, toolkit, and cookbook. Handbook of International Economics, 4, 131–195.</w:t>
      </w:r>
    </w:p>
    <w:p>
      <w:pPr>
        <w:pStyle w:val="Normal"/>
        <w:spacing w:before="0" w:after="100"/>
        <w:ind w:hanging="720" w:start="720"/>
        <w:rPr>
          <w:sz w:val="24"/>
          <w:szCs w:val="24"/>
        </w:rPr>
      </w:pPr>
      <w:r>
        <w:rPr>
          <w:sz w:val="24"/>
          <w:szCs w:val="24"/>
        </w:rPr>
        <w:t>Jones, L. and Mond, R. (2021). ACP regional integration and external trade flows: A gravity assessment. Journal of Development Studies, 57(4), 614–631.</w:t>
      </w:r>
    </w:p>
    <w:p>
      <w:pPr>
        <w:pStyle w:val="Normal"/>
        <w:spacing w:before="0" w:after="100"/>
        <w:ind w:hanging="720" w:start="720"/>
        <w:rPr>
          <w:sz w:val="24"/>
          <w:szCs w:val="24"/>
        </w:rPr>
      </w:pPr>
      <w:r>
        <w:rPr>
          <w:sz w:val="24"/>
          <w:szCs w:val="24"/>
        </w:rPr>
        <w:t>Nguyen, H. (2019). Preferential trade agreements among developing countries: Trade creation or diversion? World Development, 116, 132–145.</w:t>
      </w:r>
    </w:p>
    <w:p>
      <w:pPr>
        <w:pStyle w:val="Normal"/>
        <w:spacing w:before="0" w:after="100"/>
        <w:ind w:hanging="720" w:start="720"/>
        <w:rPr>
          <w:sz w:val="24"/>
          <w:szCs w:val="24"/>
        </w:rPr>
      </w:pPr>
      <w:r>
        <w:rPr>
          <w:sz w:val="24"/>
          <w:szCs w:val="24"/>
        </w:rPr>
        <w:t>Pacific Community (SPC) (various years). Pacific Data Hub — National Minimum Development Indicators. Statistical and Demography Programme, Noumea, New Caledonia. Available at: https://pacificdata.org</w:t>
      </w:r>
    </w:p>
    <w:p>
      <w:pPr>
        <w:pStyle w:val="Normal"/>
        <w:spacing w:before="0" w:after="100"/>
        <w:ind w:hanging="720" w:start="720"/>
        <w:rPr>
          <w:sz w:val="24"/>
          <w:szCs w:val="24"/>
        </w:rPr>
      </w:pPr>
      <w:r>
        <w:rPr>
          <w:sz w:val="24"/>
          <w:szCs w:val="24"/>
        </w:rPr>
        <w:t>Rodrik, D. (2018). What do trade agreements really do? Journal of Economic Perspectives, 32(2), 73–90.</w:t>
      </w:r>
    </w:p>
    <w:p>
      <w:pPr>
        <w:pStyle w:val="Normal"/>
        <w:spacing w:before="0" w:after="100"/>
        <w:ind w:hanging="720" w:start="720"/>
        <w:rPr>
          <w:sz w:val="24"/>
          <w:szCs w:val="24"/>
        </w:rPr>
      </w:pPr>
      <w:r>
        <w:rPr>
          <w:sz w:val="24"/>
          <w:szCs w:val="24"/>
        </w:rPr>
        <w:t>Rose, A.K. (2004). Do we really know that the WTO increases trade? American Economic Review, 94(1), 98–114.</w:t>
      </w:r>
    </w:p>
    <w:p>
      <w:pPr>
        <w:pStyle w:val="Normal"/>
        <w:spacing w:before="0" w:after="100"/>
        <w:ind w:hanging="720" w:start="720"/>
        <w:rPr>
          <w:sz w:val="24"/>
          <w:szCs w:val="24"/>
        </w:rPr>
      </w:pPr>
      <w:r>
        <w:rPr>
          <w:sz w:val="24"/>
          <w:szCs w:val="24"/>
        </w:rPr>
        <w:t>Santos Silva, J.M.C. and Tenreyro, S. (2006). The log of gravity. Review of Economics and Statistics, 88(4), 641–658.</w:t>
      </w:r>
    </w:p>
    <w:p>
      <w:pPr>
        <w:pStyle w:val="Normal"/>
        <w:spacing w:before="0" w:after="100"/>
        <w:ind w:hanging="720" w:start="720"/>
        <w:rPr>
          <w:sz w:val="24"/>
          <w:szCs w:val="24"/>
        </w:rPr>
      </w:pPr>
      <w:r>
        <w:rPr>
          <w:sz w:val="24"/>
          <w:szCs w:val="24"/>
        </w:rPr>
        <w:t>Standaert, S. (2015). Divining the level of cooperativeness: A survey of ideological positions on African regional integration. Journal of African Economies, 24(4), 491–515.</w:t>
      </w:r>
    </w:p>
    <w:p>
      <w:pPr>
        <w:pStyle w:val="Normal"/>
        <w:spacing w:before="0" w:after="100"/>
        <w:ind w:hanging="720" w:start="720"/>
        <w:rPr>
          <w:sz w:val="24"/>
          <w:szCs w:val="24"/>
        </w:rPr>
      </w:pPr>
      <w:r>
        <w:rPr>
          <w:sz w:val="24"/>
          <w:szCs w:val="24"/>
        </w:rPr>
        <w:t xml:space="preserve">Stender, F., Berger, A., Brandi, C., and Schwab, J. (2021). The trade effects of the Economic Partnership Agreements between the European Union and the African, Caribbean and Pacific Group of States: Early empirical insights from panel data. </w:t>
      </w:r>
      <w:r>
        <w:rPr>
          <w:rStyle w:val="Emphasis"/>
          <w:sz w:val="24"/>
          <w:szCs w:val="24"/>
        </w:rPr>
        <w:t>JCMS: Journal of Common Market Studies</w:t>
      </w:r>
      <w:r>
        <w:rPr>
          <w:sz w:val="24"/>
          <w:szCs w:val="24"/>
        </w:rPr>
        <w:t xml:space="preserve">, 59(6), 1495–1515. </w:t>
      </w:r>
      <w:hyperlink r:id="rId2">
        <w:r>
          <w:rPr>
            <w:rStyle w:val="Hyperlink"/>
            <w:sz w:val="24"/>
            <w:szCs w:val="24"/>
          </w:rPr>
          <w:t>https://doi.org/10.1111/jcms.13201</w:t>
        </w:r>
      </w:hyperlink>
    </w:p>
    <w:p>
      <w:pPr>
        <w:pStyle w:val="Normal"/>
        <w:spacing w:before="0" w:after="100"/>
        <w:ind w:hanging="720" w:start="720"/>
        <w:rPr>
          <w:sz w:val="24"/>
          <w:szCs w:val="24"/>
        </w:rPr>
      </w:pPr>
      <w:r>
        <w:rPr>
          <w:sz w:val="24"/>
          <w:szCs w:val="24"/>
        </w:rPr>
        <w:t>Tinbergen, J. (1962). Shaping the World Economy: Suggestions for an International Economic Policy. Twentieth Century Fund.</w:t>
      </w:r>
    </w:p>
    <w:p>
      <w:pPr>
        <w:pStyle w:val="Normal"/>
        <w:spacing w:before="0" w:after="100"/>
        <w:ind w:hanging="720" w:start="720"/>
        <w:rPr>
          <w:sz w:val="24"/>
          <w:szCs w:val="24"/>
        </w:rPr>
      </w:pPr>
      <w:r>
        <w:rPr>
          <w:sz w:val="24"/>
          <w:szCs w:val="24"/>
        </w:rPr>
        <w:t>World Bank (2024). World Development Indicators. The World Bank Group, Washington, DC. Available at: https://databank.worldbank.org/source/world-development-indicators</w:t>
      </w:r>
    </w:p>
    <w:p>
      <w:pPr>
        <w:pStyle w:val="Normal"/>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d66c2"/>
    <w:pPr>
      <w:widowControl/>
      <w:bidi w:val="0"/>
      <w:spacing w:lineRule="auto" w:line="240" w:before="0" w:after="0"/>
      <w:jc w:val="start"/>
    </w:pPr>
    <w:rPr>
      <w:rFonts w:ascii="Times New Roman" w:hAnsi="Times New Roman" w:eastAsia="Times New Roman" w:cs="Times New Roman"/>
      <w:color w:val="auto"/>
      <w:kern w:val="0"/>
      <w:sz w:val="20"/>
      <w:szCs w:val="20"/>
      <w:lang w:val="en-US" w:eastAsia="en-US" w:bidi="ar-SA"/>
      <w14:ligatures w14:val="none"/>
    </w:rPr>
  </w:style>
  <w:style w:type="paragraph" w:styleId="Heading1">
    <w:name w:val="heading 1"/>
    <w:basedOn w:val="Normal"/>
    <w:next w:val="Normal"/>
    <w:link w:val="Heading1Char"/>
    <w:uiPriority w:val="9"/>
    <w:qFormat/>
    <w:rsid w:val="00ed66c2"/>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ed66c2"/>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ed66c2"/>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ed66c2"/>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ed66c2"/>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ed66c2"/>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ed66c2"/>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ed66c2"/>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ed66c2"/>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ed66c2"/>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ed66c2"/>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ed66c2"/>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ed66c2"/>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ed66c2"/>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ed66c2"/>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ed66c2"/>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ed66c2"/>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ed66c2"/>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ed66c2"/>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d66c2"/>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ed66c2"/>
    <w:rPr>
      <w:i/>
      <w:iCs/>
      <w:color w:themeColor="text1" w:themeTint="bf" w:val="404040"/>
    </w:rPr>
  </w:style>
  <w:style w:type="character" w:styleId="IntenseEmphasis">
    <w:name w:val="Intense Emphasis"/>
    <w:basedOn w:val="DefaultParagraphFont"/>
    <w:uiPriority w:val="21"/>
    <w:qFormat/>
    <w:rsid w:val="00ed66c2"/>
    <w:rPr>
      <w:i/>
      <w:iCs/>
      <w:color w:themeColor="accent1" w:themeShade="bf" w:val="0F4761"/>
    </w:rPr>
  </w:style>
  <w:style w:type="character" w:styleId="IntenseQuoteChar" w:customStyle="1">
    <w:name w:val="Intense Quote Char"/>
    <w:basedOn w:val="DefaultParagraphFont"/>
    <w:link w:val="IntenseQuote"/>
    <w:uiPriority w:val="30"/>
    <w:qFormat/>
    <w:rsid w:val="00ed66c2"/>
    <w:rPr>
      <w:i/>
      <w:iCs/>
      <w:color w:themeColor="accent1" w:themeShade="bf" w:val="0F4761"/>
    </w:rPr>
  </w:style>
  <w:style w:type="character" w:styleId="IntenseReference">
    <w:name w:val="Intense Reference"/>
    <w:basedOn w:val="DefaultParagraphFont"/>
    <w:uiPriority w:val="32"/>
    <w:qFormat/>
    <w:rsid w:val="00ed66c2"/>
    <w:rPr>
      <w:b/>
      <w:bCs/>
      <w:smallCaps/>
      <w:color w:themeColor="accent1" w:themeShade="bf" w:val="0F4761"/>
      <w:spacing w:val="5"/>
    </w:rPr>
  </w:style>
  <w:style w:type="character" w:styleId="Hyperlink">
    <w:name w:val="Hyperlink"/>
    <w:uiPriority w:val="99"/>
    <w:unhideWhenUsed/>
    <w:rsid w:val="00ed66c2"/>
    <w:rPr>
      <w:color w:val="0563C1"/>
      <w:u w:val="single"/>
    </w:rPr>
  </w:style>
  <w:style w:type="character" w:styleId="FootnoteCharacters">
    <w:name w:val="Footnote Characters"/>
    <w:uiPriority w:val="99"/>
    <w:semiHidden/>
    <w:unhideWhenUsed/>
    <w:qFormat/>
    <w:rsid w:val="00ed66c2"/>
    <w:rPr>
      <w:vertAlign w:val="superscript"/>
    </w:rPr>
  </w:style>
  <w:style w:type="character" w:styleId="FootnoteReference">
    <w:name w:val="footnote reference"/>
    <w:rPr>
      <w:vertAlign w:val="superscript"/>
    </w:rPr>
  </w:style>
  <w:style w:type="character" w:styleId="FootnoteTextChar" w:customStyle="1">
    <w:name w:val="Footnote Text Char"/>
    <w:basedOn w:val="DefaultParagraphFont"/>
    <w:link w:val="FootnoteText"/>
    <w:uiPriority w:val="99"/>
    <w:semiHidden/>
    <w:qFormat/>
    <w:rsid w:val="00ed66c2"/>
    <w:rPr>
      <w:rFonts w:ascii="Times New Roman" w:hAnsi="Times New Roman" w:eastAsia="Times New Roman" w:cs="Times New Roman"/>
      <w:kern w:val="0"/>
      <w:sz w:val="20"/>
      <w:szCs w:val="20"/>
      <w14:ligatures w14:val="none"/>
    </w:rPr>
  </w:style>
  <w:style w:type="character" w:styleId="EndnoteCharacters">
    <w:name w:val="Endnote Characters"/>
    <w:uiPriority w:val="99"/>
    <w:semiHidden/>
    <w:unhideWhenUsed/>
    <w:qFormat/>
    <w:rsid w:val="00ed66c2"/>
    <w:rPr>
      <w:vertAlign w:val="superscript"/>
    </w:rPr>
  </w:style>
  <w:style w:type="character" w:styleId="EndnoteReference">
    <w:name w:val="endnote reference"/>
    <w:rPr>
      <w:vertAlign w:val="superscript"/>
    </w:rPr>
  </w:style>
  <w:style w:type="character" w:styleId="EndnoteTextChar" w:customStyle="1">
    <w:name w:val="Endnote Text Char"/>
    <w:basedOn w:val="DefaultParagraphFont"/>
    <w:link w:val="EndnoteText"/>
    <w:uiPriority w:val="99"/>
    <w:semiHidden/>
    <w:qFormat/>
    <w:rsid w:val="00ed66c2"/>
    <w:rPr>
      <w:rFonts w:ascii="Times New Roman" w:hAnsi="Times New Roman" w:eastAsia="Times New Roman" w:cs="Times New Roman"/>
      <w:kern w:val="0"/>
      <w:sz w:val="20"/>
      <w:szCs w:val="20"/>
      <w14:ligatures w14:val="none"/>
    </w:rPr>
  </w:style>
  <w:style w:type="character" w:styleId="CommentReference">
    <w:name w:val="annotation reference"/>
    <w:basedOn w:val="DefaultParagraphFont"/>
    <w:uiPriority w:val="99"/>
    <w:semiHidden/>
    <w:unhideWhenUsed/>
    <w:qFormat/>
    <w:rsid w:val="00ed66c2"/>
    <w:rPr>
      <w:sz w:val="16"/>
      <w:szCs w:val="16"/>
    </w:rPr>
  </w:style>
  <w:style w:type="character" w:styleId="CommentTextChar" w:customStyle="1">
    <w:name w:val="Comment Text Char"/>
    <w:basedOn w:val="DefaultParagraphFont"/>
    <w:link w:val="CommentText"/>
    <w:uiPriority w:val="99"/>
    <w:qFormat/>
    <w:rsid w:val="00ed66c2"/>
    <w:rPr>
      <w:rFonts w:ascii="Times New Roman" w:hAnsi="Times New Roman" w:eastAsia="Times New Roman" w:cs="Times New Roman"/>
      <w:kern w:val="0"/>
      <w:sz w:val="20"/>
      <w:szCs w:val="20"/>
      <w14:ligatures w14:val="none"/>
    </w:rPr>
  </w:style>
  <w:style w:type="character" w:styleId="CommentSubjectChar" w:customStyle="1">
    <w:name w:val="Comment Subject Char"/>
    <w:basedOn w:val="CommentTextChar"/>
    <w:link w:val="annotationsubject"/>
    <w:uiPriority w:val="99"/>
    <w:semiHidden/>
    <w:qFormat/>
    <w:rsid w:val="00ed66c2"/>
    <w:rPr>
      <w:rFonts w:ascii="Times New Roman" w:hAnsi="Times New Roman" w:eastAsia="Times New Roman" w:cs="Times New Roman"/>
      <w:b/>
      <w:bCs/>
      <w:kern w:val="0"/>
      <w:sz w:val="20"/>
      <w:szCs w:val="20"/>
      <w14:ligatures w14:val="none"/>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ed66c2"/>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ed66c2"/>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ed66c2"/>
    <w:pPr>
      <w:spacing w:before="160" w:after="0"/>
      <w:jc w:val="center"/>
    </w:pPr>
    <w:rPr>
      <w:i/>
      <w:iCs/>
      <w:color w:themeColor="text1" w:themeTint="bf" w:val="404040"/>
    </w:rPr>
  </w:style>
  <w:style w:type="paragraph" w:styleId="ListParagraph">
    <w:name w:val="List Paragraph"/>
    <w:basedOn w:val="Normal"/>
    <w:qFormat/>
    <w:rsid w:val="00ed66c2"/>
    <w:pPr>
      <w:spacing w:before="0" w:after="0"/>
      <w:ind w:start="720"/>
      <w:contextualSpacing/>
    </w:pPr>
    <w:rPr/>
  </w:style>
  <w:style w:type="paragraph" w:styleId="IntenseQuote">
    <w:name w:val="Intense Quote"/>
    <w:basedOn w:val="Normal"/>
    <w:next w:val="Normal"/>
    <w:link w:val="IntenseQuoteChar"/>
    <w:uiPriority w:val="30"/>
    <w:qFormat/>
    <w:rsid w:val="00ed66c2"/>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Strong1" w:customStyle="1">
    <w:name w:val="Strong1"/>
    <w:qFormat/>
    <w:rsid w:val="00ed66c2"/>
    <w:pPr>
      <w:widowControl/>
      <w:bidi w:val="0"/>
      <w:spacing w:lineRule="auto" w:line="240" w:before="0" w:after="0"/>
      <w:jc w:val="start"/>
    </w:pPr>
    <w:rPr>
      <w:rFonts w:ascii="Times New Roman" w:hAnsi="Times New Roman" w:eastAsia="Times New Roman" w:cs="Times New Roman"/>
      <w:b/>
      <w:bCs/>
      <w:color w:val="auto"/>
      <w:kern w:val="0"/>
      <w:sz w:val="20"/>
      <w:szCs w:val="20"/>
      <w:lang w:val="en-US" w:eastAsia="en-US" w:bidi="ar-SA"/>
      <w14:ligatures w14:val="none"/>
    </w:rPr>
  </w:style>
  <w:style w:type="paragraph" w:styleId="FootnoteText">
    <w:name w:val="footnote text"/>
    <w:link w:val="FootnoteTextChar"/>
    <w:uiPriority w:val="99"/>
    <w:semiHidden/>
    <w:unhideWhenUsed/>
    <w:rsid w:val="00ed66c2"/>
    <w:pPr>
      <w:widowControl/>
      <w:bidi w:val="0"/>
      <w:spacing w:lineRule="auto" w:line="240" w:before="0" w:after="0"/>
      <w:jc w:val="start"/>
    </w:pPr>
    <w:rPr>
      <w:rFonts w:ascii="Times New Roman" w:hAnsi="Times New Roman" w:eastAsia="Times New Roman" w:cs="Times New Roman"/>
      <w:color w:val="auto"/>
      <w:kern w:val="0"/>
      <w:sz w:val="20"/>
      <w:szCs w:val="20"/>
      <w:lang w:val="en-US" w:eastAsia="en-US" w:bidi="ar-SA"/>
      <w14:ligatures w14:val="none"/>
    </w:rPr>
  </w:style>
  <w:style w:type="paragraph" w:styleId="EndnoteText">
    <w:name w:val="endnote text"/>
    <w:link w:val="EndnoteTextChar"/>
    <w:uiPriority w:val="99"/>
    <w:semiHidden/>
    <w:unhideWhenUsed/>
    <w:rsid w:val="00ed66c2"/>
    <w:pPr>
      <w:widowControl/>
      <w:bidi w:val="0"/>
      <w:spacing w:lineRule="auto" w:line="240" w:before="0" w:after="0"/>
      <w:jc w:val="start"/>
    </w:pPr>
    <w:rPr>
      <w:rFonts w:ascii="Times New Roman" w:hAnsi="Times New Roman" w:eastAsia="Times New Roman" w:cs="Times New Roman"/>
      <w:color w:val="auto"/>
      <w:kern w:val="0"/>
      <w:sz w:val="20"/>
      <w:szCs w:val="20"/>
      <w:lang w:val="en-US" w:eastAsia="en-US" w:bidi="ar-SA"/>
      <w14:ligatures w14:val="none"/>
    </w:rPr>
  </w:style>
  <w:style w:type="paragraph" w:styleId="CommentText">
    <w:name w:val="annotation text"/>
    <w:basedOn w:val="Normal"/>
    <w:link w:val="CommentTextChar"/>
    <w:uiPriority w:val="99"/>
    <w:unhideWhenUsed/>
    <w:rsid w:val="00ed66c2"/>
    <w:pPr/>
    <w:rPr/>
  </w:style>
  <w:style w:type="paragraph" w:styleId="annotationsubject">
    <w:name w:val="annotation subject"/>
    <w:basedOn w:val="CommentText"/>
    <w:next w:val="CommentText"/>
    <w:link w:val="CommentSubjectChar"/>
    <w:uiPriority w:val="99"/>
    <w:semiHidden/>
    <w:unhideWhenUsed/>
    <w:qFormat/>
    <w:rsid w:val="00ed66c2"/>
    <w:pPr/>
    <w:rPr>
      <w:b/>
      <w:bCs/>
    </w:rPr>
  </w:style>
  <w:style w:type="paragraph" w:styleId="Revision">
    <w:name w:val="Revision"/>
    <w:uiPriority w:val="99"/>
    <w:semiHidden/>
    <w:qFormat/>
    <w:rsid w:val="00ed66c2"/>
    <w:pPr>
      <w:widowControl/>
      <w:bidi w:val="0"/>
      <w:spacing w:lineRule="auto" w:line="240" w:before="0" w:after="0"/>
      <w:jc w:val="start"/>
    </w:pPr>
    <w:rPr>
      <w:rFonts w:ascii="Times New Roman" w:hAnsi="Times New Roman" w:eastAsia="Times New Roman" w:cs="Times New Roman"/>
      <w:color w:val="auto"/>
      <w:kern w:val="0"/>
      <w:sz w:val="20"/>
      <w:szCs w:val="20"/>
      <w:lang w:val="en-US" w:eastAsia="en-US" w:bidi="ar-SA"/>
      <w14:ligatures w14:val="none"/>
    </w:rPr>
  </w:style>
  <w:style w:type="paragraph" w:styleId="font-claude-response-body" w:customStyle="1">
    <w:name w:val="font-claude-response-body"/>
    <w:basedOn w:val="Normal"/>
    <w:qFormat/>
    <w:rsid w:val="00ed66c2"/>
    <w:pPr>
      <w:spacing w:beforeAutospacing="1" w:afterAutospacing="1"/>
    </w:pPr>
    <w:rPr>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111/jcms.13201"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1382</TotalTime>
  <Application>LibreOffice/26.2.4.1$Windows_X86_64 LibreOffice_project/1a563c585d9fd784842a5a6101a714090c4fd0fd</Application>
  <AppVersion>15.0000</AppVersion>
  <Pages>18</Pages>
  <Words>8081</Words>
  <Characters>46460</Characters>
  <CharactersWithSpaces>53917</CharactersWithSpaces>
  <Paragraphs>604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2026-05-02T03:42:00Z</dcterms:created>
  <dc:creator>Damski, Noah F.</dc:creator>
  <dc:description/>
  <dc:language>en-US</dc:language>
  <cp:lastModifiedBy/>
  <dcterms:modified xsi:type="dcterms:W3CDTF">2026-07-23T20:37:24Z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