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Research Session Notes</w:t>
      </w:r>
    </w:p>
    <w:p>
      <w:pPr>
        <w:spacing w:after="80"/>
        <w:jc w:val="center"/>
      </w:pPr>
      <w:r>
        <w:rPr>
          <w:rFonts w:ascii="Arial" w:cs="Arial" w:eastAsia="Arial" w:hAnsi="Arial"/>
          <w:color w:val="2E75B6"/>
          <w:sz w:val="28"/>
          <w:szCs w:val="28"/>
        </w:rPr>
        <w:t xml:space="preserve">EU–ACP Trade and Regional Integration</w:t>
      </w:r>
    </w:p>
    <w:p>
      <w:pPr>
        <w:spacing w:after="400"/>
        <w:jc w:val="center"/>
      </w:pPr>
      <w:r>
        <w:rPr>
          <w:rFonts w:ascii="Arial" w:cs="Arial" w:eastAsia="Arial" w:hAnsi="Arial"/>
          <w:sz w:val="22"/>
          <w:szCs w:val="22"/>
        </w:rPr>
        <w:t xml:space="preserve">19 February 2026</w:t>
      </w:r>
    </w:p>
    <w:p>
      <w:pPr>
        <w:pBdr>
          <w:bottom w:val="single" w:color="2E75B6" w:sz="6" w:space="1"/>
        </w:pBdr>
        <w:spacing w:after="200"/>
      </w:pPr>
    </w:p>
    <w:p>
      <w:pPr>
        <w:pStyle w:val="Heading1"/>
      </w:pPr>
      <w:r>
        <w:rPr>
          <w:rFonts w:ascii="Arial" w:cs="Arial" w:eastAsia="Arial" w:hAnsi="Arial"/>
          <w:b/>
          <w:bCs/>
          <w:color w:val="1F3864"/>
          <w:sz w:val="32"/>
          <w:szCs w:val="32"/>
        </w:rPr>
        <w:t xml:space="preserve">1. What We Did Today</w:t>
      </w:r>
    </w:p>
    <w:p>
      <w:pPr>
        <w:pStyle w:val="Heading2"/>
      </w:pPr>
      <w:r>
        <w:rPr>
          <w:rFonts w:ascii="Arial" w:cs="Arial" w:eastAsia="Arial" w:hAnsi="Arial"/>
          <w:b/>
          <w:bCs/>
          <w:color w:val="2E75B6"/>
          <w:sz w:val="26"/>
          <w:szCs w:val="26"/>
        </w:rPr>
        <w:t xml:space="preserve">1.1  Reviewed the Project Structure</w:t>
      </w:r>
    </w:p>
    <w:p>
      <w:pPr>
        <w:spacing w:after="160"/>
      </w:pPr>
      <w:r>
        <w:rPr>
          <w:rFonts w:ascii="Arial" w:cs="Arial" w:eastAsia="Arial" w:hAnsi="Arial"/>
          <w:sz w:val="22"/>
          <w:szCs w:val="22"/>
        </w:rPr>
        <w:t xml:space="preserve">Read through the full Obsidian repo — Research Project Outline, Gravity Models folder, Datasets folder, Samuel Standaert notes, Baier notes, Regionalism Theory, and the What's Next file. Established a clear picture of where the project stood and what remained to be done.</w:t>
      </w:r>
    </w:p>
    <w:p>
      <w:pPr>
        <w:pStyle w:val="Heading2"/>
      </w:pPr>
      <w:r>
        <w:rPr>
          <w:rFonts w:ascii="Arial" w:cs="Arial" w:eastAsia="Arial" w:hAnsi="Arial"/>
          <w:b/>
          <w:bCs/>
          <w:color w:val="2E75B6"/>
          <w:sz w:val="26"/>
          <w:szCs w:val="26"/>
        </w:rPr>
        <w:t xml:space="preserve">1.2  Rethought the REC Depth Variable</w:t>
      </w:r>
    </w:p>
    <w:p>
      <w:pPr>
        <w:spacing w:after="160"/>
      </w:pPr>
      <w:r>
        <w:rPr>
          <w:rFonts w:ascii="Arial" w:cs="Arial" w:eastAsia="Arial" w:hAnsi="Arial"/>
          <w:sz w:val="22"/>
          <w:szCs w:val="22"/>
        </w:rPr>
        <w:t xml:space="preserve">Originally planned to code ACP countries on an ordinal 0–4 integration scale following the Baier et al. (2014) typology. Decided against this as the primary variable because it relies on de jure treaty text, which Standaert (2015) shows diverges badly from de facto integration in Africa. Built a full REC Depth coding spreadsheet anyway — now saved as REC_Depth_Index_Coding.xlsx — to use as a robustness check or appendix rather than the main variable.</w:t>
      </w:r>
    </w:p>
    <w:p>
      <w:pPr>
        <w:pStyle w:val="Heading2"/>
      </w:pPr>
      <w:r>
        <w:rPr>
          <w:rFonts w:ascii="Arial" w:cs="Arial" w:eastAsia="Arial" w:hAnsi="Arial"/>
          <w:b/>
          <w:bCs/>
          <w:color w:val="2E75B6"/>
          <w:sz w:val="26"/>
          <w:szCs w:val="26"/>
        </w:rPr>
        <w:t xml:space="preserve">1.3  Switched to Intra-REC Trade Share as Main Variable</w:t>
      </w:r>
    </w:p>
    <w:p>
      <w:pPr>
        <w:spacing w:after="160"/>
      </w:pPr>
      <w:r>
        <w:rPr>
          <w:rFonts w:ascii="Arial" w:cs="Arial" w:eastAsia="Arial" w:hAnsi="Arial"/>
          <w:sz w:val="22"/>
          <w:szCs w:val="22"/>
        </w:rPr>
        <w:t xml:space="preserve">Following the UNU-CRIS (2009) formulas already in the Comparative Regionalization notes, settled on IT Share as the primary measure of regional openness. IT Share is data-driven, continuous, varies by country and year, and requires no researcher judgment about integration depth. IT Intensity was also computed as a secondary measure.</w:t>
      </w:r>
    </w:p>
    <w:p>
      <w:pPr>
        <w:pStyle w:val="Heading2"/>
      </w:pPr>
      <w:r>
        <w:rPr>
          <w:rFonts w:ascii="Arial" w:cs="Arial" w:eastAsia="Arial" w:hAnsi="Arial"/>
          <w:b/>
          <w:bCs/>
          <w:color w:val="2E75B6"/>
          <w:sz w:val="26"/>
          <w:szCs w:val="26"/>
        </w:rPr>
        <w:t xml:space="preserve">1.4  Built the Data Pipeline (01_build_panel.R)</w:t>
      </w:r>
    </w:p>
    <w:p>
      <w:pPr>
        <w:spacing w:after="160"/>
      </w:pPr>
      <w:r>
        <w:rPr>
          <w:rFonts w:ascii="Arial" w:cs="Arial" w:eastAsia="Arial" w:hAnsi="Arial"/>
          <w:sz w:val="22"/>
          <w:szCs w:val="22"/>
        </w:rPr>
        <w:t xml:space="preserve">Constructed the full panel dataset from raw sources:</w:t>
      </w:r>
    </w:p>
    <w:p>
      <w:pPr>
        <w:pStyle w:val="ListParagraph"/>
        <w:numPr>
          <w:ilvl w:val="0"/>
          <w:numId w:val="2"/>
        </w:numPr>
        <w:spacing w:after="100"/>
      </w:pPr>
      <w:r>
        <w:rPr>
          <w:rFonts w:ascii="Arial" w:cs="Arial" w:eastAsia="Arial" w:hAnsi="Arial"/>
          <w:sz w:val="22"/>
          <w:szCs w:val="22"/>
        </w:rPr>
        <w:t xml:space="preserve">Downloaded and loaded BACI HS92 V202601 (1995–2024) — bilateral trade flows for all country pairs</w:t>
      </w:r>
    </w:p>
    <w:p>
      <w:pPr>
        <w:pStyle w:val="ListParagraph"/>
        <w:numPr>
          <w:ilvl w:val="0"/>
          <w:numId w:val="2"/>
        </w:numPr>
        <w:spacing w:after="100"/>
      </w:pPr>
      <w:r>
        <w:rPr>
          <w:rFonts w:ascii="Arial" w:cs="Arial" w:eastAsia="Arial" w:hAnsi="Arial"/>
          <w:sz w:val="22"/>
          <w:szCs w:val="22"/>
        </w:rPr>
        <w:t xml:space="preserve">Loaded CEPII Gravity RDS V202211 for distance, language, colonial ties, GDP, and population</w:t>
      </w:r>
    </w:p>
    <w:p>
      <w:pPr>
        <w:pStyle w:val="ListParagraph"/>
        <w:numPr>
          <w:ilvl w:val="0"/>
          <w:numId w:val="2"/>
        </w:numPr>
        <w:spacing w:after="100"/>
      </w:pPr>
      <w:r>
        <w:rPr>
          <w:rFonts w:ascii="Arial" w:cs="Arial" w:eastAsia="Arial" w:hAnsi="Arial"/>
          <w:sz w:val="22"/>
          <w:szCs w:val="22"/>
        </w:rPr>
        <w:t xml:space="preserve">Computed IT Share and IT Intensity for every ACP country from BACI flows</w:t>
      </w:r>
    </w:p>
    <w:p>
      <w:pPr>
        <w:pStyle w:val="ListParagraph"/>
        <w:numPr>
          <w:ilvl w:val="0"/>
          <w:numId w:val="2"/>
        </w:numPr>
        <w:spacing w:after="100"/>
      </w:pPr>
      <w:r>
        <w:rPr>
          <w:rFonts w:ascii="Arial" w:cs="Arial" w:eastAsia="Arial" w:hAnsi="Arial"/>
          <w:sz w:val="22"/>
          <w:szCs w:val="22"/>
        </w:rPr>
        <w:t xml:space="preserve">Built the EU–ACP bilateral trade panel including zero-trade pairs (essential for PPML)</w:t>
      </w:r>
    </w:p>
    <w:p>
      <w:pPr>
        <w:pStyle w:val="ListParagraph"/>
        <w:numPr>
          <w:ilvl w:val="0"/>
          <w:numId w:val="2"/>
        </w:numPr>
        <w:spacing w:after="100"/>
      </w:pPr>
      <w:r>
        <w:rPr>
          <w:rFonts w:ascii="Arial" w:cs="Arial" w:eastAsia="Arial" w:hAnsi="Arial"/>
          <w:sz w:val="22"/>
          <w:szCs w:val="22"/>
        </w:rPr>
        <w:t xml:space="preserve">Merged EPA entry-into-force dates for all ACP countries as a binary treatment variable</w:t>
      </w:r>
    </w:p>
    <w:p>
      <w:pPr>
        <w:pStyle w:val="ListParagraph"/>
        <w:numPr>
          <w:ilvl w:val="0"/>
          <w:numId w:val="2"/>
        </w:numPr>
        <w:spacing w:after="100"/>
      </w:pPr>
      <w:r>
        <w:rPr>
          <w:rFonts w:ascii="Arial" w:cs="Arial" w:eastAsia="Arial" w:hAnsi="Arial"/>
          <w:sz w:val="22"/>
          <w:szCs w:val="22"/>
        </w:rPr>
        <w:t xml:space="preserve">Saved the final merged panel as eu_acp_panel.rds</w:t>
      </w:r>
    </w:p>
    <w:p>
      <w:pPr>
        <w:pStyle w:val="Heading2"/>
      </w:pPr>
      <w:r>
        <w:rPr>
          <w:rFonts w:ascii="Arial" w:cs="Arial" w:eastAsia="Arial" w:hAnsi="Arial"/>
          <w:b/>
          <w:bCs/>
          <w:color w:val="2E75B6"/>
          <w:sz w:val="26"/>
          <w:szCs w:val="26"/>
        </w:rPr>
        <w:t xml:space="preserve">1.5  Built the Estimation Script (02_estimate_gravity.R)</w:t>
      </w:r>
    </w:p>
    <w:p>
      <w:pPr>
        <w:spacing w:after="160"/>
      </w:pPr>
      <w:r>
        <w:rPr>
          <w:rFonts w:ascii="Arial" w:cs="Arial" w:eastAsia="Arial" w:hAnsi="Arial"/>
          <w:sz w:val="22"/>
          <w:szCs w:val="22"/>
        </w:rPr>
        <w:t xml:space="preserve">Estimated a structural gravity model using PPML via fixest::fepois(). Ran five models: baseline PPML, PPML with IT Share, the main interaction specification (EPA × IT Share), IT Intensity robustness check, and OLS on log trade. Added lagged IT Share and regional subsample robustness checks.</w:t>
      </w:r>
    </w:p>
    <w:p>
      <w:pPr>
        <w:pStyle w:val="Heading2"/>
      </w:pPr>
      <w:r>
        <w:rPr>
          <w:rFonts w:ascii="Arial" w:cs="Arial" w:eastAsia="Arial" w:hAnsi="Arial"/>
          <w:b/>
          <w:bCs/>
          <w:color w:val="2E75B6"/>
          <w:sz w:val="26"/>
          <w:szCs w:val="26"/>
        </w:rPr>
        <w:t xml:space="preserve">1.6  Fixed a Collinearity Problem</w:t>
      </w:r>
    </w:p>
    <w:p>
      <w:pPr>
        <w:spacing w:after="160"/>
      </w:pPr>
      <w:r>
        <w:rPr>
          <w:rFonts w:ascii="Arial" w:cs="Arial" w:eastAsia="Arial" w:hAnsi="Arial"/>
          <w:sz w:val="22"/>
          <w:szCs w:val="22"/>
        </w:rPr>
        <w:t xml:space="preserve">The original fixed effects specification used exporter-year and importer-year FEs. The importer-year FE absorbed the EPA dummy and IT Share entirely since both only vary at the ACP country × year level, causing them to be silently dropped. Fixed by splitting the importer FE into acp_iso3 + year separately, following Baier, Yotov and Zylkin (2019). GDP added back explicitly since it was no longer absorbed.</w:t>
      </w:r>
    </w:p>
    <w:p>
      <w:pPr>
        <w:pStyle w:val="Heading2"/>
      </w:pPr>
      <w:r>
        <w:rPr>
          <w:rFonts w:ascii="Arial" w:cs="Arial" w:eastAsia="Arial" w:hAnsi="Arial"/>
          <w:b/>
          <w:bCs/>
          <w:color w:val="2E75B6"/>
          <w:sz w:val="26"/>
          <w:szCs w:val="26"/>
        </w:rPr>
        <w:t xml:space="preserve">1.7  Extended to REC-Level Analysis</w:t>
      </w:r>
    </w:p>
    <w:p>
      <w:pPr>
        <w:spacing w:after="160"/>
      </w:pPr>
      <w:r>
        <w:rPr>
          <w:rFonts w:ascii="Arial" w:cs="Arial" w:eastAsia="Arial" w:hAnsi="Arial"/>
          <w:sz w:val="22"/>
          <w:szCs w:val="22"/>
        </w:rPr>
        <w:t xml:space="preserve">Rather than grouping results by broad ACP region (Africa, Caribbean, Pacific), produced a faceted scatter plot comparing all seven major RECs directly against each other: ECOWAS, SADC, EAC, CEMAC, COMESA, CARICOM, and PIF. This revealed important heterogeneity in the direction of the relationship across RECs that the broad regional breakdown obscured.</w:t>
      </w:r>
    </w:p>
    <w:p>
      <w:pPr>
        <w:pBdr>
          <w:bottom w:val="single" w:color="2E75B6" w:sz="6" w:space="1"/>
        </w:pBdr>
        <w:spacing w:after="200"/>
      </w:pPr>
    </w:p>
    <w:p>
      <w:pPr>
        <w:pStyle w:val="Heading1"/>
      </w:pPr>
      <w:r>
        <w:rPr>
          <w:rFonts w:ascii="Arial" w:cs="Arial" w:eastAsia="Arial" w:hAnsi="Arial"/>
          <w:b/>
          <w:bCs/>
          <w:color w:val="1F3864"/>
          <w:sz w:val="32"/>
          <w:szCs w:val="32"/>
        </w:rPr>
        <w:t xml:space="preserve">2. How the Gravity Model Works</w:t>
      </w:r>
    </w:p>
    <w:p>
      <w:pPr>
        <w:pStyle w:val="Heading2"/>
      </w:pPr>
      <w:r>
        <w:rPr>
          <w:rFonts w:ascii="Arial" w:cs="Arial" w:eastAsia="Arial" w:hAnsi="Arial"/>
          <w:b/>
          <w:bCs/>
          <w:color w:val="2E75B6"/>
          <w:sz w:val="26"/>
          <w:szCs w:val="26"/>
        </w:rPr>
        <w:t xml:space="preserve">2.1  The Core Intuition</w:t>
      </w:r>
    </w:p>
    <w:p>
      <w:pPr>
        <w:spacing w:after="160"/>
      </w:pPr>
      <w:r>
        <w:rPr>
          <w:rFonts w:ascii="Arial" w:cs="Arial" w:eastAsia="Arial" w:hAnsi="Arial"/>
          <w:sz w:val="22"/>
          <w:szCs w:val="22"/>
        </w:rPr>
        <w:t xml:space="preserve">The gravity model of trade is borrowed from physics. Just as gravitational attraction between two objects increases with their mass and decreases with distance, trade between two countries increases with their economic size (GDP) and decreases with the distance between them. This simple idea turns out to explain the vast majority of variation in bilateral trade flows across country pairs and years.</w:t>
      </w:r>
    </w:p>
    <w:p>
      <w:pPr>
        <w:spacing w:after="160"/>
      </w:pPr>
      <w:r>
        <w:rPr>
          <w:rFonts w:ascii="Arial" w:cs="Arial" w:eastAsia="Arial" w:hAnsi="Arial"/>
          <w:sz w:val="22"/>
          <w:szCs w:val="22"/>
        </w:rPr>
        <w:t xml:space="preserve">The estimating equation for this project is:</w:t>
      </w:r>
    </w:p>
    <w:p>
      <w:pPr>
        <w:spacing w:after="160"/>
        <w:jc w:val="center"/>
      </w:pPr>
      <w:r>
        <w:rPr>
          <w:rFonts w:ascii="Courier New" w:cs="Courier New" w:eastAsia="Courier New" w:hAnsi="Courier New"/>
          <w:sz w:val="18"/>
          <w:szCs w:val="18"/>
        </w:rPr>
        <w:t xml:space="preserve">Trade_ijt = exp[ α + β₁·ln(GDP_it) + β₂·ln(GDP_jt) + β₃·ln(Dist_ij) + β₄·Lang_ij + β₅·Colony_ij + β₆·EPA_jt + β₇·ITShare_jt + β₈·(EPA_jt × ITShare_jt) + μ_it + μ_jt ] + ε_ijt</w:t>
      </w:r>
    </w:p>
    <w:p>
      <w:pPr>
        <w:spacing w:after="160"/>
      </w:pPr>
      <w:r>
        <w:rPr>
          <w:rFonts w:ascii="Arial" w:cs="Arial" w:eastAsia="Arial" w:hAnsi="Arial"/>
          <w:sz w:val="22"/>
          <w:szCs w:val="22"/>
        </w:rPr>
        <w:t xml:space="preserve">Where i is the EU member country, j is the ACP country, and t is the year.</w:t>
      </w:r>
    </w:p>
    <w:p>
      <w:pPr>
        <w:pStyle w:val="Heading2"/>
      </w:pPr>
      <w:r>
        <w:rPr>
          <w:rFonts w:ascii="Arial" w:cs="Arial" w:eastAsia="Arial" w:hAnsi="Arial"/>
          <w:b/>
          <w:bCs/>
          <w:color w:val="2E75B6"/>
          <w:sz w:val="26"/>
          <w:szCs w:val="26"/>
        </w:rPr>
        <w:t xml:space="preserve">2.2  What Each Variable Does</w:t>
      </w:r>
    </w:p>
    <w:p>
      <w:pPr>
        <w:spacing w:after="160"/>
      </w:pPr>
      <w:r>
        <w:rPr>
          <w:rFonts w:ascii="Arial" w:cs="Arial" w:eastAsia="Arial" w:hAnsi="Arial"/>
          <w:b/>
          <w:bCs/>
          <w:sz w:val="22"/>
          <w:szCs w:val="22"/>
        </w:rPr>
        <w:t xml:space="preserve">ln(Distance): </w:t>
      </w:r>
      <w:r>
        <w:rPr>
          <w:rFonts w:ascii="Arial" w:cs="Arial" w:eastAsia="Arial" w:hAnsi="Arial"/>
          <w:sz w:val="22"/>
          <w:szCs w:val="22"/>
        </w:rPr>
        <w:t xml:space="preserve">Geodesic distance between capitals in kilometres, logged. Expected to be negative — countries further apart trade less. In our results: −1.57, significant at 5%.</w:t>
      </w:r>
    </w:p>
    <w:p>
      <w:pPr>
        <w:spacing w:after="160"/>
      </w:pPr>
      <w:r>
        <w:rPr>
          <w:rFonts w:ascii="Arial" w:cs="Arial" w:eastAsia="Arial" w:hAnsi="Arial"/>
          <w:b/>
          <w:bCs/>
          <w:sz w:val="22"/>
          <w:szCs w:val="22"/>
        </w:rPr>
        <w:t xml:space="preserve">Common Language: </w:t>
      </w:r>
      <w:r>
        <w:rPr>
          <w:rFonts w:ascii="Arial" w:cs="Arial" w:eastAsia="Arial" w:hAnsi="Arial"/>
          <w:sz w:val="22"/>
          <w:szCs w:val="22"/>
        </w:rPr>
        <w:t xml:space="preserve">Dummy variable equal to 1 if the EU and ACP country share an official language. Expected positive. In our results: 1.18***, meaning sharing a language is associated with roughly three times more trade.</w:t>
      </w:r>
    </w:p>
    <w:p>
      <w:pPr>
        <w:spacing w:after="160"/>
      </w:pPr>
      <w:r>
        <w:rPr>
          <w:rFonts w:ascii="Arial" w:cs="Arial" w:eastAsia="Arial" w:hAnsi="Arial"/>
          <w:b/>
          <w:bCs/>
          <w:sz w:val="22"/>
          <w:szCs w:val="22"/>
        </w:rPr>
        <w:t xml:space="preserve">Colonial Tie: </w:t>
      </w:r>
      <w:r>
        <w:rPr>
          <w:rFonts w:ascii="Arial" w:cs="Arial" w:eastAsia="Arial" w:hAnsi="Arial"/>
          <w:sz w:val="22"/>
          <w:szCs w:val="22"/>
        </w:rPr>
        <w:t xml:space="preserve">Dummy equal to 1 if the two countries ever had a colonial relationship. Expected positive — historical ties facilitate trade through networks, legal systems, and cultural familiarity. In our results: 0.13, not significant once fixed effects are included.</w:t>
      </w:r>
    </w:p>
    <w:p>
      <w:pPr>
        <w:spacing w:after="160"/>
      </w:pPr>
      <w:r>
        <w:rPr>
          <w:rFonts w:ascii="Arial" w:cs="Arial" w:eastAsia="Arial" w:hAnsi="Arial"/>
          <w:b/>
          <w:bCs/>
          <w:sz w:val="22"/>
          <w:szCs w:val="22"/>
        </w:rPr>
        <w:t xml:space="preserve">ln(GDP ACP): </w:t>
      </w:r>
      <w:r>
        <w:rPr>
          <w:rFonts w:ascii="Arial" w:cs="Arial" w:eastAsia="Arial" w:hAnsi="Arial"/>
          <w:sz w:val="22"/>
          <w:szCs w:val="22"/>
        </w:rPr>
        <w:t xml:space="preserve">Log of ACP country GDP. Larger economies trade more. In our results: 0.48***, highly significant.</w:t>
      </w:r>
    </w:p>
    <w:p>
      <w:pPr>
        <w:spacing w:after="160"/>
      </w:pPr>
      <w:r>
        <w:rPr>
          <w:rFonts w:ascii="Arial" w:cs="Arial" w:eastAsia="Arial" w:hAnsi="Arial"/>
          <w:b/>
          <w:bCs/>
          <w:sz w:val="22"/>
          <w:szCs w:val="22"/>
        </w:rPr>
        <w:t xml:space="preserve">EPA: </w:t>
      </w:r>
      <w:r>
        <w:rPr>
          <w:rFonts w:ascii="Arial" w:cs="Arial" w:eastAsia="Arial" w:hAnsi="Arial"/>
          <w:sz w:val="22"/>
          <w:szCs w:val="22"/>
        </w:rPr>
        <w:t xml:space="preserve">Binary treatment variable equal to 1 in years when the Economic Partnership Agreement between the EU and that ACP country is in force. Tests whether EPAs boost trade. In our results: 0.003, not significant on its own.</w:t>
      </w:r>
    </w:p>
    <w:p>
      <w:pPr>
        <w:spacing w:after="160"/>
      </w:pPr>
      <w:r>
        <w:rPr>
          <w:rFonts w:ascii="Arial" w:cs="Arial" w:eastAsia="Arial" w:hAnsi="Arial"/>
          <w:b/>
          <w:bCs/>
          <w:sz w:val="22"/>
          <w:szCs w:val="22"/>
        </w:rPr>
        <w:t xml:space="preserve">IT Share: </w:t>
      </w:r>
      <w:r>
        <w:rPr>
          <w:rFonts w:ascii="Arial" w:cs="Arial" w:eastAsia="Arial" w:hAnsi="Arial"/>
          <w:sz w:val="22"/>
          <w:szCs w:val="22"/>
        </w:rPr>
        <w:t xml:space="preserve">Intra-REC Trade Share — the fraction of the ACP country's total trade that flows to other REC members. The main measure of regional openness. In our results: −1.35***, the primary finding.</w:t>
      </w:r>
    </w:p>
    <w:p>
      <w:pPr>
        <w:spacing w:after="160"/>
      </w:pPr>
      <w:r>
        <w:rPr>
          <w:rFonts w:ascii="Arial" w:cs="Arial" w:eastAsia="Arial" w:hAnsi="Arial"/>
          <w:b/>
          <w:bCs/>
          <w:sz w:val="22"/>
          <w:szCs w:val="22"/>
        </w:rPr>
        <w:t xml:space="preserve">EPA × IT Share: </w:t>
      </w:r>
      <w:r>
        <w:rPr>
          <w:rFonts w:ascii="Arial" w:cs="Arial" w:eastAsia="Arial" w:hAnsi="Arial"/>
          <w:sz w:val="22"/>
          <w:szCs w:val="22"/>
        </w:rPr>
        <w:t xml:space="preserve">Interaction term — tests whether EPAs are more effective for countries with deeper regional integration. In our results: 0.20, positive but not statistically significant.</w:t>
      </w:r>
    </w:p>
    <w:p>
      <w:pPr>
        <w:pStyle w:val="Heading2"/>
      </w:pPr>
      <w:r>
        <w:rPr>
          <w:rFonts w:ascii="Arial" w:cs="Arial" w:eastAsia="Arial" w:hAnsi="Arial"/>
          <w:b/>
          <w:bCs/>
          <w:color w:val="2E75B6"/>
          <w:sz w:val="26"/>
          <w:szCs w:val="26"/>
        </w:rPr>
        <w:t xml:space="preserve">2.3  Fixed Effects</w:t>
      </w:r>
    </w:p>
    <w:p>
      <w:pPr>
        <w:spacing w:after="160"/>
      </w:pPr>
      <w:r>
        <w:rPr>
          <w:rFonts w:ascii="Arial" w:cs="Arial" w:eastAsia="Arial" w:hAnsi="Arial"/>
          <w:sz w:val="22"/>
          <w:szCs w:val="22"/>
        </w:rPr>
        <w:t xml:space="preserve">Fixed effects absorb all variation attributable to a particular grouping without measuring it explicitly. The exporter-year FE absorbs every time-varying characteristic of the EU member country — its economic conditions, trade policy, currency strength — so these don't confound the estimates. The ACP country FE absorbs time-invariant characteristics of each ACP country — its geography, institutional quality, legal system. The year FE absorbs global shocks common to all pairs — financial crises, commodity cycles, COVID.</w:t>
      </w:r>
    </w:p>
    <w:p>
      <w:pPr>
        <w:spacing w:after="160"/>
      </w:pPr>
      <w:r>
        <w:rPr>
          <w:rFonts w:ascii="Arial" w:cs="Arial" w:eastAsia="Arial" w:hAnsi="Arial"/>
          <w:sz w:val="22"/>
          <w:szCs w:val="22"/>
        </w:rPr>
        <w:t xml:space="preserve">Together these three FEs mean the coefficients on distance, language, colonial tie, EPA, and IT Share are estimated only from variation that cannot be explained by any of these absorbed factors. This makes the estimates much more credible.</w:t>
      </w:r>
    </w:p>
    <w:p>
      <w:pPr>
        <w:pStyle w:val="Heading2"/>
      </w:pPr>
      <w:r>
        <w:rPr>
          <w:rFonts w:ascii="Arial" w:cs="Arial" w:eastAsia="Arial" w:hAnsi="Arial"/>
          <w:b/>
          <w:bCs/>
          <w:color w:val="2E75B6"/>
          <w:sz w:val="26"/>
          <w:szCs w:val="26"/>
        </w:rPr>
        <w:t xml:space="preserve">2.4  Why PPML Instead of OLS</w:t>
      </w:r>
    </w:p>
    <w:p>
      <w:pPr>
        <w:spacing w:after="160"/>
      </w:pPr>
      <w:r>
        <w:rPr>
          <w:rFonts w:ascii="Arial" w:cs="Arial" w:eastAsia="Arial" w:hAnsi="Arial"/>
          <w:sz w:val="22"/>
          <w:szCs w:val="22"/>
        </w:rPr>
        <w:t xml:space="preserve">Standard linear regression (OLS) on log trade has two problems for this data. First, many country pairs have zero trade in some years, and log(0) is undefined, so OLS would drop all zero observations — introducing selection bias. Second, trade data is highly skewed, violating OLS assumptions. PPML (Poisson Pseudo-Maximum Likelihood) handles zeros naturally by working with trade levels rather than logs, and is robust to the skewed distribution. It is the current standard method in the gravity literature following Santos Silva and Tenreyro (2006).</w:t>
      </w:r>
    </w:p>
    <w:p>
      <w:pPr>
        <w:pBdr>
          <w:bottom w:val="single" w:color="2E75B6" w:sz="6" w:space="1"/>
        </w:pBdr>
        <w:spacing w:after="200"/>
      </w:pPr>
    </w:p>
    <w:p>
      <w:pPr>
        <w:pStyle w:val="Heading1"/>
      </w:pPr>
      <w:r>
        <w:rPr>
          <w:rFonts w:ascii="Arial" w:cs="Arial" w:eastAsia="Arial" w:hAnsi="Arial"/>
          <w:b/>
          <w:bCs/>
          <w:color w:val="1F3864"/>
          <w:sz w:val="32"/>
          <w:szCs w:val="32"/>
        </w:rPr>
        <w:t xml:space="preserve">3. Key Findings</w:t>
      </w:r>
    </w:p>
    <w:p>
      <w:pPr>
        <w:pStyle w:val="Heading2"/>
      </w:pPr>
      <w:r>
        <w:rPr>
          <w:rFonts w:ascii="Arial" w:cs="Arial" w:eastAsia="Arial" w:hAnsi="Arial"/>
          <w:b/>
          <w:bCs/>
          <w:color w:val="2E75B6"/>
          <w:sz w:val="26"/>
          <w:szCs w:val="26"/>
        </w:rPr>
        <w:t xml:space="preserve">3.1  Primary Result — The Stumbling Block</w:t>
      </w:r>
    </w:p>
    <w:p>
      <w:pPr>
        <w:spacing w:after="160"/>
      </w:pPr>
      <w:r>
        <w:rPr>
          <w:rFonts w:ascii="Arial" w:cs="Arial" w:eastAsia="Arial" w:hAnsi="Arial"/>
          <w:sz w:val="22"/>
          <w:szCs w:val="22"/>
        </w:rPr>
        <w:t xml:space="preserve">The main finding is a robust negative relationship between intra-REC trade share and EU-ACP bilateral trade. Countries that send a higher share of their trade to regional partners trade significantly less with the EU. A 10 percentage point increase in IT Share is associated with approximately a 13% fall in EU bilateral trade. This is the stumbling block result — deeper South-South integration diverts trade inward rather than building capacity for external trade.</w:t>
      </w:r>
    </w:p>
    <w:p>
      <w:pPr>
        <w:spacing w:after="160"/>
      </w:pPr>
      <w:r>
        <w:rPr>
          <w:rFonts w:ascii="Arial" w:cs="Arial" w:eastAsia="Arial" w:hAnsi="Arial"/>
          <w:sz w:val="22"/>
          <w:szCs w:val="22"/>
        </w:rPr>
        <w:t xml:space="preserve">This is consistent with Standaert (2015), who found that African regional agreements tend to be dominated by hegemons, produce uneven benefit distributions, and in many cases function more as political arrangements than genuine trade-creating institutions. The regional integration pulls trade inward in ways that crowd out EU flows.</w:t>
      </w:r>
    </w:p>
    <w:p>
      <w:pPr>
        <w:pStyle w:val="Heading2"/>
      </w:pPr>
      <w:r>
        <w:rPr>
          <w:rFonts w:ascii="Arial" w:cs="Arial" w:eastAsia="Arial" w:hAnsi="Arial"/>
          <w:b/>
          <w:bCs/>
          <w:color w:val="2E75B6"/>
          <w:sz w:val="26"/>
          <w:szCs w:val="26"/>
        </w:rPr>
        <w:t xml:space="preserve">3.2  Secondary Result — The Interaction</w:t>
      </w:r>
    </w:p>
    <w:p>
      <w:pPr>
        <w:spacing w:after="160"/>
      </w:pPr>
      <w:r>
        <w:rPr>
          <w:rFonts w:ascii="Arial" w:cs="Arial" w:eastAsia="Arial" w:hAnsi="Arial"/>
          <w:sz w:val="22"/>
          <w:szCs w:val="22"/>
        </w:rPr>
        <w:t xml:space="preserve">The EPA × IT Share interaction is consistently positive across all specifications, meaning the direction of evidence is consistent with the building block hypothesis — more regionally integrated countries appear to extract slightly more trade benefit from their EPAs. However the coefficient is not statistically significant, meaning we cannot confirm this effect is real rather than noise. The paper honestly reports this as a null result on the amplification hypothesis while noting the directional consistency.</w:t>
      </w:r>
    </w:p>
    <w:p>
      <w:pPr>
        <w:pStyle w:val="Heading2"/>
      </w:pPr>
      <w:r>
        <w:rPr>
          <w:rFonts w:ascii="Arial" w:cs="Arial" w:eastAsia="Arial" w:hAnsi="Arial"/>
          <w:b/>
          <w:bCs/>
          <w:color w:val="2E75B6"/>
          <w:sz w:val="26"/>
          <w:szCs w:val="26"/>
        </w:rPr>
        <w:t xml:space="preserve">3.3  Regression Results Table</w:t>
      </w:r>
    </w:p>
    <w:p>
      <w:pPr>
        <w:spacing w:after="160"/>
      </w:pPr>
      <w:r>
        <w:rPr>
          <w:rFonts w:ascii="Arial" w:cs="Arial" w:eastAsia="Arial" w:hAnsi="Arial"/>
          <w:b/>
          <w:bCs/>
          <w:sz w:val="22"/>
          <w:szCs w:val="22"/>
        </w:rPr>
        <w:t xml:space="preserve">Main results from M3 (PPML, full ACP sample, exporter-year + acp_iso3 + year FEs):</w:t>
      </w:r>
    </w:p>
    <w:p>
      <w:pPr>
        <w:pStyle w:val="ListParagraph"/>
        <w:numPr>
          <w:ilvl w:val="0"/>
          <w:numId w:val="2"/>
        </w:numPr>
        <w:spacing w:after="100"/>
      </w:pPr>
      <w:r>
        <w:rPr>
          <w:rFonts w:ascii="Arial" w:cs="Arial" w:eastAsia="Arial" w:hAnsi="Arial"/>
          <w:sz w:val="22"/>
          <w:szCs w:val="22"/>
        </w:rPr>
        <w:t xml:space="preserve">ln(Distance) = −1.57*  — negative and significant, classic gravity result</w:t>
      </w:r>
    </w:p>
    <w:p>
      <w:pPr>
        <w:pStyle w:val="ListParagraph"/>
        <w:numPr>
          <w:ilvl w:val="0"/>
          <w:numId w:val="2"/>
        </w:numPr>
        <w:spacing w:after="100"/>
      </w:pPr>
      <w:r>
        <w:rPr>
          <w:rFonts w:ascii="Arial" w:cs="Arial" w:eastAsia="Arial" w:hAnsi="Arial"/>
          <w:sz w:val="22"/>
          <w:szCs w:val="22"/>
        </w:rPr>
        <w:t xml:space="preserve">Common Language = 1.18*** — sharing language triples trade</w:t>
      </w:r>
    </w:p>
    <w:p>
      <w:pPr>
        <w:pStyle w:val="ListParagraph"/>
        <w:numPr>
          <w:ilvl w:val="0"/>
          <w:numId w:val="2"/>
        </w:numPr>
        <w:spacing w:after="100"/>
      </w:pPr>
      <w:r>
        <w:rPr>
          <w:rFonts w:ascii="Arial" w:cs="Arial" w:eastAsia="Arial" w:hAnsi="Arial"/>
          <w:sz w:val="22"/>
          <w:szCs w:val="22"/>
        </w:rPr>
        <w:t xml:space="preserve">ln(GDP ACP) = 0.48*** — larger economies trade more with EU</w:t>
      </w:r>
    </w:p>
    <w:p>
      <w:pPr>
        <w:pStyle w:val="ListParagraph"/>
        <w:numPr>
          <w:ilvl w:val="0"/>
          <w:numId w:val="2"/>
        </w:numPr>
        <w:spacing w:after="100"/>
      </w:pPr>
      <w:r>
        <w:rPr>
          <w:rFonts w:ascii="Arial" w:cs="Arial" w:eastAsia="Arial" w:hAnsi="Arial"/>
          <w:sz w:val="22"/>
          <w:szCs w:val="22"/>
        </w:rPr>
        <w:t xml:space="preserve">EPA = 0.003 (not significant) — EPAs alone do not boost trade</w:t>
      </w:r>
    </w:p>
    <w:p>
      <w:pPr>
        <w:pStyle w:val="ListParagraph"/>
        <w:numPr>
          <w:ilvl w:val="0"/>
          <w:numId w:val="2"/>
        </w:numPr>
        <w:spacing w:after="100"/>
      </w:pPr>
      <w:r>
        <w:rPr>
          <w:rFonts w:ascii="Arial" w:cs="Arial" w:eastAsia="Arial" w:hAnsi="Arial"/>
          <w:sz w:val="22"/>
          <w:szCs w:val="22"/>
        </w:rPr>
        <w:t xml:space="preserve">IT Share = −1.35*** — primary finding, stumbling block effect</w:t>
      </w:r>
    </w:p>
    <w:p>
      <w:pPr>
        <w:pStyle w:val="ListParagraph"/>
        <w:numPr>
          <w:ilvl w:val="0"/>
          <w:numId w:val="2"/>
        </w:numPr>
        <w:spacing w:after="100"/>
      </w:pPr>
      <w:r>
        <w:rPr>
          <w:rFonts w:ascii="Arial" w:cs="Arial" w:eastAsia="Arial" w:hAnsi="Arial"/>
          <w:sz w:val="22"/>
          <w:szCs w:val="22"/>
        </w:rPr>
        <w:t xml:space="preserve">EPA × IT Share = 0.20 (not significant) — positive direction but inconclusive</w:t>
      </w:r>
    </w:p>
    <w:p>
      <w:pPr>
        <w:pBdr>
          <w:bottom w:val="single" w:color="2E75B6" w:sz="6" w:space="1"/>
        </w:pBdr>
        <w:spacing w:after="200"/>
      </w:pPr>
    </w:p>
    <w:p>
      <w:pPr>
        <w:pStyle w:val="Heading1"/>
      </w:pPr>
      <w:r>
        <w:rPr>
          <w:rFonts w:ascii="Arial" w:cs="Arial" w:eastAsia="Arial" w:hAnsi="Arial"/>
          <w:b/>
          <w:bCs/>
          <w:color w:val="1F3864"/>
          <w:sz w:val="32"/>
          <w:szCs w:val="32"/>
        </w:rPr>
        <w:t xml:space="preserve">4. Robustness Checks</w:t>
      </w:r>
    </w:p>
    <w:p>
      <w:pPr>
        <w:pStyle w:val="Heading2"/>
      </w:pPr>
      <w:r>
        <w:rPr>
          <w:rFonts w:ascii="Arial" w:cs="Arial" w:eastAsia="Arial" w:hAnsi="Arial"/>
          <w:b/>
          <w:bCs/>
          <w:color w:val="2E75B6"/>
          <w:sz w:val="26"/>
          <w:szCs w:val="26"/>
        </w:rPr>
        <w:t xml:space="preserve">4.1  Lagged IT Share</w:t>
      </w:r>
    </w:p>
    <w:p>
      <w:pPr>
        <w:spacing w:after="160"/>
      </w:pPr>
      <w:r>
        <w:rPr>
          <w:rFonts w:ascii="Arial" w:cs="Arial" w:eastAsia="Arial" w:hAnsi="Arial"/>
          <w:sz w:val="22"/>
          <w:szCs w:val="22"/>
        </w:rPr>
        <w:t xml:space="preserve">Reverse causality concern: countries that trade less with the EU might mechanically redirect trade regionally, making the causation run the other way. To address this, IT Share was lagged by one year so that last year's regional integration predicts this year's EU trade — time cannot run backwards, ruling out this explanation. Results were virtually identical: IT Share (t-1) = −1.337*** versus −1.347*** in the main spec, and the interaction was 0.205 versus 0.200. The stumbling block finding is not a reverse causality artifact.</w:t>
      </w:r>
    </w:p>
    <w:p>
      <w:pPr>
        <w:pStyle w:val="Heading2"/>
      </w:pPr>
      <w:r>
        <w:rPr>
          <w:rFonts w:ascii="Arial" w:cs="Arial" w:eastAsia="Arial" w:hAnsi="Arial"/>
          <w:b/>
          <w:bCs/>
          <w:color w:val="2E75B6"/>
          <w:sz w:val="26"/>
          <w:szCs w:val="26"/>
        </w:rPr>
        <w:t xml:space="preserve">4.2  Regional Subsamples</w:t>
      </w:r>
    </w:p>
    <w:p>
      <w:pPr>
        <w:spacing w:after="160"/>
      </w:pPr>
      <w:r>
        <w:rPr>
          <w:rFonts w:ascii="Arial" w:cs="Arial" w:eastAsia="Arial" w:hAnsi="Arial"/>
          <w:sz w:val="22"/>
          <w:szCs w:val="22"/>
        </w:rPr>
        <w:t xml:space="preserve">The sample was split into Africa, Caribbean, and Pacific to test whether the result holds uniformly or is driven by one region. The Africa-only coefficient was −1.303***, almost identical to the full sample. Caribbean and Pacific results were statistically noisy — large standard errors, unstable coefficients — because of smaller sample sizes and very different economic contexts. The stumbling block effect is an Africa-specific phenomenon.</w:t>
      </w:r>
    </w:p>
    <w:p>
      <w:pPr>
        <w:pBdr>
          <w:bottom w:val="single" w:color="2E75B6" w:sz="6" w:space="1"/>
        </w:pBdr>
        <w:spacing w:after="200"/>
      </w:pPr>
    </w:p>
    <w:p>
      <w:pPr>
        <w:pStyle w:val="Heading1"/>
      </w:pPr>
      <w:r>
        <w:rPr>
          <w:rFonts w:ascii="Arial" w:cs="Arial" w:eastAsia="Arial" w:hAnsi="Arial"/>
          <w:b/>
          <w:bCs/>
          <w:color w:val="1F3864"/>
          <w:sz w:val="32"/>
          <w:szCs w:val="32"/>
        </w:rPr>
        <w:t xml:space="preserve">5. REC-Level Heterogeneity</w:t>
      </w:r>
    </w:p>
    <w:p>
      <w:pPr>
        <w:pStyle w:val="Heading2"/>
      </w:pPr>
      <w:r>
        <w:rPr>
          <w:rFonts w:ascii="Arial" w:cs="Arial" w:eastAsia="Arial" w:hAnsi="Arial"/>
          <w:b/>
          <w:bCs/>
          <w:color w:val="2E75B6"/>
          <w:sz w:val="26"/>
          <w:szCs w:val="26"/>
        </w:rPr>
        <w:t xml:space="preserve">5.1  Why REC Rather Than Continent</w:t>
      </w:r>
    </w:p>
    <w:p>
      <w:pPr>
        <w:spacing w:after="160"/>
      </w:pPr>
      <w:r>
        <w:rPr>
          <w:rFonts w:ascii="Arial" w:cs="Arial" w:eastAsia="Arial" w:hAnsi="Arial"/>
          <w:sz w:val="22"/>
          <w:szCs w:val="22"/>
        </w:rPr>
        <w:t xml:space="preserve">The broad Africa/Caribbean/Pacific breakdown obscures important variation within ACP regions. Different RECs operate at different levels of institutional depth, have different hegemon dynamics (Standaert), and have fundamentally different relationships with EU trade. Breaking down by specific REC reveals which integration arrangements are associated with stumbling block effects and which are not — a much more precise and actionable finding.</w:t>
      </w:r>
    </w:p>
    <w:p>
      <w:pPr>
        <w:pStyle w:val="Heading2"/>
      </w:pPr>
      <w:r>
        <w:rPr>
          <w:rFonts w:ascii="Arial" w:cs="Arial" w:eastAsia="Arial" w:hAnsi="Arial"/>
          <w:b/>
          <w:bCs/>
          <w:color w:val="2E75B6"/>
          <w:sz w:val="26"/>
          <w:szCs w:val="26"/>
        </w:rPr>
        <w:t xml:space="preserve">5.2  RECs in the ACP Dataset</w:t>
      </w:r>
    </w:p>
    <w:p>
      <w:pPr>
        <w:spacing w:after="160"/>
      </w:pPr>
      <w:r>
        <w:rPr>
          <w:rFonts w:ascii="Arial" w:cs="Arial" w:eastAsia="Arial" w:hAnsi="Arial"/>
          <w:sz w:val="22"/>
          <w:szCs w:val="22"/>
        </w:rPr>
        <w:t xml:space="preserve">The panel contains nine RECs covering all 77 ACP countries with REC assignments. The following seven have sufficient observations for reliable analysis (25+ country-years):</w:t>
      </w:r>
    </w:p>
    <w:p>
      <w:pPr>
        <w:pStyle w:val="ListParagraph"/>
        <w:numPr>
          <w:ilvl w:val="0"/>
          <w:numId w:val="2"/>
        </w:numPr>
        <w:spacing w:after="100"/>
      </w:pPr>
      <w:r>
        <w:rPr>
          <w:rFonts w:ascii="Arial" w:cs="Arial" w:eastAsia="Arial" w:hAnsi="Arial"/>
          <w:sz w:val="22"/>
          <w:szCs w:val="22"/>
        </w:rPr>
        <w:t xml:space="preserve">ECOWAS — 375 country-years, 15 West African countries</w:t>
      </w:r>
    </w:p>
    <w:p>
      <w:pPr>
        <w:pStyle w:val="ListParagraph"/>
        <w:numPr>
          <w:ilvl w:val="0"/>
          <w:numId w:val="2"/>
        </w:numPr>
        <w:spacing w:after="100"/>
      </w:pPr>
      <w:r>
        <w:rPr>
          <w:rFonts w:ascii="Arial" w:cs="Arial" w:eastAsia="Arial" w:hAnsi="Arial"/>
          <w:sz w:val="22"/>
          <w:szCs w:val="22"/>
        </w:rPr>
        <w:t xml:space="preserve">PIF (Pacific Islands Forum) — 375 country-years, 15 Pacific states</w:t>
      </w:r>
    </w:p>
    <w:p>
      <w:pPr>
        <w:pStyle w:val="ListParagraph"/>
        <w:numPr>
          <w:ilvl w:val="0"/>
          <w:numId w:val="2"/>
        </w:numPr>
        <w:spacing w:after="100"/>
      </w:pPr>
      <w:r>
        <w:rPr>
          <w:rFonts w:ascii="Arial" w:cs="Arial" w:eastAsia="Arial" w:hAnsi="Arial"/>
          <w:sz w:val="22"/>
          <w:szCs w:val="22"/>
        </w:rPr>
        <w:t xml:space="preserve">CARICOM — 350 country-years, 14 Caribbean states</w:t>
      </w:r>
    </w:p>
    <w:p>
      <w:pPr>
        <w:pStyle w:val="ListParagraph"/>
        <w:numPr>
          <w:ilvl w:val="0"/>
          <w:numId w:val="2"/>
        </w:numPr>
        <w:spacing w:after="100"/>
      </w:pPr>
      <w:r>
        <w:rPr>
          <w:rFonts w:ascii="Arial" w:cs="Arial" w:eastAsia="Arial" w:hAnsi="Arial"/>
          <w:sz w:val="22"/>
          <w:szCs w:val="22"/>
        </w:rPr>
        <w:t xml:space="preserve">SADC — 300 country-years, 12 Southern African countries</w:t>
      </w:r>
    </w:p>
    <w:p>
      <w:pPr>
        <w:pStyle w:val="ListParagraph"/>
        <w:numPr>
          <w:ilvl w:val="0"/>
          <w:numId w:val="2"/>
        </w:numPr>
        <w:spacing w:after="100"/>
      </w:pPr>
      <w:r>
        <w:rPr>
          <w:rFonts w:ascii="Arial" w:cs="Arial" w:eastAsia="Arial" w:hAnsi="Arial"/>
          <w:sz w:val="22"/>
          <w:szCs w:val="22"/>
        </w:rPr>
        <w:t xml:space="preserve">CEMAC — 175 country-years, 7 Central African countries</w:t>
      </w:r>
    </w:p>
    <w:p>
      <w:pPr>
        <w:pStyle w:val="ListParagraph"/>
        <w:numPr>
          <w:ilvl w:val="0"/>
          <w:numId w:val="2"/>
        </w:numPr>
        <w:spacing w:after="100"/>
      </w:pPr>
      <w:r>
        <w:rPr>
          <w:rFonts w:ascii="Arial" w:cs="Arial" w:eastAsia="Arial" w:hAnsi="Arial"/>
          <w:sz w:val="22"/>
          <w:szCs w:val="22"/>
        </w:rPr>
        <w:t xml:space="preserve">COMESA — 150 country-years, 6 Eastern/Southern African countries</w:t>
      </w:r>
    </w:p>
    <w:p>
      <w:pPr>
        <w:pStyle w:val="ListParagraph"/>
        <w:numPr>
          <w:ilvl w:val="0"/>
          <w:numId w:val="2"/>
        </w:numPr>
        <w:spacing w:after="100"/>
      </w:pPr>
      <w:r>
        <w:rPr>
          <w:rFonts w:ascii="Arial" w:cs="Arial" w:eastAsia="Arial" w:hAnsi="Arial"/>
          <w:sz w:val="22"/>
          <w:szCs w:val="22"/>
        </w:rPr>
        <w:t xml:space="preserve">EAC — 100 country-years, 4 East African countries</w:t>
      </w:r>
    </w:p>
    <w:p>
      <w:pPr>
        <w:spacing w:after="160"/>
      </w:pPr>
      <w:r>
        <w:rPr>
          <w:rFonts w:ascii="Arial" w:cs="Arial" w:eastAsia="Arial" w:hAnsi="Arial"/>
          <w:sz w:val="22"/>
          <w:szCs w:val="22"/>
        </w:rPr>
        <w:t xml:space="preserve">CARIFORUM (50) and IGAD (25) are too thin for reliable inference and are excluded from the REC-level scatter. Mauritania (MRT) has no REC assignment — it left ECOWAS in 2000 and has no active trade REC membership.</w:t>
      </w:r>
    </w:p>
    <w:p>
      <w:pPr>
        <w:pStyle w:val="Heading2"/>
      </w:pPr>
      <w:r>
        <w:rPr>
          <w:rFonts w:ascii="Arial" w:cs="Arial" w:eastAsia="Arial" w:hAnsi="Arial"/>
          <w:b/>
          <w:bCs/>
          <w:color w:val="2E75B6"/>
          <w:sz w:val="26"/>
          <w:szCs w:val="26"/>
        </w:rPr>
        <w:t xml:space="preserve">5.3  REC-Level Scatter Plot Findings</w:t>
      </w:r>
    </w:p>
    <w:p>
      <w:pPr>
        <w:spacing w:after="160"/>
      </w:pPr>
      <w:r>
        <w:rPr>
          <w:rFonts w:ascii="Arial" w:cs="Arial" w:eastAsia="Arial" w:hAnsi="Arial"/>
          <w:sz w:val="22"/>
          <w:szCs w:val="22"/>
        </w:rPr>
        <w:t xml:space="preserve">The faceted scatter plot (rec_level_scatter.png) shows the relationship between mean intra-REC trade share and mean EU–ACP bilateral trade for each REC across 2000–2024. Each point is a REC-year average. The slope in each panel indicates the direction of the relationship.</w:t>
      </w:r>
    </w:p>
    <w:p>
      <w:pPr>
        <w:pStyle w:val="Heading3"/>
      </w:pPr>
      <w:r>
        <w:rPr>
          <w:rFonts w:ascii="Arial" w:cs="Arial" w:eastAsia="Arial" w:hAnsi="Arial"/>
          <w:b/>
          <w:bCs/>
          <w:sz w:val="24"/>
          <w:szCs w:val="24"/>
        </w:rPr>
        <w:t xml:space="preserve">Stumbling Block RECs (negative slope):</w:t>
      </w:r>
    </w:p>
    <w:p>
      <w:pPr>
        <w:pStyle w:val="ListParagraph"/>
        <w:numPr>
          <w:ilvl w:val="0"/>
          <w:numId w:val="2"/>
        </w:numPr>
        <w:spacing w:after="100"/>
      </w:pPr>
      <w:r>
        <w:rPr>
          <w:rFonts w:ascii="Arial" w:cs="Arial" w:eastAsia="Arial" w:hAnsi="Arial"/>
          <w:sz w:val="22"/>
          <w:szCs w:val="22"/>
        </w:rPr>
        <w:t xml:space="preserve">ECOWAS — clearest and steepest negative slope. Nigeria's dominance pulls intra-regional trade numbers up while Nigeria itself is less EU-oriented than smaller ECOWAS members. Classic hegemon dynamic from Standaert.</w:t>
      </w:r>
    </w:p>
    <w:p>
      <w:pPr>
        <w:pStyle w:val="ListParagraph"/>
        <w:numPr>
          <w:ilvl w:val="0"/>
          <w:numId w:val="2"/>
        </w:numPr>
        <w:spacing w:after="100"/>
      </w:pPr>
      <w:r>
        <w:rPr>
          <w:rFonts w:ascii="Arial" w:cs="Arial" w:eastAsia="Arial" w:hAnsi="Arial"/>
          <w:sz w:val="22"/>
          <w:szCs w:val="22"/>
        </w:rPr>
        <w:t xml:space="preserve">SADC — clearly negative despite having the highest IT Share of any REC in the sample. Southern Africa trades heavily internally but this comes at the cost of EU trade intensity.</w:t>
      </w:r>
    </w:p>
    <w:p>
      <w:pPr>
        <w:pStyle w:val="ListParagraph"/>
        <w:numPr>
          <w:ilvl w:val="0"/>
          <w:numId w:val="2"/>
        </w:numPr>
        <w:spacing w:after="100"/>
      </w:pPr>
      <w:r>
        <w:rPr>
          <w:rFonts w:ascii="Arial" w:cs="Arial" w:eastAsia="Arial" w:hAnsi="Arial"/>
          <w:sz w:val="22"/>
          <w:szCs w:val="22"/>
        </w:rPr>
        <w:t xml:space="preserve">EAC — negative slope. Despite being considered the most operationally functional African REC, deeper EAC integration still appears to divert from EU trade.</w:t>
      </w:r>
    </w:p>
    <w:p>
      <w:pPr>
        <w:pStyle w:val="ListParagraph"/>
        <w:numPr>
          <w:ilvl w:val="0"/>
          <w:numId w:val="2"/>
        </w:numPr>
        <w:spacing w:after="100"/>
      </w:pPr>
      <w:r>
        <w:rPr>
          <w:rFonts w:ascii="Arial" w:cs="Arial" w:eastAsia="Arial" w:hAnsi="Arial"/>
          <w:sz w:val="22"/>
          <w:szCs w:val="22"/>
        </w:rPr>
        <w:t xml:space="preserve">COMESA — negative slope, consistent with broader African pattern.</w:t>
      </w:r>
    </w:p>
    <w:p>
      <w:pPr>
        <w:pStyle w:val="Heading3"/>
      </w:pPr>
      <w:r>
        <w:rPr>
          <w:rFonts w:ascii="Arial" w:cs="Arial" w:eastAsia="Arial" w:hAnsi="Arial"/>
          <w:b/>
          <w:bCs/>
          <w:sz w:val="24"/>
          <w:szCs w:val="24"/>
        </w:rPr>
        <w:t xml:space="preserve">Building Block RECs (positive slope):</w:t>
      </w:r>
    </w:p>
    <w:p>
      <w:pPr>
        <w:pStyle w:val="ListParagraph"/>
        <w:numPr>
          <w:ilvl w:val="0"/>
          <w:numId w:val="2"/>
        </w:numPr>
        <w:spacing w:after="100"/>
      </w:pPr>
      <w:r>
        <w:rPr>
          <w:rFonts w:ascii="Arial" w:cs="Arial" w:eastAsia="Arial" w:hAnsi="Arial"/>
          <w:sz w:val="22"/>
          <w:szCs w:val="22"/>
        </w:rPr>
        <w:t xml:space="preserve">CEMAC — positive slope. CEMAC is a monetary union with the CFA franc, meaning integration is financial as much as trade-based. The institutional coherence of the franc zone may facilitate external trade rather than diverting it — a different channel than trade-based integration.</w:t>
      </w:r>
    </w:p>
    <w:p>
      <w:pPr>
        <w:pStyle w:val="ListParagraph"/>
        <w:numPr>
          <w:ilvl w:val="0"/>
          <w:numId w:val="2"/>
        </w:numPr>
        <w:spacing w:after="100"/>
      </w:pPr>
      <w:r>
        <w:rPr>
          <w:rFonts w:ascii="Arial" w:cs="Arial" w:eastAsia="Arial" w:hAnsi="Arial"/>
          <w:sz w:val="22"/>
          <w:szCs w:val="22"/>
        </w:rPr>
        <w:t xml:space="preserve">PIF — positive slope. Pacific island states with stronger regional ties also tend to have better institutional capacity to engage with external partners including the EU.</w:t>
      </w:r>
    </w:p>
    <w:p>
      <w:pPr>
        <w:pStyle w:val="Heading3"/>
      </w:pPr>
      <w:r>
        <w:rPr>
          <w:rFonts w:ascii="Arial" w:cs="Arial" w:eastAsia="Arial" w:hAnsi="Arial"/>
          <w:b/>
          <w:bCs/>
          <w:sz w:val="24"/>
          <w:szCs w:val="24"/>
        </w:rPr>
        <w:t xml:space="preserve">Flat / No Clear Relationship:</w:t>
      </w:r>
    </w:p>
    <w:p>
      <w:pPr>
        <w:pStyle w:val="ListParagraph"/>
        <w:numPr>
          <w:ilvl w:val="0"/>
          <w:numId w:val="2"/>
        </w:numPr>
        <w:spacing w:after="100"/>
      </w:pPr>
      <w:r>
        <w:rPr>
          <w:rFonts w:ascii="Arial" w:cs="Arial" w:eastAsia="Arial" w:hAnsi="Arial"/>
          <w:sz w:val="22"/>
          <w:szCs w:val="22"/>
        </w:rPr>
        <w:t xml:space="preserve">CARICOM — essentially flat with very slight positive. The most institutionally advanced ACP REC (CSME Common Market status), but the Caribbean's EU trade is already so deeply shaped by the CARIFORUM EPA and colonial ties that regional integration depth does not move the needle either direction.</w:t>
      </w:r>
    </w:p>
    <w:p>
      <w:pPr>
        <w:pStyle w:val="Heading2"/>
      </w:pPr>
      <w:r>
        <w:rPr>
          <w:rFonts w:ascii="Arial" w:cs="Arial" w:eastAsia="Arial" w:hAnsi="Arial"/>
          <w:b/>
          <w:bCs/>
          <w:color w:val="2E75B6"/>
          <w:sz w:val="26"/>
          <w:szCs w:val="26"/>
        </w:rPr>
        <w:t xml:space="preserve">5.4  Theoretical Interpretation</w:t>
      </w:r>
    </w:p>
    <w:p>
      <w:pPr>
        <w:spacing w:after="160"/>
      </w:pPr>
      <w:r>
        <w:rPr>
          <w:rFonts w:ascii="Arial" w:cs="Arial" w:eastAsia="Arial" w:hAnsi="Arial"/>
          <w:sz w:val="22"/>
          <w:szCs w:val="22"/>
        </w:rPr>
        <w:t xml:space="preserve">The CEMAC result is the most theoretically interesting divergence. The UNU-CRIS (2009) framework distinguishes between trade integration, financial integration, FDI integration, and people-to-people exchange as separate dimensions of regional openness. CEMAC's integration is primarily monetary/financial rather than trade-based. The stumbling block mechanism identified by Standaert operates through trade diversion — it requires that intra-regional trade actually substitutes for external trade. In CEMAC, the CFA franc provides a different type of integration that apparently does not trigger the same diversion dynamic.</w:t>
      </w:r>
    </w:p>
    <w:p>
      <w:pPr>
        <w:spacing w:after="160"/>
      </w:pPr>
      <w:r>
        <w:rPr>
          <w:rFonts w:ascii="Arial" w:cs="Arial" w:eastAsia="Arial" w:hAnsi="Arial"/>
          <w:sz w:val="22"/>
          <w:szCs w:val="22"/>
        </w:rPr>
        <w:t xml:space="preserve">This suggests the building block vs stumbling block outcome may depend on the type of integration, not just its depth — a nuance worth addressing in the paper's discussion section.</w:t>
      </w:r>
    </w:p>
    <w:p>
      <w:pPr>
        <w:pBdr>
          <w:bottom w:val="single" w:color="2E75B6" w:sz="6" w:space="1"/>
        </w:pBdr>
        <w:spacing w:after="200"/>
      </w:pPr>
    </w:p>
    <w:p>
      <w:pPr>
        <w:pStyle w:val="Heading1"/>
      </w:pPr>
      <w:r>
        <w:rPr>
          <w:rFonts w:ascii="Arial" w:cs="Arial" w:eastAsia="Arial" w:hAnsi="Arial"/>
          <w:b/>
          <w:bCs/>
          <w:color w:val="1F3864"/>
          <w:sz w:val="32"/>
          <w:szCs w:val="32"/>
        </w:rPr>
        <w:t xml:space="preserve">6. Files Produced</w:t>
      </w:r>
    </w:p>
    <w:p>
      <w:pPr>
        <w:pStyle w:val="ListParagraph"/>
        <w:numPr>
          <w:ilvl w:val="0"/>
          <w:numId w:val="2"/>
        </w:numPr>
        <w:spacing w:after="100"/>
      </w:pPr>
      <w:r>
        <w:rPr>
          <w:rFonts w:ascii="Arial" w:cs="Arial" w:eastAsia="Arial" w:hAnsi="Arial"/>
          <w:sz w:val="22"/>
          <w:szCs w:val="22"/>
        </w:rPr>
        <w:t xml:space="preserve">REC_Depth_Index_Coding.xlsx — Three-tab workbook: methodology (Baier/Standaert/UNU-CRIS grounding), ACP country coding (all 79 countries with REC assignments, EPA dates, overlap notes), gravity model spec with R code. Role in paper: appendix or robustness check.</w:t>
      </w:r>
    </w:p>
    <w:p>
      <w:pPr>
        <w:pStyle w:val="ListParagraph"/>
        <w:numPr>
          <w:ilvl w:val="0"/>
          <w:numId w:val="2"/>
        </w:numPr>
        <w:spacing w:after="100"/>
      </w:pPr>
      <w:r>
        <w:rPr>
          <w:rFonts w:ascii="Arial" w:cs="Arial" w:eastAsia="Arial" w:hAnsi="Arial"/>
          <w:sz w:val="22"/>
          <w:szCs w:val="22"/>
        </w:rPr>
        <w:t xml:space="preserve">01_build_panel.R — Full data pipeline from raw BACI/CEPII/EPA sources to final panel RDS. Run once; produces eu_acp_panel.rds.</w:t>
      </w:r>
    </w:p>
    <w:p>
      <w:pPr>
        <w:pStyle w:val="ListParagraph"/>
        <w:numPr>
          <w:ilvl w:val="0"/>
          <w:numId w:val="2"/>
        </w:numPr>
        <w:spacing w:after="100"/>
      </w:pPr>
      <w:r>
        <w:rPr>
          <w:rFonts w:ascii="Arial" w:cs="Arial" w:eastAsia="Arial" w:hAnsi="Arial"/>
          <w:sz w:val="22"/>
          <w:szCs w:val="22"/>
        </w:rPr>
        <w:t xml:space="preserve">02_estimate_gravity.R — Estimation script. Loads panel, runs all five models, robustness checks, and produces all figures. Rerun whenever specification changes.</w:t>
      </w:r>
    </w:p>
    <w:p>
      <w:pPr>
        <w:pStyle w:val="ListParagraph"/>
        <w:numPr>
          <w:ilvl w:val="0"/>
          <w:numId w:val="2"/>
        </w:numPr>
        <w:spacing w:after="100"/>
      </w:pPr>
      <w:r>
        <w:rPr>
          <w:rFonts w:ascii="Arial" w:cs="Arial" w:eastAsia="Arial" w:hAnsi="Arial"/>
          <w:sz w:val="22"/>
          <w:szCs w:val="22"/>
        </w:rPr>
        <w:t xml:space="preserve">eu_acp_panel.rds — Final merged panel dataset. ~42,000 observations, EU member × ACP country × year, 2000–2024. Back this file up.</w:t>
      </w:r>
    </w:p>
    <w:p>
      <w:pPr>
        <w:pStyle w:val="ListParagraph"/>
        <w:numPr>
          <w:ilvl w:val="0"/>
          <w:numId w:val="2"/>
        </w:numPr>
        <w:spacing w:after="100"/>
      </w:pPr>
      <w:r>
        <w:rPr>
          <w:rFonts w:ascii="Arial" w:cs="Arial" w:eastAsia="Arial" w:hAnsi="Arial"/>
          <w:sz w:val="22"/>
          <w:szCs w:val="22"/>
        </w:rPr>
        <w:t xml:space="preserve">it_share_distribution.png — Histogram of IT Share by REC showing distribution of regional openness scores across country-years.</w:t>
      </w:r>
    </w:p>
    <w:p>
      <w:pPr>
        <w:pStyle w:val="ListParagraph"/>
        <w:numPr>
          <w:ilvl w:val="0"/>
          <w:numId w:val="2"/>
        </w:numPr>
        <w:spacing w:after="100"/>
      </w:pPr>
      <w:r>
        <w:rPr>
          <w:rFonts w:ascii="Arial" w:cs="Arial" w:eastAsia="Arial" w:hAnsi="Arial"/>
          <w:sz w:val="22"/>
          <w:szCs w:val="22"/>
        </w:rPr>
        <w:t xml:space="preserve">it_share_time_series.png — Line plot of mean IT Share 2000–2024 for ECOWAS, SADC, EAC, CARICOM, CEMAC. SADC consistently highest, CEMAC lowest.</w:t>
      </w:r>
    </w:p>
    <w:p>
      <w:pPr>
        <w:pStyle w:val="ListParagraph"/>
        <w:numPr>
          <w:ilvl w:val="0"/>
          <w:numId w:val="2"/>
        </w:numPr>
        <w:spacing w:after="100"/>
      </w:pPr>
      <w:r>
        <w:rPr>
          <w:rFonts w:ascii="Arial" w:cs="Arial" w:eastAsia="Arial" w:hAnsi="Arial"/>
          <w:sz w:val="22"/>
          <w:szCs w:val="22"/>
        </w:rPr>
        <w:t xml:space="preserve">marginal_effects_epa.png — Flat line (reflects collinearity issue in first spec; rerun with corrected model if needed for paper).</w:t>
      </w:r>
    </w:p>
    <w:p>
      <w:pPr>
        <w:pStyle w:val="ListParagraph"/>
        <w:numPr>
          <w:ilvl w:val="0"/>
          <w:numId w:val="2"/>
        </w:numPr>
        <w:spacing w:after="100"/>
      </w:pPr>
      <w:r>
        <w:rPr>
          <w:rFonts w:ascii="Arial" w:cs="Arial" w:eastAsia="Arial" w:hAnsi="Arial"/>
          <w:sz w:val="22"/>
          <w:szCs w:val="22"/>
        </w:rPr>
        <w:t xml:space="preserve">stumbling_block_scatter.png — Broad regional scatter (Africa/Caribbean/Pacific). Africa shows clear negative slope.</w:t>
      </w:r>
    </w:p>
    <w:p>
      <w:pPr>
        <w:pStyle w:val="ListParagraph"/>
        <w:numPr>
          <w:ilvl w:val="0"/>
          <w:numId w:val="2"/>
        </w:numPr>
        <w:spacing w:after="100"/>
      </w:pPr>
      <w:r>
        <w:rPr>
          <w:rFonts w:ascii="Arial" w:cs="Arial" w:eastAsia="Arial" w:hAnsi="Arial"/>
          <w:sz w:val="22"/>
          <w:szCs w:val="22"/>
        </w:rPr>
        <w:t xml:space="preserve">rec_level_scatter.png — REC-level faceted scatter, the main descriptive figure. Shows stumbling block for ECOWAS/SADC/EAC/COMESA, building block for CEMAC/PIF, flat for CARICOM.</w:t>
      </w:r>
    </w:p>
    <w:p>
      <w:pPr>
        <w:pBdr>
          <w:bottom w:val="single" w:color="2E75B6" w:sz="6" w:space="1"/>
        </w:pBdr>
        <w:spacing w:after="200"/>
      </w:pPr>
    </w:p>
    <w:p>
      <w:pPr>
        <w:pStyle w:val="Heading1"/>
      </w:pPr>
      <w:r>
        <w:rPr>
          <w:rFonts w:ascii="Arial" w:cs="Arial" w:eastAsia="Arial" w:hAnsi="Arial"/>
          <w:b/>
          <w:bCs/>
          <w:color w:val="1F3864"/>
          <w:sz w:val="32"/>
          <w:szCs w:val="32"/>
        </w:rPr>
        <w:t xml:space="preserve">7. Next Steps</w:t>
      </w:r>
    </w:p>
    <w:p>
      <w:pPr>
        <w:pStyle w:val="Heading2"/>
      </w:pPr>
      <w:r>
        <w:rPr>
          <w:rFonts w:ascii="Arial" w:cs="Arial" w:eastAsia="Arial" w:hAnsi="Arial"/>
          <w:b/>
          <w:bCs/>
          <w:color w:val="2E75B6"/>
          <w:sz w:val="26"/>
          <w:szCs w:val="26"/>
        </w:rPr>
        <w:t xml:space="preserve">7.1  Writeup — Empirical Section</w:t>
      </w:r>
    </w:p>
    <w:p>
      <w:pPr>
        <w:spacing w:after="160"/>
      </w:pPr>
      <w:r>
        <w:rPr>
          <w:rFonts w:ascii="Arial" w:cs="Arial" w:eastAsia="Arial" w:hAnsi="Arial"/>
          <w:sz w:val="22"/>
          <w:szCs w:val="22"/>
        </w:rPr>
        <w:t xml:space="preserve">The data work is complete. The paper's empirical section structure:</w:t>
      </w:r>
    </w:p>
    <w:p>
      <w:pPr>
        <w:pStyle w:val="ListParagraph"/>
        <w:numPr>
          <w:ilvl w:val="0"/>
          <w:numId w:val="2"/>
        </w:numPr>
        <w:spacing w:after="100"/>
      </w:pPr>
      <w:r>
        <w:rPr>
          <w:rFonts w:ascii="Arial" w:cs="Arial" w:eastAsia="Arial" w:hAnsi="Arial"/>
          <w:sz w:val="22"/>
          <w:szCs w:val="22"/>
        </w:rPr>
        <w:t xml:space="preserve">Data section: BACI source, IT Share construction formula, panel structure (observations, years, dyads, zero-trade share)</w:t>
      </w:r>
    </w:p>
    <w:p>
      <w:pPr>
        <w:pStyle w:val="ListParagraph"/>
        <w:numPr>
          <w:ilvl w:val="0"/>
          <w:numId w:val="2"/>
        </w:numPr>
        <w:spacing w:after="100"/>
      </w:pPr>
      <w:r>
        <w:rPr>
          <w:rFonts w:ascii="Arial" w:cs="Arial" w:eastAsia="Arial" w:hAnsi="Arial"/>
          <w:sz w:val="22"/>
          <w:szCs w:val="22"/>
        </w:rPr>
        <w:t xml:space="preserve">Methodology section: PPML gravity framework, FE choice rationale (following Baier et al. 2019), clustering strategy</w:t>
      </w:r>
    </w:p>
    <w:p>
      <w:pPr>
        <w:pStyle w:val="ListParagraph"/>
        <w:numPr>
          <w:ilvl w:val="0"/>
          <w:numId w:val="2"/>
        </w:numPr>
        <w:spacing w:after="100"/>
      </w:pPr>
      <w:r>
        <w:rPr>
          <w:rFonts w:ascii="Arial" w:cs="Arial" w:eastAsia="Arial" w:hAnsi="Arial"/>
          <w:sz w:val="22"/>
          <w:szCs w:val="22"/>
        </w:rPr>
        <w:t xml:space="preserve">Results section: main table (M1–M5), walk through each coefficient, focus on IT Share and interaction</w:t>
      </w:r>
    </w:p>
    <w:p>
      <w:pPr>
        <w:pStyle w:val="ListParagraph"/>
        <w:numPr>
          <w:ilvl w:val="0"/>
          <w:numId w:val="2"/>
        </w:numPr>
        <w:spacing w:after="100"/>
      </w:pPr>
      <w:r>
        <w:rPr>
          <w:rFonts w:ascii="Arial" w:cs="Arial" w:eastAsia="Arial" w:hAnsi="Arial"/>
          <w:sz w:val="22"/>
          <w:szCs w:val="22"/>
        </w:rPr>
        <w:t xml:space="preserve">Robustness section: lagged IT Share (rules out reverse causality), regional subsamples</w:t>
      </w:r>
    </w:p>
    <w:p>
      <w:pPr>
        <w:pStyle w:val="ListParagraph"/>
        <w:numPr>
          <w:ilvl w:val="0"/>
          <w:numId w:val="2"/>
        </w:numPr>
        <w:spacing w:after="100"/>
      </w:pPr>
      <w:r>
        <w:rPr>
          <w:rFonts w:ascii="Arial" w:cs="Arial" w:eastAsia="Arial" w:hAnsi="Arial"/>
          <w:sz w:val="22"/>
          <w:szCs w:val="22"/>
        </w:rPr>
        <w:t xml:space="preserve">Heterogeneity section: REC-level scatter, CEMAC/PIF divergence, theoretical interpretation via UNU-CRIS trade vs financial integration distinction</w:t>
      </w:r>
    </w:p>
    <w:p>
      <w:pPr>
        <w:pStyle w:val="ListParagraph"/>
        <w:numPr>
          <w:ilvl w:val="0"/>
          <w:numId w:val="2"/>
        </w:numPr>
        <w:spacing w:after="100"/>
      </w:pPr>
      <w:r>
        <w:rPr>
          <w:rFonts w:ascii="Arial" w:cs="Arial" w:eastAsia="Arial" w:hAnsi="Arial"/>
          <w:sz w:val="22"/>
          <w:szCs w:val="22"/>
        </w:rPr>
        <w:t xml:space="preserve">Discussion: building block vs stumbling block framing, implications for EU development policy toward ACP partners</w:t>
      </w:r>
    </w:p>
    <w:p>
      <w:pPr>
        <w:pStyle w:val="Heading2"/>
      </w:pPr>
      <w:r>
        <w:rPr>
          <w:rFonts w:ascii="Arial" w:cs="Arial" w:eastAsia="Arial" w:hAnsi="Arial"/>
          <w:b/>
          <w:bCs/>
          <w:color w:val="2E75B6"/>
          <w:sz w:val="26"/>
          <w:szCs w:val="26"/>
        </w:rPr>
        <w:t xml:space="preserve">7.2  Framing</w:t>
      </w:r>
    </w:p>
    <w:p>
      <w:pPr>
        <w:spacing w:after="160"/>
      </w:pPr>
      <w:r>
        <w:rPr>
          <w:rFonts w:ascii="Arial" w:cs="Arial" w:eastAsia="Arial" w:hAnsi="Arial"/>
          <w:sz w:val="22"/>
          <w:szCs w:val="22"/>
        </w:rPr>
        <w:t xml:space="preserve">The paper's contribution should be framed as: the first study to test the building block vs stumbling block hypothesis in the EU-ACP context using a continuous de facto integration measure (IT Share) rather than binary dummies, finding stumbling block effects concentrated in African RECs with trade-based integration (ECOWAS, SADC, EAC, COMESA) and building block patterns in RECs with monetary/financial integration (CEMAC) or small island contexts (PIF).</w:t>
      </w:r>
    </w:p>
    <w:p>
      <w:pPr>
        <w:pStyle w:val="Heading2"/>
      </w:pPr>
      <w:r>
        <w:rPr>
          <w:rFonts w:ascii="Arial" w:cs="Arial" w:eastAsia="Arial" w:hAnsi="Arial"/>
          <w:b/>
          <w:bCs/>
          <w:color w:val="2E75B6"/>
          <w:sz w:val="26"/>
          <w:szCs w:val="26"/>
        </w:rPr>
        <w:t xml:space="preserve">7.3  REC Coding Sheet</w:t>
      </w:r>
    </w:p>
    <w:p>
      <w:pPr>
        <w:spacing w:after="160"/>
      </w:pPr>
      <w:r>
        <w:rPr>
          <w:rFonts w:ascii="Arial" w:cs="Arial" w:eastAsia="Arial" w:hAnsi="Arial"/>
          <w:sz w:val="22"/>
          <w:szCs w:val="22"/>
        </w:rPr>
        <w:t xml:space="preserve">The REC_Depth_Index_Coding.xlsx becomes an appendix documenting how a de jure depth index would have been operationalised. Briefly note in the paper that the qualitative ordering from that index is consistent with the IT Share rankings the data produces — this validates both approaches and shows the data-driven measure captures genuine institutional variation.</w:t>
      </w:r>
    </w:p>
    <w:p>
      <w:pPr>
        <w:pStyle w:val="Heading2"/>
      </w:pPr>
      <w:r>
        <w:rPr>
          <w:rFonts w:ascii="Arial" w:cs="Arial" w:eastAsia="Arial" w:hAnsi="Arial"/>
          <w:b/>
          <w:bCs/>
          <w:color w:val="2E75B6"/>
          <w:sz w:val="26"/>
          <w:szCs w:val="26"/>
        </w:rPr>
        <w:t xml:space="preserve">7.4  Fix Mauritania</w:t>
      </w:r>
    </w:p>
    <w:p>
      <w:pPr>
        <w:spacing w:after="160"/>
      </w:pPr>
      <w:r>
        <w:rPr>
          <w:rFonts w:ascii="Arial" w:cs="Arial" w:eastAsia="Arial" w:hAnsi="Arial"/>
          <w:sz w:val="22"/>
          <w:szCs w:val="22"/>
        </w:rPr>
        <w:t xml:space="preserve">MRT has no REC assignment (left ECOWAS 2000). Either assign it a score of 0 and exclude from IT Share analysis, or drop it from the panel entirely. Document the decision.</w:t>
      </w:r>
    </w:p>
    <w:p>
      <w:pPr>
        <w:pBdr>
          <w:bottom w:val="single" w:color="2E75B6" w:sz="6" w:space="1"/>
        </w:pBdr>
        <w:spacing w:after="200"/>
      </w:pPr>
    </w:p>
    <w:p>
      <w:pPr>
        <w:pStyle w:val="Heading1"/>
      </w:pPr>
      <w:r>
        <w:rPr>
          <w:rFonts w:ascii="Arial" w:cs="Arial" w:eastAsia="Arial" w:hAnsi="Arial"/>
          <w:b/>
          <w:bCs/>
          <w:color w:val="1F3864"/>
          <w:sz w:val="32"/>
          <w:szCs w:val="32"/>
        </w:rPr>
        <w:t xml:space="preserve">8. Key References</w:t>
      </w:r>
    </w:p>
    <w:p>
      <w:pPr>
        <w:pStyle w:val="ListParagraph"/>
        <w:numPr>
          <w:ilvl w:val="0"/>
          <w:numId w:val="2"/>
        </w:numPr>
        <w:spacing w:after="100"/>
      </w:pPr>
      <w:r>
        <w:rPr>
          <w:rFonts w:ascii="Arial" w:cs="Arial" w:eastAsia="Arial" w:hAnsi="Arial"/>
          <w:sz w:val="22"/>
          <w:szCs w:val="22"/>
        </w:rPr>
        <w:t xml:space="preserve">Standaert, S. (2015). Multilateral trade agreements in Africa. Economics &amp; Politics, 32(1). — African RIA context, stumbling block mechanism, hegemon dynamics, de facto vs de jure divergence.</w:t>
      </w:r>
    </w:p>
    <w:p>
      <w:pPr>
        <w:pStyle w:val="ListParagraph"/>
        <w:numPr>
          <w:ilvl w:val="0"/>
          <w:numId w:val="2"/>
        </w:numPr>
        <w:spacing w:after="100"/>
      </w:pPr>
      <w:r>
        <w:rPr>
          <w:rFonts w:ascii="Arial" w:cs="Arial" w:eastAsia="Arial" w:hAnsi="Arial"/>
          <w:sz w:val="22"/>
          <w:szCs w:val="22"/>
        </w:rPr>
        <w:t xml:space="preserve">Baier, S.L., Bergstrand, J.H. &amp; Feng, M. (2014). Economic integration agreements and the margins of international trade. Journal of International Economics, 93(2): 339–350. — Integration typology (FTA/CU/CM/EU), differential trade effects by agreement type.</w:t>
      </w:r>
    </w:p>
    <w:p>
      <w:pPr>
        <w:pStyle w:val="ListParagraph"/>
        <w:numPr>
          <w:ilvl w:val="0"/>
          <w:numId w:val="2"/>
        </w:numPr>
        <w:spacing w:after="100"/>
      </w:pPr>
      <w:r>
        <w:rPr>
          <w:rFonts w:ascii="Arial" w:cs="Arial" w:eastAsia="Arial" w:hAnsi="Arial"/>
          <w:sz w:val="22"/>
          <w:szCs w:val="22"/>
        </w:rPr>
        <w:t xml:space="preserve">Baier, S.L., Yotov, Y. &amp; Zylkin, T. (2019). On the widely differing effects of free trade agreements. Journal of International Economics, 116: 206–226. — Gravity estimation methodology, FE strategy (exporter-year + importer split) used in this project.</w:t>
      </w:r>
    </w:p>
    <w:p>
      <w:pPr>
        <w:pStyle w:val="ListParagraph"/>
        <w:numPr>
          <w:ilvl w:val="0"/>
          <w:numId w:val="2"/>
        </w:numPr>
        <w:spacing w:after="100"/>
      </w:pPr>
      <w:r>
        <w:rPr>
          <w:rFonts w:ascii="Arial" w:cs="Arial" w:eastAsia="Arial" w:hAnsi="Arial"/>
          <w:sz w:val="22"/>
          <w:szCs w:val="22"/>
        </w:rPr>
        <w:t xml:space="preserve">Frankel, J. &amp; Wei, S-J. (1995). Trading blocs and the Americas. Journal of Development Economics, 47(1): 61–95. — Original building block vs stumbling block framing that this paper directly tests.</w:t>
      </w:r>
    </w:p>
    <w:p>
      <w:pPr>
        <w:pStyle w:val="ListParagraph"/>
        <w:numPr>
          <w:ilvl w:val="0"/>
          <w:numId w:val="2"/>
        </w:numPr>
        <w:spacing w:after="100"/>
      </w:pPr>
      <w:r>
        <w:rPr>
          <w:rFonts w:ascii="Arial" w:cs="Arial" w:eastAsia="Arial" w:hAnsi="Arial"/>
          <w:sz w:val="22"/>
          <w:szCs w:val="22"/>
        </w:rPr>
        <w:t xml:space="preserve">UNU-CRIS (2009). Key indicators of regional economic integration and cooperation. Working Paper W-2009-22. — IT Share and IT Intensity formulas used as main variable.</w:t>
      </w:r>
    </w:p>
    <w:p>
      <w:pPr>
        <w:pStyle w:val="ListParagraph"/>
        <w:numPr>
          <w:ilvl w:val="0"/>
          <w:numId w:val="2"/>
        </w:numPr>
        <w:spacing w:after="100"/>
      </w:pPr>
      <w:r>
        <w:rPr>
          <w:rFonts w:ascii="Arial" w:cs="Arial" w:eastAsia="Arial" w:hAnsi="Arial"/>
          <w:sz w:val="22"/>
          <w:szCs w:val="22"/>
        </w:rPr>
        <w:t xml:space="preserve">Santos Silva, J.M.C. &amp; Tenreyro, S. (2006). The log of gravity. Review of Economics and Statistics, 88(4): 641–658. — Methodological foundation for PPML over OLS in gravity estimation.</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2026-02-19T05:48:00.092Z</dcterms:created>
  <dcterms:modified xsi:type="dcterms:W3CDTF">2026-02-19T05:48:00.093Z</dcterms:modified>
</cp:coreProperties>
</file>

<file path=docProps/custom.xml><?xml version="1.0" encoding="utf-8"?>
<Properties xmlns="http://schemas.openxmlformats.org/officeDocument/2006/custom-properties" xmlns:vt="http://schemas.openxmlformats.org/officeDocument/2006/docPropsVTypes"/>
</file>