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Rule="auto"/>
        <w:rPr>
          <w:b w:val="1"/>
          <w:bCs w:val="1"/>
          <w:sz w:val="46"/>
          <w:szCs w:val="46"/>
        </w:rPr>
      </w:pPr>
      <w:bookmarkStart w:colFirst="0" w:colLast="0" w:name="_b2k56w1xrc7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EVSP DR Current Research</w:t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Updated 12 September 2026, 00:20 EDT. Results below are completed observations; overnight extensions are still running.</w:t>
      </w:r>
    </w:p>
    <w:p w:rsidR="00000000" w:rsidDel="00000000" w:rsidP="00000000" w:rsidRDefault="00000000" w:rsidRPr="00000000" w14:paraId="00000003">
      <w:pPr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finding.</w:t>
      </w:r>
      <w:r w:rsidDel="00000000" w:rsidR="00000000" w:rsidRPr="00000000">
        <w:rPr>
          <w:rtl w:val="0"/>
        </w:rPr>
        <w:t xml:space="preserve"> With set covering and inherited columns, all six chains match the GIRO fleet at k=3–6. Chains 3, 5 and 6 also reach ten buses at k=10. Larger warm-chain cases remain unfinished.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20" w:before="0" w:lineRule="auto"/>
        <w:rPr>
          <w:b w:val="1"/>
          <w:bCs w:val="1"/>
          <w:sz w:val="34"/>
          <w:szCs w:val="34"/>
        </w:rPr>
      </w:pPr>
      <w:bookmarkStart w:colFirst="0" w:colLast="0" w:name="_sz5bcim87j4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Integer fleet with inherited columns</w:t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Each cell is the number of integer bus routes found. Green matches the target. Red requires extra buses. Grey means no completed result.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85"/>
        <w:gridCol w:w="1185"/>
        <w:gridCol w:w="1185"/>
        <w:gridCol w:w="1185"/>
        <w:gridCol w:w="1185"/>
        <w:gridCol w:w="1200"/>
        <w:tblGridChange w:id="0">
          <w:tblGrid>
            <w:gridCol w:w="1740"/>
            <w:gridCol w:w="1185"/>
            <w:gridCol w:w="1185"/>
            <w:gridCol w:w="1185"/>
            <w:gridCol w:w="1185"/>
            <w:gridCol w:w="1185"/>
            <w:gridCol w:w="12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buses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C">
      <w:pPr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k=11–15:</w:t>
      </w:r>
      <w:r w:rsidDel="00000000" w:rsidR="00000000" w:rsidRPr="00000000">
        <w:rPr>
          <w:rtl w:val="0"/>
        </w:rPr>
        <w:t xml:space="preserve"> no completed warm results yet. The overnight extension is queued through k=15 for all six chains.</w:t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k=2 starts from single-trip routes; later sizes reuse validated previous-k columns. Chain 3 k=10 also includes routes from a fresh solver solution. Displayed warm fleet optima are proved within their saved pools. Individual route replay passed; duplicate-trip removal and shared charger capacity are not established by this table.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120" w:before="0" w:lineRule="auto"/>
        <w:rPr>
          <w:b w:val="1"/>
          <w:bCs w:val="1"/>
          <w:sz w:val="34"/>
          <w:szCs w:val="34"/>
        </w:rPr>
      </w:pPr>
      <w:bookmarkStart w:colFirst="0" w:colLast="0" w:name="_ugrsejpbaa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120" w:before="0" w:lineRule="auto"/>
        <w:rPr>
          <w:b w:val="1"/>
          <w:bCs w:val="1"/>
          <w:sz w:val="34"/>
          <w:szCs w:val="34"/>
        </w:rPr>
      </w:pPr>
      <w:bookmarkStart w:colFirst="0" w:colLast="0" w:name="_bt4ww5szjp0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Fresh starts on the same chains</w:t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Each size starts independently. Both tables use covering and 240-kWh batteries with 240-kW charging. Fresh fleet proof status varies by cell.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85"/>
        <w:gridCol w:w="1185"/>
        <w:gridCol w:w="1185"/>
        <w:gridCol w:w="1185"/>
        <w:gridCol w:w="1185"/>
        <w:gridCol w:w="1200"/>
        <w:tblGridChange w:id="0">
          <w:tblGrid>
            <w:gridCol w:w="1740"/>
            <w:gridCol w:w="1185"/>
            <w:gridCol w:w="1185"/>
            <w:gridCol w:w="1185"/>
            <w:gridCol w:w="1185"/>
            <w:gridCol w:w="1185"/>
            <w:gridCol w:w="12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buses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dcf2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4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f9d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7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Inherited columns improve the available integer pool: chain 3 at k=8 improves from a proved nine-bus pool optimum to eight; chain 5 at k=5 improves from a proved six-bus pool optimum to five.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120" w:before="0" w:lineRule="auto"/>
        <w:rPr>
          <w:b w:val="1"/>
          <w:bCs w:val="1"/>
          <w:sz w:val="34"/>
          <w:szCs w:val="34"/>
        </w:rPr>
      </w:pPr>
      <w:bookmarkStart w:colFirst="0" w:colLast="0" w:name="_83pkuwh01p1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limiting progress</w:t>
      </w:r>
    </w:p>
    <w:p w:rsidR="00000000" w:rsidDel="00000000" w:rsidP="00000000" w:rsidRDefault="00000000" w:rsidRPr="00000000" w14:paraId="00000076">
      <w:pPr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Baseline warm runs:</w:t>
      </w:r>
      <w:r w:rsidDel="00000000" w:rsidR="00000000" w:rsidRPr="00000000">
        <w:rPr>
          <w:rtl w:val="0"/>
        </w:rPr>
        <w:t xml:space="preserve"> replaying every inherited route exhausted initialization budgets in chain 1 k=7, chain 2 k=9 and chain 4 k=10. The new treatment replays at most 512 sequences for 15 minutes, then starts ordinary CG. Compare it separately from full-pool inheritance.</w:t>
      </w:r>
    </w:p>
    <w:p w:rsidR="00000000" w:rsidDel="00000000" w:rsidP="00000000" w:rsidRDefault="00000000" w:rsidRPr="00000000" w14:paraId="00000077">
      <w:pPr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 pilot:</w:t>
      </w:r>
      <w:r w:rsidDel="00000000" w:rsidR="00000000" w:rsidRPr="00000000">
        <w:rPr>
          <w:rtl w:val="0"/>
        </w:rPr>
        <w:t xml:space="preserve"> pricing dominates. One k=3 pricing call took 7.15 hours; its LP took 0.006 seconds. CG stopped without a pricing certificate.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230"/>
        <w:gridCol w:w="1845"/>
        <w:gridCol w:w="2160"/>
        <w:gridCol w:w="960"/>
        <w:tblGridChange w:id="0">
          <w:tblGrid>
            <w:gridCol w:w="2700"/>
            <w:gridCol w:w="1230"/>
            <w:gridCol w:w="1845"/>
            <w:gridCol w:w="2160"/>
            <w:gridCol w:w="9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PARX 60 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Station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shd w:fill="e5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k=1, two duties tested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 each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 each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 each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 each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k=2, 23 trips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k=3, 35 trips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bd5df" w:space="0" w:sz="6" w:val="single"/>
              <w:left w:color="cbd5df" w:space="0" w:sz="6" w:val="single"/>
              <w:bottom w:color="cbd5df" w:space="0" w:sz="6" w:val="single"/>
              <w:right w:color="cbd5d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8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Sixteen is the result in a small generated pool, not a proved physical requirement. Capacity-constrained schedules passed station sweeps. This pilot has no 65% return-SOC floor and is separate from the six baseline chains.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120" w:before="0" w:lineRule="auto"/>
        <w:rPr>
          <w:b w:val="1"/>
          <w:bCs w:val="1"/>
          <w:sz w:val="34"/>
          <w:szCs w:val="34"/>
        </w:rPr>
      </w:pPr>
      <w:bookmarkStart w:colFirst="0" w:colLast="0" w:name="_oogzjq84bg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120" w:before="0" w:lineRule="auto"/>
        <w:rPr>
          <w:b w:val="1"/>
          <w:bCs w:val="1"/>
          <w:sz w:val="34"/>
          <w:szCs w:val="34"/>
        </w:rPr>
      </w:pPr>
      <w:bookmarkStart w:colFirst="0" w:colLast="0" w:name="_b7kbf2vkxso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overnight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120" w:before="0" w:lineRule="auto"/>
        <w:ind w:left="720" w:hanging="360"/>
      </w:pPr>
      <w:r w:rsidDel="00000000" w:rsidR="00000000" w:rsidRPr="00000000">
        <w:rPr>
          <w:rtl w:val="0"/>
        </w:rPr>
        <w:t xml:space="preserve">37 warm CG cases continue six chains to k=15.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120" w:before="0" w:lineRule="auto"/>
        <w:ind w:left="720" w:hanging="360"/>
      </w:pPr>
      <w:r w:rsidDel="00000000" w:rsidR="00000000" w:rsidRPr="00000000">
        <w:rPr>
          <w:rtl w:val="0"/>
        </w:rPr>
        <w:t xml:space="preserve">40 independent CG cases split one 32-duty, 750-trip parent into four groups of eight, using ten different partitions.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120" w:before="0" w:lineRule="auto"/>
        <w:ind w:left="720" w:hanging="360"/>
      </w:pPr>
      <w:r w:rsidDel="00000000" w:rsidR="00000000" w:rsidRPr="00000000">
        <w:rPr>
          <w:rtl w:val="0"/>
        </w:rPr>
        <w:t xml:space="preserve">10 recombination cases retain the component solution and try routes across groups.</w:t>
      </w:r>
    </w:p>
    <w:p w:rsidR="00000000" w:rsidDel="00000000" w:rsidP="00000000" w:rsidRDefault="00000000" w:rsidRPr="00000000" w14:paraId="0000009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Each CG case has a dependent one-hour, two-stage MIP on the default partition. At the check, 46 CG jobs were running. No completed result from this new campaign is shown above.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120" w:before="0" w:lineRule="auto"/>
        <w:rPr>
          <w:b w:val="1"/>
          <w:bCs w:val="1"/>
          <w:sz w:val="34"/>
          <w:szCs w:val="34"/>
        </w:rPr>
      </w:pPr>
      <w:bookmarkStart w:colFirst="0" w:colLast="0" w:name="_ejc6iw9vrz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 and evidence</w:t>
      </w:r>
    </w:p>
    <w:p w:rsidR="00000000" w:rsidDel="00000000" w:rsidP="00000000" w:rsidRDefault="00000000" w:rsidRPr="00000000" w14:paraId="0000009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Each CG route costs 100,000 + electricity + 5 per charging start.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MIP stage 1 minimizes buses. Stage 2 constrains buses ≤ the validated stage-1 incumbent and minimizes electricity plus start fees.</w:t>
      </w:r>
    </w:p>
    <w:p w:rsidR="00000000" w:rsidDel="00000000" w:rsidP="00000000" w:rsidRDefault="00000000" w:rsidRPr="00000000" w14:paraId="0000009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A pricing certificate establishes the LP result in the represented graph at its stated tolerance. An unfinished restricted LP objective is not a full-model lower bound. A MIP proof concerns its saved columns. Fleet target attainment, physical replay and shared-capacity validation are separate checks.</w:t>
      </w:r>
    </w:p>
    <w:p w:rsidR="00000000" w:rsidDel="00000000" w:rsidP="00000000" w:rsidRDefault="00000000" w:rsidRPr="00000000" w14:paraId="00000096">
      <w:pPr>
        <w:spacing w:after="120" w:before="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Experiment register and exact source records</w:t>
        </w:r>
      </w:hyperlink>
      <w:r w:rsidDel="00000000" w:rsidR="00000000" w:rsidRPr="00000000">
        <w:rPr>
          <w:rtl w:val="0"/>
        </w:rPr>
        <w:t xml:space="preserve"> ·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Overnight experiment settings</w:t>
        </w:r>
      </w:hyperlink>
      <w:r w:rsidDel="00000000" w:rsidR="00000000" w:rsidRPr="00000000">
        <w:rPr>
          <w:rtl w:val="0"/>
        </w:rPr>
        <w:t xml:space="preserve"> ·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Historical document and figures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maintenance, 12 September:</w:t>
      </w:r>
      <w:r w:rsidDel="00000000" w:rsidR="00000000" w:rsidRPr="00000000">
        <w:rPr>
          <w:rtl w:val="0"/>
        </w:rPr>
        <w:t xml:space="preserve"> 156 cold files were archived losslessly, freeing 133.74 GB. Active research and V2G data were preserved.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Verification and restore instructions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ndandnd/EVSP-DR/tree/b1129bf4/outputs/storage_cleanup_20260912" TargetMode="External"/><Relationship Id="rId10" Type="http://schemas.openxmlformats.org/officeDocument/2006/relationships/hyperlink" Target="https://docs.google.com/document/d/1f0orWtM1-_VWAqjj6GnWP78webCOnvoc01x2VQvaA_k/edit" TargetMode="External"/><Relationship Id="rId12" Type="http://schemas.openxmlformats.org/officeDocument/2006/relationships/hyperlink" Target="https://github.com/ndandnd/EVSP-DR/tree/b1129bf4/outputs/storage_cleanup_20260912" TargetMode="External"/><Relationship Id="rId9" Type="http://schemas.openxmlformats.org/officeDocument/2006/relationships/hyperlink" Target="https://docs.google.com/document/d/1f0orWtM1-_VWAqjj6GnWP78webCOnvoc01x2VQvaA_k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dandnd/EVSP-DR/tree/codex/parallel-research-20260911/outputs/research_register" TargetMode="External"/><Relationship Id="rId7" Type="http://schemas.openxmlformats.org/officeDocument/2006/relationships/hyperlink" Target="https://github.com/ndandnd/EVSP-DR/tree/codex/parallel-research-20260911/outputs/overnight_extension_20260912" TargetMode="External"/><Relationship Id="rId8" Type="http://schemas.openxmlformats.org/officeDocument/2006/relationships/hyperlink" Target="https://github.com/ndandnd/EVSP-DR/tree/codex/parallel-research-20260911/outputs/overnight_extension_202609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