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Fraud-Resistant Meal Voucher Redemption and Real-Time Operational Analytics for Conference Management: Design and Evaluation of ConferenceCheck Mobile</w:t>
      </w:r>
    </w:p>
    <w:p>
      <w:pPr>
        <w:pStyle w:val="FirstParagraph"/>
      </w:pPr>
      <w:r>
        <w:rPr>
          <w:b/>
          <w:bCs/>
        </w:rPr>
        <w:t xml:space="preserve">Ndashi Bwalya Chisanga</w:t>
      </w:r>
      <w:r>
        <w:t xml:space="preserve"> </w:t>
      </w:r>
      <w:r>
        <w:t xml:space="preserve">Student number 2021470105</w:t>
      </w:r>
    </w:p>
    <w:p>
      <w:pPr>
        <w:pStyle w:val="BodyText"/>
      </w:pPr>
      <w:r>
        <w:t xml:space="preserve">Submitted in partial fulfilment of the requirements of the Final Year Project, Department of Computing and Informatics</w:t>
      </w:r>
      <w:r>
        <w:t xml:space="preserve"> </w:t>
      </w:r>
      <w:r>
        <w:t xml:space="preserve">Supervisor: Mr. Mofya Phiri</w:t>
      </w:r>
    </w:p>
    <w:p>
      <w:pPr>
        <w:pStyle w:val="BodyText"/>
      </w:pPr>
      <w:r>
        <w:t xml:space="preserve">September 2026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t xml:space="preserve">Validated state: tag</w:t>
      </w:r>
      <w:r>
        <w:t xml:space="preserve"> </w:t>
      </w:r>
      <w:r>
        <w:rPr>
          <w:rStyle w:val="VerbatimChar"/>
        </w:rPr>
        <w:t xml:space="preserve">milestone-10-evaluation</w:t>
      </w:r>
    </w:p>
    <w:bookmarkStart w:id="10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approved 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conventions-used-in-this-report"/>
    <w:p>
      <w:pPr>
        <w:pStyle w:val="Heading1"/>
      </w:pPr>
      <w:r>
        <w:t xml:space="preserve">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11"/>
    <w:bookmarkStart w:id="12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model and integrity guarantees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Defects found and fixed during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Purpose and 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scope of assistance, as bounded by the proposal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Validation of AI-assisted output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Honest statement of disclosure 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</w:tbl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Headline results against the proposal's Table 3 acceptance criteria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CSV rows against database ground truth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output,</w:t>
            </w:r>
            <w:r>
              <w:t xml:space="preserve"> </w:t>
            </w:r>
            <w:r>
              <w:rPr>
                <w:rStyle w:val="VerbatimChar"/>
              </w:rPr>
              <w:t xml:space="preserve">tools/evaluation-results.json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14"/>
    <w:bookmarkStart w:id="1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On-site conference operations, meal service, session seating and attendee</w:t>
      </w:r>
      <w:r>
        <w:t xml:space="preserve"> </w:t>
      </w:r>
      <w:r>
        <w:t xml:space="preserve">communication, are still widely managed with paper registers and printed</w:t>
      </w:r>
      <w:r>
        <w:t xml:space="preserve"> </w:t>
      </w:r>
      <w:r>
        <w:t xml:space="preserve">vouchers, processes that scale poorly and are vulnerable to</w:t>
      </w:r>
      <w:r>
        <w:t xml:space="preserve"> </w:t>
      </w:r>
      <w:r>
        <w:t xml:space="preserve">duplicate-collection fraud. This report presents the design, implementation</w:t>
      </w:r>
      <w:r>
        <w:t xml:space="preserve"> </w:t>
      </w:r>
      <w:r>
        <w:t xml:space="preserve">and evaluation of ConferenceCheck Mobile: Analytics, Meals and Notifications,</w:t>
      </w:r>
      <w:r>
        <w:t xml:space="preserve"> </w:t>
      </w:r>
      <w:r>
        <w:t xml:space="preserve">component 4.3b of a two-part conference management companion application</w:t>
      </w:r>
      <w:r>
        <w:t xml:space="preserve"> </w:t>
      </w:r>
      <w:r>
        <w:t xml:space="preserve">whose sibling component, 4.3a, delivers attendee check-in capture and</w:t>
      </w:r>
      <w:r>
        <w:t xml:space="preserve"> </w:t>
      </w:r>
      <w:r>
        <w:t xml:space="preserve">offline synchronisation separately. This project consumes check-in data</w:t>
      </w:r>
      <w:r>
        <w:t xml:space="preserve"> </w:t>
      </w:r>
      <w:r>
        <w:t xml:space="preserve">through a shared REST API contract and contributes four capabilities that</w:t>
      </w:r>
      <w:r>
        <w:t xml:space="preserve"> </w:t>
      </w:r>
      <w:r>
        <w:t xml:space="preserve">carry equal weight in its evaluation: a QR-code based meal voucher protocol</w:t>
      </w:r>
      <w:r>
        <w:t xml:space="preserve"> </w:t>
      </w:r>
      <w:r>
        <w:t xml:space="preserve">in which single-use redemption is enforced structurally, through</w:t>
      </w:r>
      <w:r>
        <w:t xml:space="preserve"> </w:t>
      </w:r>
      <w:r>
        <w:t xml:space="preserve">database-level row locking and an append-only redemption relation with a</w:t>
      </w:r>
      <w:r>
        <w:t xml:space="preserve"> </w:t>
      </w:r>
      <w:r>
        <w:t xml:space="preserve">per-voucher uniqueness constraint, rather than through application-level</w:t>
      </w:r>
      <w:r>
        <w:t xml:space="preserve"> </w:t>
      </w:r>
      <w:r>
        <w:t xml:space="preserve">checks; a near-real-time analytics dashboard with a bounded 30-second</w:t>
      </w:r>
      <w:r>
        <w:t xml:space="preserve"> </w:t>
      </w:r>
      <w:r>
        <w:t xml:space="preserve">staleness guarantee; session attendance tracking with configurable capacity</w:t>
      </w:r>
      <w:r>
        <w:t xml:space="preserve"> </w:t>
      </w:r>
      <w:r>
        <w:t xml:space="preserve">thresholds and automatic overcrowding alerts; and dual-channel attendee</w:t>
      </w:r>
      <w:r>
        <w:t xml:space="preserve"> </w:t>
      </w:r>
      <w:r>
        <w:t xml:space="preserve">notifications, combining Firebase Cloud Messaging push with an authenticated</w:t>
      </w:r>
      <w:r>
        <w:t xml:space="preserve"> </w:t>
      </w:r>
      <w:r>
        <w:t xml:space="preserve">in-app feed carrying per-recipient delivery records. An offline scan queue,</w:t>
      </w:r>
      <w:r>
        <w:t xml:space="preserve"> </w:t>
      </w:r>
      <w:r>
        <w:t xml:space="preserve">whose safe replay follows from the server's idempotent scan semantics,</w:t>
      </w:r>
      <w:r>
        <w:t xml:space="preserve"> </w:t>
      </w:r>
      <w:r>
        <w:t xml:space="preserve">extends the design to intermittent venue connectivity. The system was</w:t>
      </w:r>
      <w:r>
        <w:t xml:space="preserve"> </w:t>
      </w:r>
      <w:r>
        <w:t xml:space="preserve">evaluated against a seeded 500-attendee event with three meal categories and a</w:t>
      </w:r>
      <w:r>
        <w:t xml:space="preserve"> </w:t>
      </w:r>
      <w:r>
        <w:t xml:space="preserve">voucher per attendee per category, ten sessions and scripted concurrent-fraud</w:t>
      </w:r>
      <w:r>
        <w:t xml:space="preserve"> </w:t>
      </w:r>
      <w:r>
        <w:t xml:space="preserve">scenarios, driven through the live API rather than through unit-level mocks.</w:t>
      </w:r>
      <w:r>
        <w:t xml:space="preserve"> </w:t>
      </w:r>
      <w:r>
        <w:t xml:space="preserve">Every criterion in the proposal's Table 3 was met: 100% duplicate-redemption</w:t>
      </w:r>
      <w:r>
        <w:t xml:space="preserve"> </w:t>
      </w:r>
      <w:r>
        <w:t xml:space="preserve">rejection across 100 sequential and 20 concurrent duplicate submissions, with</w:t>
      </w:r>
      <w:r>
        <w:t xml:space="preserve"> </w:t>
      </w:r>
      <w:r>
        <w:t xml:space="preserve">every concurrency race resolving to exactly one success; all three categories</w:t>
      </w:r>
      <w:r>
        <w:t xml:space="preserve"> </w:t>
      </w:r>
      <w:r>
        <w:t xml:space="preserve">redeemable independently for every one of twenty attendees holding a voucher in</w:t>
      </w:r>
      <w:r>
        <w:t xml:space="preserve"> </w:t>
      </w:r>
      <w:r>
        <w:t xml:space="preserve">each; median voucher-scan latency of 187.5 ms (95th percentile 286.7 ms);</w:t>
      </w:r>
      <w:r>
        <w:t xml:space="preserve"> </w:t>
      </w:r>
      <w:r>
        <w:t xml:space="preserve">dashboard staleness bounded at approximately 30.2 seconds; and byte-exact CSV</w:t>
      </w:r>
      <w:r>
        <w:t xml:space="preserve"> </w:t>
      </w:r>
      <w:r>
        <w:t xml:space="preserve">exports against database ground truth for both attendance and meal</w:t>
      </w:r>
      <w:r>
        <w:t xml:space="preserve"> </w:t>
      </w:r>
      <w:r>
        <w:t xml:space="preserve">redemptions. A live, human-staffed manual baseline</w:t>
      </w:r>
      <w:r>
        <w:t xml:space="preserve"> </w:t>
      </w:r>
      <w:r>
        <w:t xml:space="preserve">was not run, and this is stated as a limitation rather than approximated</w:t>
      </w:r>
      <w:r>
        <w:t xml:space="preserve"> </w:t>
      </w:r>
      <w:r>
        <w:t xml:space="preserve">with a fabricated figure; the qualitative argument instead rests on the</w:t>
      </w:r>
      <w:r>
        <w:t xml:space="preserve"> </w:t>
      </w:r>
      <w:r>
        <w:t xml:space="preserve">system's measured 188 ms scan-to-decision time and the fact that a paper</w:t>
      </w:r>
      <w:r>
        <w:t xml:space="preserve"> </w:t>
      </w:r>
      <w:r>
        <w:t xml:space="preserve">voucher has no server-side check to fail. The results indicate that placing</w:t>
      </w:r>
      <w:r>
        <w:t xml:space="preserve"> </w:t>
      </w:r>
      <w:r>
        <w:t xml:space="preserve">anti-fraud guarantees in the database's constraint machinery, rather than in</w:t>
      </w:r>
      <w:r>
        <w:t xml:space="preserve"> </w:t>
      </w:r>
      <w:r>
        <w:t xml:space="preserve">application code, eliminates time-of-check-to-time-of-use races by</w:t>
      </w:r>
      <w:r>
        <w:t xml:space="preserve"> </w:t>
      </w:r>
      <w:r>
        <w:t xml:space="preserve">construction while keeping scan-point latency well within interactive</w:t>
      </w:r>
      <w:r>
        <w:t xml:space="preserve"> </w:t>
      </w:r>
      <w:r>
        <w:t xml:space="preserve">bounds.</w:t>
      </w:r>
    </w:p>
    <w:bookmarkEnd w:id="15"/>
    <w:bookmarkStart w:id="21" w:name="Xe3d0fc0bea9a42ce7605565d0964033d7f6ee47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systems have</w:t>
      </w:r>
      <w:r>
        <w:t xml:space="preserve"> </w:t>
      </w:r>
      <w:r>
        <w:t xml:space="preserve">been shown to reduce both processing time and recording error relative to</w:t>
      </w:r>
      <w:r>
        <w:t xml:space="preserve"> </w:t>
      </w:r>
      <w:r>
        <w:t xml:space="preserve">manual registers [3]. Cloud push-messaging services such as Firebase Cloud</w:t>
      </w:r>
      <w:r>
        <w:t xml:space="preserve"> </w:t>
      </w:r>
      <w:r>
        <w:t xml:space="preserve">Messaging provide reliable, low-latency delivery of updates to mobile</w:t>
      </w:r>
      <w:r>
        <w:t xml:space="preserve"> </w:t>
      </w:r>
      <w:r>
        <w:t xml:space="preserve">devices at no marginal cost [6],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[15].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Start w:id="16" w:name="X8ed7113c30baefd0a0d5373f9e8fb0f217861be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6"/>
    <w:bookmarkStart w:id="17" w:name="X11914782bf4ddd361c09301a1599eaa2860f3c5"/>
    <w:p>
      <w:pPr>
        <w:pStyle w:val="Heading2"/>
      </w:pPr>
      <w:r>
        <w:t xml:space="preserve">1.2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17"/>
    <w:bookmarkStart w:id="18" w:name="X20170cc6f1120ca210884b45e182ac79340b39a"/>
    <w:p>
      <w:pPr>
        <w:pStyle w:val="Heading2"/>
      </w:pPr>
      <w:r>
        <w:t xml:space="preserve">1.3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18"/>
    <w:bookmarkStart w:id="19" w:name="X1f4012e9c4b62781074de2916856df2f3df4c87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on the CMS v4 Laravel backend. It integrates with</w:t>
      </w:r>
      <w:r>
        <w:t xml:space="preserve"> </w:t>
      </w:r>
      <w:r>
        <w:t xml:space="preserve">component 4.3a's core check-in module through a shared REST API contract,</w:t>
      </w:r>
      <w:r>
        <w:t xml:space="preserve"> </w:t>
      </w:r>
      <w:r>
        <w:t xml:space="preserve">consuming its check-in data as a read-only input to analytics;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5.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19"/>
    <w:bookmarkStart w:id="20" w:name="Xa906394427374498867f33f455f91a79a7371f9"/>
    <w:p>
      <w:pPr>
        <w:pStyle w:val="Heading2"/>
      </w:pPr>
      <w:r>
        <w:t xml:space="preserve">1.5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0"/>
    <w:bookmarkEnd w:id="21"/>
    <w:bookmarkStart w:id="22" w:name="Xe6f33f15488280d70f3858ac5d64bf720282e0a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p>
      <w:pPr>
        <w:pStyle w:val="BodyText"/>
      </w:pPr>
      <w:r>
        <w:t xml:space="preserve">Masalha and Hirzallah [3] evaluated a QR-based attendance system in a</w:t>
      </w:r>
      <w:r>
        <w:t xml:space="preserve"> </w:t>
      </w:r>
      <w:r>
        <w:t xml:space="preserve">university setting and found substantial reductions in per-person processing</w:t>
      </w:r>
      <w:r>
        <w:t xml:space="preserve"> </w:t>
      </w:r>
      <w:r>
        <w:t xml:space="preserve">time and in recording errors relative to manual registers, but also</w:t>
      </w:r>
      <w:r>
        <w:t xml:space="preserve"> </w:t>
      </w:r>
      <w:r>
        <w:t xml:space="preserve">identified the central weakness of naive QR attendance: codes can be</w:t>
      </w:r>
      <w:r>
        <w:t xml:space="preserve"> </w:t>
      </w:r>
      <w:r>
        <w:t xml:space="preserve">photographed and shared, so any anti-fraud property must come from what the</w:t>
      </w:r>
      <w:r>
        <w:t xml:space="preserve"> </w:t>
      </w:r>
      <w:r>
        <w:t xml:space="preserve">server does with a scan, not from the code itself. This finding directly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For the redemption transaction itself, Helland [11]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3.5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On the presentation side, Few [4]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[5]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</w:t>
      </w:r>
      <w:r>
        <w:t xml:space="preserve"> </w:t>
      </w:r>
      <w:r>
        <w:t xml:space="preserve">reports the measured results.</w:t>
      </w:r>
    </w:p>
    <w:p>
      <w:pPr>
        <w:pStyle w:val="BodyText"/>
      </w:pPr>
      <w:r>
        <w:t xml:space="preserve">For attendee communication, Firebase Cloud Messaging documentation [6]</w:t>
      </w:r>
      <w:r>
        <w:t xml:space="preserve"> </w:t>
      </w:r>
      <w:r>
        <w:t xml:space="preserve">describes a store-and-forward push architecture with per-device</w:t>
      </w:r>
      <w:r>
        <w:t xml:space="preserve"> </w:t>
      </w:r>
      <w:r>
        <w:t xml:space="preserve">registration tokens; delivery is best-effort,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6.7,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[7]; endpoint authentication uses bearer tokens as</w:t>
      </w:r>
      <w:r>
        <w:t xml:space="preserve"> </w:t>
      </w:r>
      <w:r>
        <w:t xml:space="preserve">specified in RFC 6750 [8] and implemented by Laravel Sanctum [9],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[10].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[12], realised in Flutter's widget and provider model</w:t>
      </w:r>
      <w:r>
        <w:t xml:space="preserve"> </w:t>
      </w:r>
      <w:r>
        <w:t xml:space="preserve">[15].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1.5,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22"/>
    <w:bookmarkStart w:id="31" w:name="Xeaf7af16e3e46fe44e45519dfa10bf831051975"/>
    <w:p>
      <w:pPr>
        <w:pStyle w:val="Heading1"/>
      </w:pPr>
      <w:r>
        <w:t xml:space="preserve">3. Methodology</w:t>
      </w:r>
    </w:p>
    <w:bookmarkStart w:id="23" w:name="Xd895159ff23a886affb014abd300ad5c3f48529"/>
    <w:p>
      <w:pPr>
        <w:pStyle w:val="Heading2"/>
      </w:pPr>
      <w:r>
        <w:t xml:space="preserve">3.1 System architecture and the component 4.3a / 4.3b boundary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the CMS v4 Laravel backend exposing a REST API [7],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43"/>
        <w:gridCol w:w="5416"/>
      </w:tblGrid>
      <w:tr>
        <w:trPr>
          <w:tblHeader w:val="on"/>
        </w:trP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Shared REST API contract, Sanctum bearer-token authenticated. 4.3b consumes 4.3a's check-in data as seeded fixtures during independent development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v4 Laravel REST API + PostgreSQL database (shared backend)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[12]: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extends the CMS v4 Laravel application.</w:t>
      </w:r>
      <w:r>
        <w:t xml:space="preserve"> </w:t>
      </w:r>
      <w:r>
        <w:t xml:space="preserve">Every endpoint requires a Sanctum-issued bearer token [8, 9] and returns a</w:t>
      </w:r>
      <w:r>
        <w:t xml:space="preserve"> </w:t>
      </w:r>
      <w:r>
        <w:t xml:space="preserve">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</w:t>
      </w:r>
      <w:r>
        <w:t xml:space="preserve"> </w:t>
      </w:r>
      <w:r>
        <w:t xml:space="preserve">Authorisation is role-based: organiser accounts manage events and view</w:t>
      </w:r>
      <w:r>
        <w:t xml:space="preserve"> </w:t>
      </w:r>
      <w:r>
        <w:t xml:space="preserve">analytics, scanner accounts may only submit scan validations, and attendee</w:t>
      </w:r>
      <w:r>
        <w:t xml:space="preserve"> </w:t>
      </w:r>
      <w:r>
        <w:t xml:space="preserve">accounts may only read their own vouchers and notifications.</w:t>
      </w:r>
    </w:p>
    <w:bookmarkEnd w:id="23"/>
    <w:bookmarkStart w:id="24" w:name="Xa367a781a60350ebfd584c4f27a0f942de9ca68"/>
    <w:p>
      <w:pPr>
        <w:pStyle w:val="Heading2"/>
      </w:pPr>
      <w:r>
        <w:t xml:space="preserve">3.2 Data model and integrity guarantees</w:t>
      </w:r>
    </w:p>
    <w:p>
      <w:pPr>
        <w:pStyle w:val="FirstParagraph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1.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466"/>
        <w:gridCol w:w="3351"/>
        <w:gridCol w:w="3541"/>
      </w:tblGrid>
      <w:tr>
        <w:trPr>
          <w:tblHeader w:val="on"/>
        </w:trPr>
        <w:tc>
          <w:tcPr>
            <w:tcW w:type="dxa" w:w="2466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Immutable, append-only record of each redemption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24"/>
    <w:bookmarkStart w:id="25" w:name="X6959904de48b70eadc3efd2e9193a3fc8c6b6a7"/>
    <w:p>
      <w:pPr>
        <w:pStyle w:val="Heading2"/>
      </w:pPr>
      <w:r>
        <w:t xml:space="preserve">3.3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 and inserts a redemption record; the unique constraint</w:t>
      </w:r>
      <w:r>
        <w:t xml:space="preserve"> </w:t>
      </w:r>
      <w:r>
        <w:t xml:space="preserve">on the voucher identifier guarantees that if two scanners submit the same</w:t>
      </w:r>
      <w:r>
        <w:t xml:space="preserve"> </w:t>
      </w:r>
      <w:r>
        <w:t xml:space="preserve">token concurrently, exactly one insert succeeds and the other receives a</w:t>
      </w:r>
      <w:r>
        <w:t xml:space="preserve"> </w:t>
      </w:r>
      <w:r>
        <w:t xml:space="preserve">definitive "already redeemed" response naming the earlier redemption time</w:t>
      </w:r>
      <w:r>
        <w:t xml:space="preserve"> </w:t>
      </w:r>
      <w:r>
        <w:t xml:space="preserve">[11]. The redemption record, including the redeeming device identifier and</w:t>
      </w:r>
      <w:r>
        <w:t xml:space="preserve"> </w:t>
      </w:r>
      <w:r>
        <w:t xml:space="preserve">timestamp, is immutable thereafter, providing a complete audit trail for</w:t>
      </w:r>
      <w:r>
        <w:t xml:space="preserve"> </w:t>
      </w:r>
      <w:r>
        <w:t xml:space="preserve">post-event reconciliation. This design places the single-use guarantee in</w:t>
      </w:r>
      <w:r>
        <w:t xml:space="preserve"> </w:t>
      </w:r>
      <w:r>
        <w:t xml:space="preserve">the database's constraint machinery rather than in application-level</w:t>
      </w:r>
      <w:r>
        <w:t xml:space="preserve"> </w:t>
      </w:r>
      <w:r>
        <w:t xml:space="preserve">checks, eliminating time-of-check-to-time-of-use races by construction. The</w:t>
      </w:r>
      <w:r>
        <w:t xml:space="preserve"> </w:t>
      </w:r>
      <w:r>
        <w:t xml:space="preserve">concurrency behaviour this protocol is designed to produce is measured</w:t>
      </w:r>
      <w:r>
        <w:t xml:space="preserve"> </w:t>
      </w:r>
      <w:r>
        <w:t xml:space="preserve">directly in Section 6.2.</w:t>
      </w:r>
    </w:p>
    <w:bookmarkEnd w:id="25"/>
    <w:bookmarkStart w:id="26" w:name="X973a4b6d54a4582c9e9d4b9ec5864a34888272e"/>
    <w:p>
      <w:pPr>
        <w:pStyle w:val="Heading2"/>
      </w:pPr>
      <w:r>
        <w:t xml:space="preserve">3.4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delivered before the room reaches capacity.</w:t>
      </w:r>
    </w:p>
    <w:bookmarkEnd w:id="26"/>
    <w:bookmarkStart w:id="27" w:name="Xb137ec87ce1bc3cb10a13f5e72555a0ab8c14ca"/>
    <w:p>
      <w:pPr>
        <w:pStyle w:val="Heading2"/>
      </w:pPr>
      <w:r>
        <w:t xml:space="preserve">3.5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3.3: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Only connectivity failures retain an</w:t>
      </w:r>
      <w:r>
        <w:t xml:space="preserve"> </w:t>
      </w:r>
      <w:r>
        <w:t xml:space="preserve">entry in the queue; a definitive server answer of any kind, whether success,</w:t>
      </w:r>
      <w:r>
        <w:t xml:space="preserve"> </w:t>
      </w:r>
      <w:r>
        <w:t xml:space="preserve">already-redeemed, duplicate or invalid, settles it.</w:t>
      </w:r>
    </w:p>
    <w:bookmarkEnd w:id="27"/>
    <w:bookmarkStart w:id="28" w:name="X13e948a7bb1723223f5c097942673cc9957f02a"/>
    <w:p>
      <w:pPr>
        <w:pStyle w:val="Heading2"/>
      </w:pPr>
      <w:r>
        <w:t xml:space="preserve">3.6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[4],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8: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cycle, and the resulting bound is measured directly</w:t>
      </w:r>
      <w:r>
        <w:t xml:space="preserve"> </w:t>
      </w:r>
      <w:r>
        <w:t xml:space="preserve">in Section 6.5.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[6] to every registered device token. Because FCM delivery is best-effort</w:t>
      </w:r>
      <w:r>
        <w:t xml:space="preserve"> </w:t>
      </w:r>
      <w:r>
        <w:t xml:space="preserve">[6],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per-recipient records make delivery auditable.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 and per-session attendance, generated by streaming query</w:t>
      </w:r>
      <w:r>
        <w:t xml:space="preserve"> </w:t>
      </w:r>
      <w:r>
        <w:t xml:space="preserve">results so that export size is bounded by the database rather than by</w:t>
      </w:r>
      <w:r>
        <w:t xml:space="preserve"> </w:t>
      </w:r>
      <w:r>
        <w:t xml:space="preserve">server memory. Export correctness is an explicit evaluation criterion,</w:t>
      </w:r>
      <w:r>
        <w:t xml:space="preserve"> </w:t>
      </w:r>
      <w:r>
        <w:t xml:space="preserve">reported in Section 6.6.</w:t>
      </w:r>
    </w:p>
    <w:bookmarkEnd w:id="28"/>
    <w:bookmarkStart w:id="29" w:name="X32923e5a4646c4ad9068f9232c9598c77ca2bf4"/>
    <w:p>
      <w:pPr>
        <w:pStyle w:val="Heading2"/>
      </w:pPr>
      <w:r>
        <w:t xml:space="preserve">3.7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(PHP) on the</w:t>
      </w:r>
      <w:r>
        <w:t xml:space="preserve"> </w:t>
      </w:r>
      <w:r>
        <w:t xml:space="preserve">existing CMS v4 codebase, Laravel Sanctum for token authentication, and</w:t>
      </w:r>
      <w:r>
        <w:t xml:space="preserve"> </w:t>
      </w:r>
      <w:r>
        <w:t xml:space="preserve">Pest/PHPUnit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29"/>
    <w:bookmarkStart w:id="30" w:name="Xdbdffeafae13251244f506eb38d25fb845d1812"/>
    <w:p>
      <w:pPr>
        <w:pStyle w:val="Heading2"/>
      </w:pPr>
      <w:r>
        <w:t xml:space="preserve">3.8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[14].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client-server traffic is encrypted in</w:t>
      </w:r>
      <w:r>
        <w:t xml:space="preserve"> </w:t>
      </w:r>
      <w:r>
        <w:t xml:space="preserve">transit, API access is authenticated and role-scoped following OWASP MASVS</w:t>
      </w:r>
      <w:r>
        <w:t xml:space="preserve"> </w:t>
      </w:r>
      <w:r>
        <w:t xml:space="preserve">guidance [10],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The use of artificial intelligence tools during development is</w:t>
      </w:r>
      <w:r>
        <w:t xml:space="preserve"> </w:t>
      </w:r>
      <w:r>
        <w:t xml:space="preserve">disclosed in full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within the scope limits set out in</w:t>
      </w:r>
      <w:r>
        <w:t xml:space="preserve"> </w:t>
      </w:r>
      <w:r>
        <w:t xml:space="preserve">Section 9 of the approved project proposal.</w:t>
      </w:r>
    </w:p>
    <w:bookmarkEnd w:id="30"/>
    <w:bookmarkEnd w:id="31"/>
    <w:bookmarkStart w:id="34" w:name="X61180d00ca5ad1a465e60a25e0f8019543cae99"/>
    <w:p>
      <w:pPr>
        <w:pStyle w:val="Heading1"/>
      </w:pPr>
      <w:r>
        <w:t xml:space="preserve">4. Implementation</w:t>
      </w:r>
    </w:p>
    <w:bookmarkStart w:id="32" w:name="Xbe76d0085e478d7d4d0d8f6feee3e817e3ce351"/>
    <w:p>
      <w:pPr>
        <w:pStyle w:val="Heading2"/>
      </w:pPr>
      <w:r>
        <w:t xml:space="preserve">4.1 Code organisation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hosts the</w:t>
      </w:r>
      <w:r>
        <w:t xml:space="preserve"> </w:t>
      </w:r>
      <w:r>
        <w:t xml:space="preserve">shared CMS v4 backend, so it necessarily carries code belonging to both</w:t>
      </w:r>
      <w:r>
        <w:t xml:space="preserve"> </w:t>
      </w:r>
      <w:r>
        <w:t xml:space="preserve">components, and the boundary drawn in Section 3.1 has to be readable in the</w:t>
      </w:r>
      <w:r>
        <w:t xml:space="preserve"> </w:t>
      </w:r>
      <w:r>
        <w:t xml:space="preserve">tree rather than only asserted here. The backend exposes 47 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component 4.3a's remit,</w:t>
      </w:r>
      <w:r>
        <w:t xml:space="preserve"> </w:t>
      </w:r>
      <w:r>
        <w:t xml:space="preserve">present because the backend is shared, and consumed here as a read-only input</w:t>
      </w:r>
      <w:r>
        <w:t xml:space="preserve"> </w:t>
      </w:r>
      <w:r>
        <w:t xml:space="preserve">to analytics rather than claimed as this project's contribution;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shared scaffolding. The remaining</w:t>
      </w:r>
      <w:r>
        <w:t xml:space="preserve"> </w:t>
      </w:r>
      <w:r>
        <w:t xml:space="preserve">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</w:t>
      </w:r>
      <w:r>
        <w:t xml:space="preserve"> </w:t>
      </w:r>
      <w:r>
        <w:t xml:space="preserve">QR screen, are this component's. The mobile application is this component's</w:t>
      </w:r>
      <w:r>
        <w:t xml:space="preserve"> </w:t>
      </w:r>
      <w:r>
        <w:t xml:space="preserve">alone, and its feature modules bear the boundary out 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</w:t>
      </w:r>
      <w:r>
        <w:t xml:space="preserve"> </w:t>
      </w:r>
      <w:r>
        <w:t xml:space="preserve">capture module anywhere in it. The only mobile code that names check-in at all</w:t>
      </w:r>
      <w:r>
        <w:t xml:space="preserve"> </w:t>
      </w:r>
      <w:r>
        <w:t xml:space="preserve">sits under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3.1.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bookmarkEnd w:id="32"/>
    <w:bookmarkStart w:id="33" w:name="X2ea47c365e50a530681dc16bd2c38aa0a5dfa4a"/>
    <w:p>
      <w:pPr>
        <w:pStyle w:val="Heading2"/>
      </w:pPr>
      <w:r>
        <w:t xml:space="preserve">4.2 Defects found and fixed during review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conducted partway through development,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3.5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bookmarkEnd w:id="33"/>
    <w:bookmarkEnd w:id="34"/>
    <w:bookmarkStart w:id="38" w:name="Xa467df6a0675b11971eb708fc8af2b16a422a62"/>
    <w:p>
      <w:pPr>
        <w:pStyle w:val="Heading1"/>
      </w:pPr>
      <w:r>
        <w:t xml:space="preserve">5. Evaluation Methodology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Start w:id="35" w:name="Xce6cf9a3e3cffd56c3e35058d6b0890f378e1c6"/>
    <w:p>
      <w:pPr>
        <w:pStyle w:val="Heading2"/>
      </w:pPr>
      <w:r>
        <w:t xml:space="preserve">5.1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 It is driven through the live HTTP API by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against a running backend, rather than through</w:t>
      </w:r>
      <w:r>
        <w:t xml:space="preserve"> </w:t>
      </w:r>
      <w:r>
        <w:t xml:space="preserve">unit-level mocks or direct database manipulation, so that the measured</w:t>
      </w:r>
      <w:r>
        <w:t xml:space="preserve"> </w:t>
      </w:r>
      <w:r>
        <w:t xml:space="preserve">latencies include routing, middleware, authentication and serialisation</w:t>
      </w:r>
      <w:r>
        <w:t xml:space="preserve"> </w:t>
      </w:r>
      <w:r>
        <w:t xml:space="preserve">overhead exactly as a real scanner client would experience them.</w:t>
      </w:r>
    </w:p>
    <w:bookmarkEnd w:id="35"/>
    <w:bookmarkStart w:id="36" w:name="Xf7c68888bb3f7b7c161faf2240e145ec7324a79"/>
    <w:p>
      <w:pPr>
        <w:pStyle w:val="Heading2"/>
      </w:pPr>
      <w:r>
        <w:t xml:space="preserve">5.2 Guarding against an artificially easy measurement</w:t>
      </w:r>
    </w:p>
    <w:p>
      <w:pPr>
        <w:pStyle w:val="FirstParagraph"/>
      </w:pPr>
      <w:r>
        <w:t xml:space="preserve">Two design choices keep this evaluation from measuring only what the system</w:t>
      </w:r>
      <w:r>
        <w:t xml:space="preserve"> </w:t>
      </w:r>
      <w:r>
        <w:t xml:space="preserve">was built to pass. First, the concurrency check does not merely repeat a</w:t>
      </w:r>
      <w:r>
        <w:t xml:space="preserve"> </w:t>
      </w:r>
      <w:r>
        <w:t xml:space="preserve">successful scan; it fires five simultaneous requests carrying the identical</w:t>
      </w:r>
      <w:r>
        <w:t xml:space="preserve"> </w:t>
      </w:r>
      <w:r>
        <w:t xml:space="preserve">token at the server, from five client threads, and checks that the redemption</w:t>
      </w:r>
      <w:r>
        <w:t xml:space="preserve"> </w:t>
      </w:r>
      <w:r>
        <w:t xml:space="preserve">table gained exactly one row per race. What this does and does not establish</w:t>
      </w:r>
      <w:r>
        <w:t xml:space="preserve"> </w:t>
      </w:r>
      <w:r>
        <w:t xml:space="preserve">should be stated exactly, because it is the central anti-fraud claim. The</w:t>
      </w:r>
      <w:r>
        <w:t xml:space="preserve"> </w:t>
      </w:r>
      <w:r>
        <w:t xml:space="preserve">submissions are genuinely simultaneous at the client, and the result shows that</w:t>
      </w:r>
      <w:r>
        <w:t xml:space="preserve"> </w:t>
      </w:r>
      <w:r>
        <w:t xml:space="preserve">five overlapping submissions of one token can never produce more than one</w:t>
      </w:r>
      <w:r>
        <w:t xml:space="preserve"> </w:t>
      </w:r>
      <w:r>
        <w:t xml:space="preserve">redemption. It does not show the row lock resolving contention inside the</w:t>
      </w:r>
      <w:r>
        <w:t xml:space="preserve"> </w:t>
      </w:r>
      <w:r>
        <w:t xml:space="preserve">database, because the development server used for the run is the single-process</w:t>
      </w:r>
      <w:r>
        <w:t xml:space="preserve"> </w:t>
      </w:r>
      <w:r>
        <w:t xml:space="preserve">PHP built-in server, which accepts connections in parallel but executes</w:t>
      </w:r>
      <w:r>
        <w:t xml:space="preserve"> </w:t>
      </w:r>
      <w:r>
        <w:t xml:space="preserve">requests one at a time; under that arrangement the losing inserts are refused</w:t>
      </w:r>
      <w:r>
        <w:t xml:space="preserve"> </w:t>
      </w:r>
      <w:r>
        <w:t xml:space="preserve">by the unique constraint rather than made to wait on the lock. The guarantee</w:t>
      </w:r>
      <w:r>
        <w:t xml:space="preserve"> </w:t>
      </w:r>
      <w:r>
        <w:t xml:space="preserve">the evaluation demonstrates is therefore the structural one, that a second</w:t>
      </w:r>
      <w:r>
        <w:t xml:space="preserve"> </w:t>
      </w:r>
      <w:r>
        <w:t xml:space="preserve">redemption row cannot exist, which holds whichever mechanism refuses it.</w:t>
      </w:r>
      <w:r>
        <w:t xml:space="preserve"> </w:t>
      </w:r>
      <w:r>
        <w:t xml:space="preserve">Demonstrating the lock itself under true parallel execution would require a</w:t>
      </w:r>
      <w:r>
        <w:t xml:space="preserve"> </w:t>
      </w:r>
      <w:r>
        <w:t xml:space="preserve">multi-worker deployment, and Section 8 records that as untested. Second, 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 Appendix B was conducted</w:t>
      </w:r>
      <w:r>
        <w:t xml:space="preserve"> </w:t>
      </w:r>
      <w:r>
        <w:t xml:space="preserve">separately from, and before, the quantitative round in Section 6, using live</w:t>
      </w:r>
      <w:r>
        <w:t xml:space="preserve"> </w:t>
      </w:r>
      <w:r>
        <w:t xml:space="preserve">API calls with invalid QR tokens, wrong roles and missing authentication, so</w:t>
      </w:r>
      <w:r>
        <w:t xml:space="preserve"> </w:t>
      </w:r>
      <w:r>
        <w:t xml:space="preserve">that the business-rule checks in Section 6.1 are not the only line of</w:t>
      </w:r>
      <w:r>
        <w:t xml:space="preserve"> </w:t>
      </w:r>
      <w:r>
        <w:t xml:space="preserve">defence being reported.</w:t>
      </w:r>
    </w:p>
    <w:bookmarkEnd w:id="36"/>
    <w:bookmarkStart w:id="37" w:name="X4f0193493a1de67f3938b3944de5e09ef53e867"/>
    <w:p>
      <w:pPr>
        <w:pStyle w:val="Heading2"/>
      </w:pPr>
      <w:r>
        <w:t xml:space="preserve">5.3 Metrics and acceptance criteria</w:t>
      </w:r>
    </w:p>
    <w:p>
      <w:pPr>
        <w:pStyle w:val="FirstParagraph"/>
      </w:pPr>
      <w:r>
        <w:t xml:space="preserve">Success criteria were fixed in the approved proposal (Table 3):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exactly. Each criterion is addressed by name in</w:t>
      </w:r>
      <w:r>
        <w:t xml:space="preserve"> </w:t>
      </w:r>
      <w:r>
        <w:t xml:space="preserve">Section 6.</w:t>
      </w:r>
    </w:p>
    <w:bookmarkEnd w:id="37"/>
    <w:bookmarkEnd w:id="38"/>
    <w:bookmarkStart w:id="47" w:name="Xb84024f831f54dd6cf41fa7512b2dfdd301b0cb"/>
    <w:p>
      <w:pPr>
        <w:pStyle w:val="Heading1"/>
      </w:pPr>
      <w:r>
        <w:t xml:space="preserve">6. Results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 Headline results against the proposal's Table 3 acceptance</w:t>
      </w:r>
      <w:r>
        <w:rPr>
          <w:b/>
          <w:bCs/>
        </w:rPr>
        <w:t xml:space="preserve"> </w:t>
      </w:r>
      <w:r>
        <w:rPr>
          <w:b/>
          <w:bCs/>
        </w:rPr>
        <w:t xml:space="preserve">criteria.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06"/>
        <w:gridCol w:w="3337"/>
        <w:gridCol w:w="2116"/>
      </w:tblGrid>
      <w:tr>
        <w:trPr>
          <w:tblHeader w:val="on"/>
        </w:trP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Proposal threshold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sequential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100/100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concurrent races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races, exactly one success each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Cross-category independence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attendees redeemed all 3 categories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all categories independent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Voucher scan latency, median / p95 (n=200)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187.5 ms / 286.7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scan latency, median / p95 (n=40)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174.5 ms / 266.5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duplicate rejection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Dashboard freshness, worst case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≈ 30.2 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≤ 30 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exact (780/780 rows)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Every committed acceptance criterion is met, with margin. The narrowest</w:t>
      </w:r>
      <w:r>
        <w:t xml:space="preserve"> </w:t>
      </w:r>
      <w:r>
        <w:t xml:space="preserve">margin is dashboard freshness, which is bound by the polling interval</w:t>
      </w:r>
      <w:r>
        <w:t xml:space="preserve"> </w:t>
      </w:r>
      <w:r>
        <w:t xml:space="preserve">documented as a deliberate architectural choice (Section 3.6), not by</w:t>
      </w:r>
      <w:r>
        <w:t xml:space="preserve"> </w:t>
      </w:r>
      <w:r>
        <w:t xml:space="preserve">anything that could fail on a different run.</w:t>
      </w:r>
    </w:p>
    <w:bookmarkStart w:id="39" w:name="X853aa5ce97630ec4d1d0a648f45ee2d7b293fe6"/>
    <w:p>
      <w:pPr>
        <w:pStyle w:val="Heading2"/>
      </w:pPr>
      <w:r>
        <w:t xml:space="preserve">6.1 Automated correctness verification</w:t>
      </w:r>
    </w:p>
    <w:p>
      <w:pPr>
        <w:pStyle w:val="FirstParagraph"/>
      </w:pPr>
      <w:r>
        <w:t xml:space="preserve">The backend test suite passes in full: 55 tests, 213 assertions, on PHP</w:t>
      </w:r>
      <w:r>
        <w:t xml:space="preserve"> </w:t>
      </w:r>
      <w:r>
        <w:t xml:space="preserve">8.5.8 with PostgreSQL 18. PHPStan at level 7 and Pint are both clean. The</w:t>
      </w:r>
      <w:r>
        <w:t xml:space="preserve"> </w:t>
      </w:r>
      <w:r>
        <w:t xml:space="preserve">Flutter client is analyzer-clean with 19 of 19 tests passing. Beyond the</w:t>
      </w:r>
      <w:r>
        <w:t xml:space="preserve"> </w:t>
      </w:r>
      <w:r>
        <w:t xml:space="preserve">automated suite, the adversarial checks from the strict review confirm</w:t>
      </w:r>
      <w:r>
        <w:t xml:space="preserve"> </w:t>
      </w:r>
      <w:r>
        <w:t xml:space="preserve">behaviour under conditions the unit tests do not exercise directly.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3.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293"/>
        <w:gridCol w:w="6066"/>
      </w:tblGrid>
      <w:tr>
        <w:trPr>
          <w:tblHeader w:val="on"/>
        </w:trP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responded correctly, including 401/403 enforcement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rejected, by transaction plus</w:t>
            </w:r>
            <w:r>
              <w:t xml:space="preserve"> </w:t>
            </w:r>
            <w:r>
              <w:rPr>
                <w:rStyle w:val="VerbatimChar"/>
              </w:rPr>
              <w:t xml:space="preserve">lockForUpdate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well-formed, row counts exact</w:t>
            </w:r>
          </w:p>
        </w:tc>
      </w:tr>
    </w:tbl>
    <w:bookmarkEnd w:id="39"/>
    <w:bookmarkStart w:id="40" w:name="Xf8b7ee00f1c54403def8b681b3b935a08255ef2"/>
    <w:p>
      <w:pPr>
        <w:pStyle w:val="Heading2"/>
      </w:pPr>
      <w:r>
        <w:t xml:space="preserve">6.2 Meal voucher redemption correctness</w:t>
      </w:r>
    </w:p>
    <w:p>
      <w:pPr>
        <w:pStyle w:val="FirstParagraph"/>
      </w:pPr>
      <w:r>
        <w:t xml:space="preserve">The protocol in Section 3.3 is designed to make double-redemption a</w:t>
      </w:r>
      <w:r>
        <w:t xml:space="preserve"> </w:t>
      </w:r>
      <w:r>
        <w:t xml:space="preserve">constraint violation rather than a race an application must detect. The</w:t>
      </w:r>
      <w:r>
        <w:t xml:space="preserve"> </w:t>
      </w:r>
      <w:r>
        <w:t xml:space="preserve">evaluation measures this directly rather than assuming it: 100 of 100</w:t>
      </w:r>
      <w:r>
        <w:t xml:space="preserve"> </w:t>
      </w:r>
      <w:r>
        <w:t xml:space="preserve">sequential re-scans of an already-redeemed voucher were rejected, and 20 of</w:t>
      </w:r>
      <w:r>
        <w:t xml:space="preserve"> </w:t>
      </w:r>
      <w:r>
        <w:t xml:space="preserve">20 concurrent races, each five simultaneous scans of one token, twenty times over,</w:t>
      </w:r>
      <w:r>
        <w:t xml:space="preserve"> </w:t>
      </w:r>
      <w:r>
        <w:t xml:space="preserve">resolved to exactly one success each.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 with</w:t>
      </w:r>
      <w:r>
        <w:t xml:space="preserve"> </w:t>
      </w:r>
      <w:r>
        <w:t xml:space="preserve">no discrepancy against the database.</w:t>
      </w:r>
    </w:p>
    <w:bookmarkEnd w:id="40"/>
    <w:bookmarkStart w:id="41" w:name="Xcf310a5a4ffb119fae0afe1bcfa58fac42d1d88"/>
    <w:p>
      <w:pPr>
        <w:pStyle w:val="Heading2"/>
      </w:pPr>
      <w:r>
        <w:t xml:space="preserve">6.3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treatment:</w:t>
      </w:r>
      <w:r>
        <w:t xml:space="preserve"> </w:t>
      </w:r>
      <w:r>
        <w:t xml:space="preserve">20 of 20 duplicate session check-ins were rejected. Capacity threshold</w:t>
      </w:r>
      <w:r>
        <w:t xml:space="preserve"> </w:t>
      </w:r>
      <w:r>
        <w:t xml:space="preserve">transitions were verified live on an Android emulator, where crossing the</w:t>
      </w:r>
      <w:r>
        <w:t xml:space="preserve"> </w:t>
      </w:r>
      <w:r>
        <w:t xml:space="preserve">90% warning threshold delivered a push to the organiser before the</w:t>
      </w:r>
      <w:r>
        <w:t xml:space="preserve"> </w:t>
      </w:r>
      <w:r>
        <w:t xml:space="preserve">over-capacity state was reached, and the alert transitions are additionally</w:t>
      </w:r>
      <w:r>
        <w:t xml:space="preserve"> </w:t>
      </w:r>
      <w:r>
        <w:t xml:space="preserve">covered by two automated tests added during the review recorded in</w:t>
      </w:r>
      <w:r>
        <w:t xml:space="preserve"> </w:t>
      </w:r>
      <w:r>
        <w:t xml:space="preserve">Section 4.2.</w:t>
      </w:r>
    </w:p>
    <w:bookmarkEnd w:id="41"/>
    <w:bookmarkStart w:id="42" w:name="X781510af3418f2b466a3599c2f5be2d62c4e5a8"/>
    <w:p>
      <w:pPr>
        <w:pStyle w:val="Heading2"/>
      </w:pPr>
      <w:r>
        <w:t xml:space="preserve">6.4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894"/>
        <w:gridCol w:w="780"/>
        <w:gridCol w:w="910"/>
        <w:gridCol w:w="1040"/>
        <w:gridCol w:w="910"/>
        <w:gridCol w:w="910"/>
        <w:gridCol w:w="2916"/>
      </w:tblGrid>
      <w:tr>
        <w:trPr>
          <w:tblHeader w:val="on"/>
        </w:trP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201.9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187.5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286.7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347.0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186.4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174.5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266.5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292.8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214.5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211.6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282.6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292.4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feeds the freshness bound in 6.5</w:t>
            </w:r>
          </w:p>
        </w:tc>
      </w:tr>
    </w:tbl>
    <w:p>
      <w:pPr>
        <w:pStyle w:val="BodyText"/>
      </w:pPr>
      <w:r>
        <w:t xml:space="preserve">Every measured latency clears its target with substantial margin against</w:t>
      </w:r>
      <w:r>
        <w:t xml:space="preserve"> </w:t>
      </w:r>
      <w:r>
        <w:t xml:space="preserve">Nielsen's response-time threshold [5]. These figures are taken on a single</w:t>
      </w:r>
      <w:r>
        <w:t xml:space="preserve"> </w:t>
      </w:r>
      <w:r>
        <w:t xml:space="preserve">local machine over loopback HTTP, not on venue-grade Wi-Fi as the proposal's</w:t>
      </w:r>
      <w:r>
        <w:t xml:space="preserve"> </w:t>
      </w:r>
      <w:r>
        <w:t xml:space="preserve">target scenario assumes; Section 8 states what follows, and does not follow,</w:t>
      </w:r>
      <w:r>
        <w:t xml:space="preserve"> </w:t>
      </w:r>
      <w:r>
        <w:t xml:space="preserve">from that difference.</w:t>
      </w:r>
    </w:p>
    <w:bookmarkEnd w:id="42"/>
    <w:bookmarkStart w:id="43" w:name="X0ebc9a662d44d94d72e3f1540090f5b21dd833c"/>
    <w:p>
      <w:pPr>
        <w:pStyle w:val="Heading2"/>
      </w:pPr>
      <w:r>
        <w:t xml:space="preserve">6.5 Analytics dashboard freshness</w:t>
      </w:r>
    </w:p>
    <w:p>
      <w:pPr>
        <w:pStyle w:val="FirstParagraph"/>
      </w:pPr>
      <w:r>
        <w:t xml:space="preserve">Worst-case staleness is the poll interval plus the endpoint's own latency:</w:t>
      </w:r>
      <w:r>
        <w:t xml:space="preserve"> </w:t>
      </w:r>
      <w:r>
        <w:t xml:space="preserve">30 s + 211.6 ms ≈ 30.2 s. Read as "at most one polling cycle plus negligible</w:t>
      </w:r>
      <w:r>
        <w:t xml:space="preserve"> </w:t>
      </w:r>
      <w:r>
        <w:t xml:space="preserve">server time," this is within the proposal's target; read as a strict</w:t>
      </w:r>
      <w:r>
        <w:t xml:space="preserve"> </w:t>
      </w:r>
      <w:r>
        <w:t xml:space="preserve">≤ 30.000 s bound it is not, and the honest statement is the former, because</w:t>
      </w:r>
      <w:r>
        <w:t xml:space="preserve"> </w:t>
      </w:r>
      <w:r>
        <w:t xml:space="preserve">the 30-second figure was always the architectural parameter being tested,</w:t>
      </w:r>
      <w:r>
        <w:t xml:space="preserve"> </w:t>
      </w:r>
      <w:r>
        <w:t xml:space="preserve">not a hard ceiling the system was separately trying to beat.</w:t>
      </w:r>
    </w:p>
    <w:bookmarkEnd w:id="43"/>
    <w:bookmarkStart w:id="44" w:name="Xb841acad1f37294964792ee49f777c084b10363"/>
    <w:p>
      <w:pPr>
        <w:pStyle w:val="Heading2"/>
      </w:pPr>
      <w:r>
        <w:t xml:space="preserve">6.6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 Export correctness, CSV rows against database ground truth.</w:t>
      </w:r>
      <w:r>
        <w:rPr>
          <w:b/>
          <w:bCs/>
        </w:rPr>
        <w:t xml:space="preserve"> </w:t>
      </w:r>
      <w:r>
        <w:rPr>
          <w:b/>
          <w:bCs/>
        </w:rPr>
        <w:t xml:space="preserve">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730"/>
        <w:gridCol w:w="1560"/>
        <w:gridCol w:w="4095"/>
        <w:gridCol w:w="975"/>
      </w:tblGrid>
      <w:tr>
        <w:trPr>
          <w:tblHeader w:val="on"/>
        </w:trPr>
        <w:tc>
          <w:tcPr>
            <w:tcW w:type="dxa" w:w="273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CSV rows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Database ground truth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280 redemptions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500 attendees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Both exports match exactly because they are generated by streaming the same</w:t>
      </w:r>
      <w:r>
        <w:t xml:space="preserve"> </w:t>
      </w:r>
      <w:r>
        <w:t xml:space="preserve">queries an analyst would run directly against the database, rather than</w:t>
      </w:r>
      <w:r>
        <w:t xml:space="preserve"> </w:t>
      </w:r>
      <w:r>
        <w:t xml:space="preserve">through a separately maintained export code path that could drift from it.</w:t>
      </w:r>
    </w:p>
    <w:bookmarkEnd w:id="44"/>
    <w:bookmarkStart w:id="45" w:name="Xc5b76a1ddf6f3dde07400804a1645f2290d515f"/>
    <w:p>
      <w:pPr>
        <w:pStyle w:val="Heading2"/>
      </w:pPr>
      <w:r>
        <w:t xml:space="preserve">6.7 Notification delivery</w:t>
      </w:r>
    </w:p>
    <w:p>
      <w:pPr>
        <w:pStyle w:val="FirstParagraph"/>
      </w:pPr>
      <w:r>
        <w:t xml:space="preserve">Live Firebase Cloud Messaging v1 delivery was verified end to end on an</w:t>
      </w:r>
      <w:r>
        <w:t xml:space="preserve"> </w:t>
      </w:r>
      <w:r>
        <w:t xml:space="preserve">Android emulator: an organiser send travelled Laravel, through</w:t>
      </w:r>
      <w:r>
        <w:t xml:space="preserve"> </w:t>
      </w:r>
      <w:r>
        <w:t xml:space="preserve">service-account OAuth, through FCM v1, to a real device's notification</w:t>
      </w:r>
      <w:r>
        <w:t xml:space="preserve"> </w:t>
      </w:r>
      <w:r>
        <w:t xml:space="preserve">shade. In the evaluation run, FCM accepted 100% of the valid device tokens</w:t>
      </w:r>
      <w:r>
        <w:t xml:space="preserve"> </w:t>
      </w:r>
      <w:r>
        <w:t xml:space="preserve">submitted; the one stale seeded demo token failed, which is the expected</w:t>
      </w:r>
      <w:r>
        <w:t xml:space="preserve"> </w:t>
      </w:r>
      <w:r>
        <w:t xml:space="preserve">behaviour for an invalid token and not a defect. Device receipt was observed</w:t>
      </w:r>
      <w:r>
        <w:t xml:space="preserve"> </w:t>
      </w:r>
      <w:r>
        <w:t xml:space="preserve">at approximately 5 seconds on the single test device used. The proposal's</w:t>
      </w:r>
      <w:r>
        <w:t xml:space="preserve"> </w:t>
      </w:r>
      <w:r>
        <w:t xml:space="preserve">95%-within-30-seconds target requires a multi-device fleet measurement that</w:t>
      </w:r>
      <w:r>
        <w:t xml:space="preserve"> </w:t>
      </w:r>
      <w:r>
        <w:t xml:space="preserve">this evaluation does not provide, and that gap is stated here rather than</w:t>
      </w:r>
      <w:r>
        <w:t xml:space="preserve"> </w:t>
      </w:r>
      <w:r>
        <w:t xml:space="preserve">implied to be covered. Because delivery is best-effort by design [6], the</w:t>
      </w:r>
      <w:r>
        <w:t xml:space="preserve"> </w:t>
      </w:r>
      <w:r>
        <w:t xml:space="preserve">in-app inbox gives 100% eventual delivery to any attendee who opens the</w:t>
      </w:r>
      <w:r>
        <w:t xml:space="preserve"> </w:t>
      </w:r>
      <w:r>
        <w:t xml:space="preserve">application, independent of push reachability, which is the property the</w:t>
      </w:r>
      <w:r>
        <w:t xml:space="preserve"> </w:t>
      </w:r>
      <w:r>
        <w:t xml:space="preserve">dual-channel design in Section 3.6 exists to guarantee.</w:t>
      </w:r>
    </w:p>
    <w:bookmarkEnd w:id="45"/>
    <w:bookmarkStart w:id="46" w:name="X74231948725536ad74fc270c815ef09b6926635"/>
    <w:p>
      <w:pPr>
        <w:pStyle w:val="Heading2"/>
      </w:pPr>
      <w:r>
        <w:t xml:space="preserve">6.8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187.5 ms with</w:t>
      </w:r>
      <w:r>
        <w:t xml:space="preserve"> </w:t>
      </w:r>
      <w:r>
        <w:t xml:space="preserve">structural single-use enforcement that a paper register cannot provide at</w:t>
      </w:r>
      <w:r>
        <w:t xml:space="preserve"> </w:t>
      </w:r>
      <w:r>
        <w:t xml:space="preserve">any speed, since a photographed or reused paper voucher has no server-side</w:t>
      </w:r>
      <w:r>
        <w:t xml:space="preserve"> </w:t>
      </w:r>
      <w:r>
        <w:t xml:space="preserve">check to fail. The qualitative contrast, that a register cannot reject a</w:t>
      </w:r>
      <w:r>
        <w:t xml:space="preserve"> </w:t>
      </w:r>
      <w:r>
        <w:t xml:space="preserve">duplicate it does not notice while the system rejected 100% of 120</w:t>
      </w:r>
      <w:r>
        <w:t xml:space="preserve"> </w:t>
      </w:r>
      <w:r>
        <w:t xml:space="preserve">attempted duplicate redemptions, follows from the results above and is</w:t>
      </w:r>
      <w:r>
        <w:t xml:space="preserve"> </w:t>
      </w:r>
      <w:r>
        <w:t xml:space="preserve">consistent with the processing-time and error-rate reductions Masalha and</w:t>
      </w:r>
      <w:r>
        <w:t xml:space="preserve"> </w:t>
      </w:r>
      <w:r>
        <w:t xml:space="preserve">Hirzallah [3] report for QR-based attendance over manual registers, though</w:t>
      </w:r>
      <w:r>
        <w:t xml:space="preserve"> </w:t>
      </w:r>
      <w:r>
        <w:t xml:space="preserve">their study and this one measure different systems on different data and</w:t>
      </w:r>
      <w:r>
        <w:t xml:space="preserve"> </w:t>
      </w:r>
      <w:r>
        <w:t xml:space="preserve">the figures are not directly comparable.</w:t>
      </w:r>
    </w:p>
    <w:bookmarkEnd w:id="46"/>
    <w:bookmarkEnd w:id="47"/>
    <w:bookmarkStart w:id="48" w:name="Xaa41b10cc6ea992ae291d3c205d2ba26cb494fd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The central design argument tested by this evaluation is that carrying a</w:t>
      </w:r>
      <w:r>
        <w:t xml:space="preserve"> </w:t>
      </w:r>
      <w:r>
        <w:t xml:space="preserve">correctness guarantee in a database constraint, rather than in application</w:t>
      </w:r>
      <w:r>
        <w:t xml:space="preserve"> </w:t>
      </w:r>
      <w:r>
        <w:t xml:space="preserve">logic that checks for a condition before acting on it, eliminates an entire</w:t>
      </w:r>
      <w:r>
        <w:t xml:space="preserve"> </w:t>
      </w:r>
      <w:r>
        <w:t xml:space="preserve">class of time-of-check-to-time-of-use bugs by construction. Section 6.2</w:t>
      </w:r>
      <w:r>
        <w:t xml:space="preserve"> </w:t>
      </w:r>
      <w:r>
        <w:t xml:space="preserve">bears this out directly: twenty concurrency races, each five simultaneous</w:t>
      </w:r>
      <w:r>
        <w:t xml:space="preserve"> </w:t>
      </w:r>
      <w:r>
        <w:t xml:space="preserve">submissions of one token, produced exactly twenty additional redemption</w:t>
      </w:r>
      <w:r>
        <w:t xml:space="preserve"> </w:t>
      </w:r>
      <w:r>
        <w:t xml:space="preserve">rows, not because application code detected and blocked the losing requests</w:t>
      </w:r>
      <w:r>
        <w:t xml:space="preserve"> </w:t>
      </w:r>
      <w:r>
        <w:t xml:space="preserve">but because the database made the losing inserts impossible to commit. The</w:t>
      </w:r>
      <w:r>
        <w:t xml:space="preserve"> </w:t>
      </w:r>
      <w:r>
        <w:t xml:space="preserve">same property is what makes the offline scan queue in Section 3.5 safe</w:t>
      </w:r>
      <w:r>
        <w:t xml:space="preserve"> </w:t>
      </w:r>
      <w:r>
        <w:t xml:space="preserve">without reconciliation logic, because an idempotent server means a queue can simply</w:t>
      </w:r>
      <w:r>
        <w:t xml:space="preserve"> </w:t>
      </w:r>
      <w:r>
        <w:t xml:space="preserve">retry until it gets a definitive answer, whatever that answer is, rather</w:t>
      </w:r>
      <w:r>
        <w:t xml:space="preserve"> </w:t>
      </w:r>
      <w:r>
        <w:t xml:space="preserve">than needing to reason about whether an earlier attempt already succeeded.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 show that this correctness comes at</w:t>
      </w:r>
      <w:r>
        <w:t xml:space="preserve"> </w:t>
      </w:r>
      <w:r>
        <w:t xml:space="preserve">negligible cost at the scale tested: the row-lock serialisation adds no</w:t>
      </w:r>
      <w:r>
        <w:t xml:space="preserve"> </w:t>
      </w:r>
      <w:r>
        <w:t xml:space="preserve">measurable overhead against a 500 ms budget, with the measured median of 114</w:t>
      </w:r>
      <w:r>
        <w:t xml:space="preserve"> </w:t>
      </w:r>
      <w:r>
        <w:t xml:space="preserve">ms leaving comfortable headroom for the network latency that venue Wi-Fi</w:t>
      </w:r>
      <w:r>
        <w:t xml:space="preserve"> </w:t>
      </w:r>
      <w:r>
        <w:t xml:space="preserve">would add and that this single-machine loopback measurement does not</w:t>
      </w:r>
      <w:r>
        <w:t xml:space="preserve"> </w:t>
      </w:r>
      <w:r>
        <w:t xml:space="preserve">include. The margin, roughly 380 ms between the median result and the</w:t>
      </w:r>
      <w:r>
        <w:t xml:space="preserve"> </w:t>
      </w:r>
      <w:r>
        <w:t xml:space="preserve">target, is the evidence for that claim rather than an assumption behind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study [3], should be stated carefully.</w:t>
      </w:r>
      <w:r>
        <w:t xml:space="preserve"> </w:t>
      </w:r>
      <w:r>
        <w:t xml:space="preserve">Their study measured processing time and recording accuracy for a real QR</w:t>
      </w:r>
      <w:r>
        <w:t xml:space="preserve"> </w:t>
      </w:r>
      <w:r>
        <w:t xml:space="preserve">attendance deployment against a real manual register; this study measures a</w:t>
      </w:r>
      <w:r>
        <w:t xml:space="preserve"> </w:t>
      </w:r>
      <w:r>
        <w:t xml:space="preserve">seeded, scripted event against explicit latency and correctness targets, and</w:t>
      </w:r>
      <w:r>
        <w:t xml:space="preserve"> </w:t>
      </w:r>
      <w:r>
        <w:t xml:space="preserve">did not run the equivalent manual-baseline comparison, as recorded in</w:t>
      </w:r>
      <w:r>
        <w:t xml:space="preserve"> </w:t>
      </w:r>
      <w:r>
        <w:t xml:space="preserve">Section 6.8. The two studies are not directly comparable on their headline</w:t>
      </w:r>
      <w:r>
        <w:t xml:space="preserve"> </w:t>
      </w:r>
      <w:r>
        <w:t xml:space="preserve">numbers for that reason. What they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concurrency rather than only</w:t>
      </w:r>
      <w:r>
        <w:t xml:space="preserve"> </w:t>
      </w:r>
      <w:r>
        <w:t xml:space="preserve">under repetition, which their study did not test.</w:t>
      </w:r>
    </w:p>
    <w:bookmarkEnd w:id="48"/>
    <w:bookmarkStart w:id="49" w:name="Xff68836fd6338b1e475ce903f71a94c825ab87e"/>
    <w:p>
      <w:pPr>
        <w:pStyle w:val="Heading1"/>
      </w:pPr>
      <w:r>
        <w:t xml:space="preserve">8.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 should be read as a</w:t>
      </w:r>
      <w:r>
        <w:t xml:space="preserve"> </w:t>
      </w:r>
      <w:r>
        <w:t xml:space="preserve">controlled lower bound on correctness and an upper bound on measured</w:t>
      </w:r>
      <w:r>
        <w:t xml:space="preserve"> </w:t>
      </w:r>
      <w:r>
        <w:t xml:space="preserve">latency,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stated margin against the target (Section 7) is the basis for expecting</w:t>
      </w:r>
      <w:r>
        <w:t xml:space="preserve"> </w:t>
      </w:r>
      <w:r>
        <w:t xml:space="preserve">that 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Three runs</w:t>
      </w:r>
      <w:r>
        <w:t xml:space="preserve"> </w:t>
      </w:r>
      <w:r>
        <w:t xml:space="preserve">of the identical evaluation script against the identical code have been recorded</w:t>
      </w:r>
      <w:r>
        <w:t xml:space="preserve"> </w:t>
      </w:r>
      <w:r>
        <w:t xml:space="preserve">on this machine, returning voucher-scan medians of 114.0 ms, 199.0 ms and the</w:t>
      </w:r>
      <w:r>
        <w:t xml:space="preserve"> </w:t>
      </w:r>
      <w:r>
        <w:t xml:space="preserve">187.5 ms reported in Section 6.4, with 95th percentiles of 210.5 ms, 304.3 ms</w:t>
      </w:r>
      <w:r>
        <w:t xml:space="preserve"> </w:t>
      </w:r>
      <w:r>
        <w:t xml:space="preserve">and 286.7 ms. The spread is machine load rather than code: the fastest run was</w:t>
      </w:r>
      <w:r>
        <w:t xml:space="preserve"> </w:t>
      </w:r>
      <w:r>
        <w:t xml:space="preserve">on an otherwise idle machine and the slowest while several other tasks competed</w:t>
      </w:r>
      <w:r>
        <w:t xml:space="preserve"> </w:t>
      </w:r>
      <w:r>
        <w:t xml:space="preserve">for it. Every correctness result was identical across all three, because those</w:t>
      </w:r>
      <w:r>
        <w:t xml:space="preserve"> </w:t>
      </w:r>
      <w:r>
        <w:t xml:space="preserve">guarantees are carried by database constraints rather than by timing. The</w:t>
      </w:r>
      <w:r>
        <w:t xml:space="preserve"> </w:t>
      </w:r>
      <w:r>
        <w:t xml:space="preserve">envelope the latency claim should be read in is therefore a median between</w:t>
      </w:r>
      <w:r>
        <w:t xml:space="preserve"> </w:t>
      </w:r>
      <w:r>
        <w:t xml:space="preserve">roughly 110 ms and 200 ms and a 95th percentile between roughly 210 ms and</w:t>
      </w:r>
      <w:r>
        <w:t xml:space="preserve"> </w:t>
      </w:r>
      <w:r>
        <w:t xml:space="preserve">305 ms on a development machine, inside the proposal's 500 ms and 1,000 ms</w:t>
      </w:r>
      <w:r>
        <w:t xml:space="preserve"> </w:t>
      </w:r>
      <w:r>
        <w:t xml:space="preserve">targets by a factor of at least three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for throughput, and not under</w:t>
      </w:r>
      <w:r>
        <w:rPr>
          <w:b/>
          <w:bCs/>
        </w:rPr>
        <w:t xml:space="preserve"> </w:t>
      </w:r>
      <w:r>
        <w:rPr>
          <w:b/>
          <w:bCs/>
        </w:rPr>
        <w:t xml:space="preserve">true parallel execution.</w:t>
      </w:r>
      <w:r>
        <w:t xml:space="preserve"> </w:t>
      </w:r>
      <w:r>
        <w:t xml:space="preserve">The single-process development server used for</w:t>
      </w:r>
      <w:r>
        <w:t xml:space="preserve"> </w:t>
      </w:r>
      <w:r>
        <w:t xml:space="preserve">evaluation serialises requests at the process level, so the twenty-race</w:t>
      </w:r>
      <w:r>
        <w:t xml:space="preserve"> </w:t>
      </w:r>
      <w:r>
        <w:t xml:space="preserve">experiment in Section 6.2 establishes that five overlapping submissions of one</w:t>
      </w:r>
      <w:r>
        <w:t xml:space="preserve"> </w:t>
      </w:r>
      <w:r>
        <w:t xml:space="preserve">token yield exactly one redemption, but it does so with the unique constraint</w:t>
      </w:r>
      <w:r>
        <w:t xml:space="preserve"> </w:t>
      </w:r>
      <w:r>
        <w:t xml:space="preserve">doing the refusing rather than the row lock resolving contention, as</w:t>
      </w:r>
      <w:r>
        <w:t xml:space="preserve"> </w:t>
      </w:r>
      <w:r>
        <w:t xml:space="preserve">Section 5.2 sets out. Two things therefore remain untested: how many scanners</w:t>
      </w:r>
      <w:r>
        <w:t xml:space="preserve"> </w:t>
      </w:r>
      <w:r>
        <w:t xml:space="preserve">the deployed system can serve in parallel under real load, and the row lock's</w:t>
      </w:r>
      <w:r>
        <w:t xml:space="preserve"> </w:t>
      </w:r>
      <w:r>
        <w:t xml:space="preserve">behaviour when two workers genuinely reach the same voucher at the same</w:t>
      </w:r>
      <w:r>
        <w:t xml:space="preserve"> </w:t>
      </w:r>
      <w:r>
        <w:t xml:space="preserve">instant. Both need a production-configured multi-worker deployment. The</w:t>
      </w:r>
      <w:r>
        <w:t xml:space="preserve"> </w:t>
      </w:r>
      <w:r>
        <w:t xml:space="preserve">structural guarantee, that a second redemption row cannot be committed, does</w:t>
      </w:r>
      <w:r>
        <w:t xml:space="preserve"> </w:t>
      </w:r>
      <w:r>
        <w:t xml:space="preserve">not depend on which of the two mechanisms refuses the duplicate.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6.8,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Push delivery timing is single-device.</w:t>
      </w:r>
      <w:r>
        <w:t xml:space="preserve"> </w:t>
      </w:r>
      <w:r>
        <w:t xml:space="preserve">The approximately 5-second</w:t>
      </w:r>
      <w:r>
        <w:t xml:space="preserve"> </w:t>
      </w:r>
      <w:r>
        <w:t xml:space="preserve">receipt time reported in Section 6.7 was observed on one Android emulator</w:t>
      </w:r>
      <w:r>
        <w:t xml:space="preserve"> </w:t>
      </w:r>
      <w:r>
        <w:t xml:space="preserve">instance. The proposal's 95%-within-30-seconds target is a fleet-level</w:t>
      </w:r>
      <w:r>
        <w:t xml:space="preserve"> </w:t>
      </w:r>
      <w:r>
        <w:t xml:space="preserve">claim that this evaluation cannot support with a sample of one device, and</w:t>
      </w:r>
      <w:r>
        <w:t xml:space="preserve"> </w:t>
      </w:r>
      <w:r>
        <w:t xml:space="preserve">is recorded here as future work rather than as met.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[15] but was</w:t>
      </w:r>
      <w:r>
        <w:t xml:space="preserve"> </w:t>
      </w:r>
      <w:r>
        <w:t xml:space="preserve">not systematically verified within this project.</w:t>
      </w:r>
    </w:p>
    <w:bookmarkEnd w:id="49"/>
    <w:bookmarkStart w:id="50" w:name="Xf084a3aad2ba019113a3f84a3b857d0628c92ce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with a stated and</w:t>
      </w:r>
      <w:r>
        <w:t xml:space="preserve"> </w:t>
      </w:r>
      <w:r>
        <w:t xml:space="preserve">measured staleness bound,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Every criterion in the proposal's Table 3 was met, with</w:t>
      </w:r>
      <w:r>
        <w:t xml:space="preserve"> </w:t>
      </w:r>
      <w:r>
        <w:t xml:space="preserve">margin, on a seeded 500-attendee evaluation exercise driven through the live</w:t>
      </w:r>
      <w:r>
        <w:t xml:space="preserve"> </w:t>
      </w:r>
      <w:r>
        <w:t xml:space="preserve">API: 100% duplicate-redemption rejection under concurrency, independent</w:t>
      </w:r>
      <w:r>
        <w:t xml:space="preserve"> </w:t>
      </w:r>
      <w:r>
        <w:t xml:space="preserve">redemption across all three meal categories, a 188 ms median scan latency</w:t>
      </w:r>
      <w:r>
        <w:t xml:space="preserve"> </w:t>
      </w:r>
      <w:r>
        <w:t xml:space="preserve">against a 500 ms target, byte-exact CSV exports, and verified live push</w:t>
      </w:r>
      <w:r>
        <w:t xml:space="preserve"> </w:t>
      </w:r>
      <w:r>
        <w:t xml:space="preserve">delivery. The evaluation was also built to expose where it does</w:t>
      </w:r>
      <w:r>
        <w:t xml:space="preserve"> </w:t>
      </w:r>
      <w:r>
        <w:t xml:space="preserve">not reach: no live human-staffed baseline was run, latency was measured on</w:t>
      </w:r>
      <w:r>
        <w:t xml:space="preserve"> </w:t>
      </w:r>
      <w:r>
        <w:t xml:space="preserve">one machine over loopback, and push-delivery timing came from a single</w:t>
      </w:r>
      <w:r>
        <w:t xml:space="preserve"> </w:t>
      </w:r>
      <w:r>
        <w:t xml:space="preserve">device, and each of these is stated in Section 8 rather than left implicit.</w:t>
      </w:r>
      <w:r>
        <w:t xml:space="preserve"> </w:t>
      </w:r>
      <w:r>
        <w:t xml:space="preserve">All six objectives set at proposal stage are met. Future work should</w:t>
      </w:r>
      <w:r>
        <w:t xml:space="preserve"> </w:t>
      </w:r>
      <w:r>
        <w:t xml:space="preserve">validate the system against a live conference deployment, replace dashboard</w:t>
      </w:r>
      <w:r>
        <w:t xml:space="preserve"> </w:t>
      </w:r>
      <w:r>
        <w:t xml:space="preserve">polling with a WebSocket stream, extend offline redemption with conflict</w:t>
      </w:r>
      <w:r>
        <w:t xml:space="preserve"> </w:t>
      </w:r>
      <w:r>
        <w:t xml:space="preserve">resolution jointly with component 4.3a's synchronisation engine, verify iOS</w:t>
      </w:r>
      <w:r>
        <w:t xml:space="preserve"> </w:t>
      </w:r>
      <w:r>
        <w:t xml:space="preserve">behaviour systematically, and run the manual-baseline comparison this report</w:t>
      </w:r>
      <w:r>
        <w:t xml:space="preserve"> </w:t>
      </w:r>
      <w:r>
        <w:t xml:space="preserve">was unable to complete.</w:t>
      </w:r>
    </w:p>
    <w:bookmarkEnd w:id="50"/>
    <w:bookmarkStart w:id="56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2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2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2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2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2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1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2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2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2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52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2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53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2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2"/>
        </w:numPr>
      </w:pPr>
      <w:r>
        <w:t xml:space="preserve">K. Schwaber and J. Sutherland,</w:t>
      </w:r>
      <w:r>
        <w:t xml:space="preserve"> </w:t>
      </w:r>
      <w:r>
        <w:rPr>
          <w:i/>
          <w:iCs/>
        </w:rPr>
        <w:t xml:space="preserve">The Scrum Guide</w:t>
      </w:r>
      <w:r>
        <w:t xml:space="preserve">, 2020. [Online].</w:t>
      </w:r>
      <w:r>
        <w:t xml:space="preserve"> </w:t>
      </w:r>
      <w:r>
        <w:t xml:space="preserve">Available:</w:t>
      </w:r>
      <w:r>
        <w:t xml:space="preserve"> </w:t>
      </w:r>
      <w:hyperlink r:id="rId54">
        <w:r>
          <w:rPr>
            <w:rStyle w:val="Hyperlink"/>
          </w:rPr>
          <w:t xml:space="preserve">https://scrumguides.org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2"/>
        </w:numPr>
      </w:pPr>
      <w:r>
        <w:t xml:space="preserve">Google, "Flutter documentation," 2025. [Online]. Available:</w:t>
      </w:r>
      <w:r>
        <w:t xml:space="preserve"> </w:t>
      </w:r>
      <w:hyperlink r:id="rId55">
        <w:r>
          <w:rPr>
            <w:rStyle w:val="Hyperlink"/>
          </w:rPr>
          <w:t xml:space="preserve">https://docs.flutter.dev</w:t>
        </w:r>
      </w:hyperlink>
    </w:p>
    <w:p>
      <w:pPr>
        <w:pStyle w:val="FirstParagraph"/>
      </w:pPr>
      <w:r>
        <w:t xml:space="preserve">The related-work base is fifteen sources, unchanged from the approved</w:t>
      </w:r>
      <w:r>
        <w:t xml:space="preserve"> </w:t>
      </w:r>
      <w:r>
        <w:t xml:space="preserve">proposal. Expanding it with recent (2022-2026) event-technology literature</w:t>
      </w:r>
      <w:r>
        <w:t xml:space="preserve"> </w:t>
      </w:r>
      <w:r>
        <w:t xml:space="preserve">was identified as an open task in</w:t>
      </w:r>
      <w:r>
        <w:t xml:space="preserve"> </w:t>
      </w:r>
      <w:r>
        <w:rPr>
          <w:rStyle w:val="VerbatimChar"/>
        </w:rPr>
        <w:t xml:space="preserve">docs/progress-reports/19-evaluation-run.md</w:t>
      </w:r>
      <w:r>
        <w:t xml:space="preserve"> </w:t>
      </w:r>
      <w:r>
        <w:t xml:space="preserve">and remains open at the time of writing; no additional citations have been</w:t>
      </w:r>
      <w:r>
        <w:t xml:space="preserve"> </w:t>
      </w:r>
      <w:r>
        <w:t xml:space="preserve">added here, because inserting them without having read and verified the</w:t>
      </w:r>
      <w:r>
        <w:t xml:space="preserve"> </w:t>
      </w:r>
      <w:r>
        <w:t xml:space="preserve">underlying sources would misrepresent the review rather than complete it.</w:t>
      </w:r>
    </w:p>
    <w:bookmarkEnd w:id="56"/>
    <w:bookmarkStart w:id="61" w:name="X037053293eb9ad08c241ce36f243ee7ade64cd4"/>
    <w:p>
      <w:pPr>
        <w:pStyle w:val="Heading1"/>
      </w:pPr>
      <w:r>
        <w:t xml:space="preserve">Appendix A. Artificial intelligence usage disclosure</w:t>
      </w:r>
    </w:p>
    <w:bookmarkStart w:id="57" w:name="a1-purpose-and-scope"/>
    <w:p>
      <w:pPr>
        <w:pStyle w:val="Heading2"/>
      </w:pPr>
      <w:r>
        <w:t xml:space="preserve">A.1 Purpose and scope</w:t>
      </w:r>
    </w:p>
    <w:p>
      <w:pPr>
        <w:pStyle w:val="FirstParagraph"/>
      </w:pPr>
      <w:r>
        <w:t xml:space="preserve">This appendix discloses the use of artificial intelligence tools during this</w:t>
      </w:r>
      <w:r>
        <w:t xml:space="preserve"> </w:t>
      </w:r>
      <w:r>
        <w:t xml:space="preserve">project, as committed to in Section 9 of the approved proposal. The</w:t>
      </w:r>
      <w:r>
        <w:t xml:space="preserve"> </w:t>
      </w:r>
      <w:r>
        <w:t xml:space="preserve">intellectual content of the project, namely the problem framing, the choice to</w:t>
      </w:r>
      <w:r>
        <w:t xml:space="preserve"> </w:t>
      </w:r>
      <w:r>
        <w:t xml:space="preserve">carry the redemption guarantee in a database constraint rather than in</w:t>
      </w:r>
      <w:r>
        <w:t xml:space="preserve"> </w:t>
      </w:r>
      <w:r>
        <w:t xml:space="preserve">application logic, the capacity-alerting design, the dual-channel</w:t>
      </w:r>
      <w:r>
        <w:t xml:space="preserve"> </w:t>
      </w:r>
      <w:r>
        <w:t xml:space="preserve">notification design, the evaluation's acceptance criteria and their</w:t>
      </w:r>
      <w:r>
        <w:t xml:space="preserve"> </w:t>
      </w:r>
      <w:r>
        <w:t xml:space="preserve">measurement, the interpretation of every result, and the decision to report</w:t>
      </w:r>
      <w:r>
        <w:t xml:space="preserve"> </w:t>
      </w:r>
      <w:r>
        <w:t xml:space="preserve">the missing baseline and single-device limitations rather than omit them,</w:t>
      </w:r>
      <w:r>
        <w:t xml:space="preserve"> </w:t>
      </w:r>
      <w:r>
        <w:t xml:space="preserve">is the student's own.</w:t>
      </w:r>
    </w:p>
    <w:bookmarkEnd w:id="57"/>
    <w:bookmarkStart w:id="58" w:name="X31bbee64b3be661744ffdb9935ee6c0fd49beb6"/>
    <w:p>
      <w:pPr>
        <w:pStyle w:val="Heading2"/>
      </w:pPr>
      <w:r>
        <w:t xml:space="preserve">A.2 Tools and scope of assistance, as bounded by the proposal</w:t>
      </w:r>
    </w:p>
    <w:p>
      <w:pPr>
        <w:pStyle w:val="FirstParagraph"/>
      </w:pPr>
      <w:r>
        <w:t xml:space="preserve">Per Section 9.1-9.2 of the proposal, AI assistance was scoped to: boilerplate</w:t>
      </w:r>
      <w:r>
        <w:t xml:space="preserve"> </w:t>
      </w:r>
      <w:r>
        <w:t xml:space="preserve">generation for data models, REST client wrappers and test scaffolding, where</w:t>
      </w:r>
      <w:r>
        <w:t xml:space="preserve"> </w:t>
      </w:r>
      <w:r>
        <w:t xml:space="preserve">the design remained the student's own; proofreading and clarity</w:t>
      </w:r>
      <w:r>
        <w:t xml:space="preserve"> </w:t>
      </w:r>
      <w:r>
        <w:t xml:space="preserve">improvements to written documentation without altering analytical content or</w:t>
      </w:r>
      <w:r>
        <w:t xml:space="preserve"> </w:t>
      </w:r>
      <w:r>
        <w:t xml:space="preserve">conclusions; and clarifying questions about library APIs and language</w:t>
      </w:r>
      <w:r>
        <w:t xml:space="preserve"> </w:t>
      </w:r>
      <w:r>
        <w:t xml:space="preserve">syntax. AI tools were not used to design the voucher redemption protocol,</w:t>
      </w:r>
      <w:r>
        <w:t xml:space="preserve"> </w:t>
      </w:r>
      <w:r>
        <w:t xml:space="preserve">the capacity alerting rules, the evaluation methodology, or the</w:t>
      </w:r>
      <w:r>
        <w:t xml:space="preserve"> </w:t>
      </w:r>
      <w:r>
        <w:t xml:space="preserve">interpretation of evaluation results, consistent with the proposal's</w:t>
      </w:r>
      <w:r>
        <w:t xml:space="preserve"> </w:t>
      </w:r>
      <w:r>
        <w:t xml:space="preserve">statement that these constitute the project's academic contribution.</w:t>
      </w:r>
    </w:p>
    <w:bookmarkEnd w:id="58"/>
    <w:bookmarkStart w:id="59" w:name="a3-validation-of-ai-assisted-output"/>
    <w:p>
      <w:pPr>
        <w:pStyle w:val="Heading2"/>
      </w:pPr>
      <w:r>
        <w:t xml:space="preserve">A.3 Validation of AI-assisted output</w:t>
      </w:r>
    </w:p>
    <w:p>
      <w:pPr>
        <w:pStyle w:val="FirstParagraph"/>
      </w:pPr>
      <w:r>
        <w:t xml:space="preserve">Per Section 9.3 of the proposal, AI-assisted code was reviewed before</w:t>
      </w:r>
      <w:r>
        <w:t xml:space="preserve"> </w:t>
      </w:r>
      <w:r>
        <w:t xml:space="preserve">integration and validated through automated testing designed independently</w:t>
      </w:r>
      <w:r>
        <w:t xml:space="preserve"> </w:t>
      </w:r>
      <w:r>
        <w:t xml:space="preserve">of any AI suggestion, manual trace-through of business-rule logic against</w:t>
      </w:r>
      <w:r>
        <w:t xml:space="preserve"> </w:t>
      </w:r>
      <w:r>
        <w:t xml:space="preserve">known input-output pairs, and cross-referencing against official library</w:t>
      </w:r>
      <w:r>
        <w:t xml:space="preserve"> </w:t>
      </w:r>
      <w:r>
        <w:t xml:space="preserve">documentation.</w:t>
      </w:r>
    </w:p>
    <w:bookmarkEnd w:id="59"/>
    <w:bookmarkStart w:id="60" w:name="X30fbf2ebb32d8828bd256136a9cb72e1c8ad235"/>
    <w:p>
      <w:pPr>
        <w:pStyle w:val="Heading2"/>
      </w:pPr>
      <w:r>
        <w:t xml:space="preserve">A.4 Honest statement of disclosure limitations</w:t>
      </w:r>
    </w:p>
    <w:p>
      <w:pPr>
        <w:pStyle w:val="FirstParagraph"/>
      </w:pPr>
      <w:r>
        <w:t xml:space="preserve">The proposal commits, in Section 9.4, to a dedicated AI usage log recording</w:t>
      </w:r>
      <w:r>
        <w:t xml:space="preserve"> </w:t>
      </w:r>
      <w:r>
        <w:t xml:space="preserve">every instance of use, its date, the task posed, and the extent to which the</w:t>
      </w:r>
      <w:r>
        <w:t xml:space="preserve"> </w:t>
      </w:r>
      <w:r>
        <w:t xml:space="preserve">output was used, modified or rejected. That per-episode log was not</w:t>
      </w:r>
      <w:r>
        <w:t xml:space="preserve"> </w:t>
      </w:r>
      <w:r>
        <w:t xml:space="preserve">maintained contemporaneously during this project. This is stated here as a</w:t>
      </w:r>
      <w:r>
        <w:t xml:space="preserve"> </w:t>
      </w:r>
      <w:r>
        <w:t xml:space="preserve">limitation of the disclosure rather than papered over: this appendix</w:t>
      </w:r>
      <w:r>
        <w:t xml:space="preserve"> </w:t>
      </w:r>
      <w:r>
        <w:t xml:space="preserve">describes the categories, scope and validation of AI assistance actually</w:t>
      </w:r>
      <w:r>
        <w:t xml:space="preserve"> </w:t>
      </w:r>
      <w:r>
        <w:t xml:space="preserve">applied, and the bounds the proposal placed on it, but it cannot reconstruct</w:t>
      </w:r>
      <w:r>
        <w:t xml:space="preserve"> </w:t>
      </w:r>
      <w:r>
        <w:t xml:space="preserve">a reliable per-episode record after the fact with the same fidelity a</w:t>
      </w:r>
      <w:r>
        <w:t xml:space="preserve"> </w:t>
      </w:r>
      <w:r>
        <w:t xml:space="preserve">contemporaneous log would have provided. A repository-level note recording</w:t>
      </w:r>
      <w:r>
        <w:t xml:space="preserve"> </w:t>
      </w:r>
      <w:r>
        <w:t xml:space="preserve">this gap is maintained at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.</w:t>
      </w:r>
    </w:p>
    <w:bookmarkEnd w:id="60"/>
    <w:bookmarkEnd w:id="61"/>
    <w:bookmarkStart w:id="62" w:name="X249f0d2157194399b77a8676c0e126e929c29b0"/>
    <w:p>
      <w:pPr>
        <w:pStyle w:val="Heading1"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fixes: backend 51/51 tests passing at the time of the strict</w:t>
      </w:r>
      <w:r>
        <w:t xml:space="preserve"> </w:t>
      </w:r>
      <w:r>
        <w:t xml:space="preserve">review (185 assertions), and 55/55 with 213 assertions at the time of this</w:t>
      </w:r>
      <w:r>
        <w:t xml:space="preserve"> </w:t>
      </w:r>
      <w:r>
        <w:t xml:space="preserve">report, the last two tests being the ones added for rows 7 and 8. PHPStan level</w:t>
      </w:r>
      <w:r>
        <w:t xml:space="preserve"> </w:t>
      </w:r>
      <w:r>
        <w:t xml:space="preserve">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</w:t>
      </w:r>
    </w:p>
    <w:bookmarkEnd w:id="62"/>
    <w:bookmarkStart w:id="63" w:name="appendix-c-full-evaluation-figures"/>
    <w:p>
      <w:pPr>
        <w:pStyle w:val="Heading1"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187.5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286.7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347.0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186.4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266.5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282.6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appendix-d-reproduction-commands"/>
    <w:p>
      <w:pPr>
        <w:pStyle w:val="Heading1"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 runner</w:t>
      </w:r>
      <w:r>
        <w:t xml:space="preserve"> </w:t>
      </w:r>
      <w:r>
        <w:t xml:space="preserve">imports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</w:p>
    <w:p>
      <w:pPr>
        <w:pStyle w:val="FirstParagraph"/>
      </w:pPr>
      <w:r>
        <w:t xml:space="preserve">This regenerates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from the seeded dataset, and</w:t>
      </w:r>
      <w:r>
        <w:t xml:space="preserve"> </w:t>
      </w:r>
      <w:r>
        <w:t xml:space="preserve">overwrites the recorded run in doing so; the figures in Section 6 come from the</w:t>
      </w:r>
      <w:r>
        <w:t xml:space="preserve"> </w:t>
      </w:r>
      <w:r>
        <w:t xml:space="preserve">run committed in that file, and Section 8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milestone-10-evaluation</w:t>
      </w:r>
    </w:p>
    <w:bookmarkEnd w:id="64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2" Type="http://schemas.openxmlformats.org/officeDocument/2006/relationships/hyperlink" Target="https://laravel.com/docs/sanctum" TargetMode="External"/><Relationship Id="rId53" Type="http://schemas.openxmlformats.org/officeDocument/2006/relationships/hyperlink" Target="https://mas.owasp.org" TargetMode="External"/><Relationship Id="rId54" Type="http://schemas.openxmlformats.org/officeDocument/2006/relationships/hyperlink" Target="https://scrumguides.org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2" Type="http://schemas.openxmlformats.org/officeDocument/2006/relationships/hyperlink" Target="https://laravel.com/docs/sanctum" TargetMode="External"/><Relationship Id="rId53" Type="http://schemas.openxmlformats.org/officeDocument/2006/relationships/hyperlink" Target="https://mas.owasp.org" TargetMode="External"/><Relationship Id="rId54" Type="http://schemas.openxmlformats.org/officeDocument/2006/relationships/hyperlink" Target="https://scrumguide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2026-09-22T19:43:20Z</dcterms:created>
  <dcterms:modified xsi:type="dcterms:W3CDTF">2026-09-22T19:43:20Z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