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ConferenceCheck Mobile: Analytics, Meals and Notifications: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ConferenceCheck Mobile: Analytics, Meals and Notifications (component 4.3b)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Ndashi Bwalya Chisanga, computer number 2021470105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rPr>
          <w:b/>
          <w:bCs/>
        </w:rPr>
        <w:t xml:space="preserve">Validated state: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milestone-12-final-submission</w:t>
      </w:r>
    </w:p>
    <w:p>
      <w:pPr>
        <w:pStyle w:val="BodyText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seeded dataset, the commands that reproduce every figure,</w:t>
      </w:r>
      <w:r>
        <w:t xml:space="preserve"> </w:t>
      </w:r>
      <w:r>
        <w:t xml:space="preserve">and the acceptance criteria each run is held to (proposal Section 5, Table 3).</w:t>
      </w:r>
      <w:r>
        <w:t xml:space="preserve"> </w:t>
      </w:r>
      <w:r>
        <w:t xml:space="preserve">Every number below is taken from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or from a</w:t>
      </w:r>
      <w:r>
        <w:t xml:space="preserve"> </w:t>
      </w:r>
      <w:r>
        <w:t xml:space="preserve">named test/command output, and the source is named alongside it.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Latencies are quoted in milliseconds to one decimal place.</w:t>
      </w:r>
      <w:r>
        <w:t xml:space="preserve"> </w:t>
      </w:r>
      <w:r>
        <w:t xml:space="preserve">Counts and rejection rates are exact. All timings are wall-clock, from a</w:t>
      </w:r>
      <w:r>
        <w:t xml:space="preserve"> </w:t>
      </w:r>
      <w:r>
        <w:t xml:space="preserve">single named run on a local PHP 8.5.8 / PostgreSQL 18 stack, and the run is</w:t>
      </w:r>
      <w:r>
        <w:t xml:space="preserve"> </w:t>
      </w:r>
      <w:r>
        <w:t xml:space="preserve">always named.</w:t>
      </w:r>
    </w:p>
    <w:bookmarkStart w:id="10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13"/>
        <w:gridCol w:w="7367"/>
        <w:gridCol w:w="780"/>
      </w:tblGrid>
      <w:tr>
        <w:trPr>
          <w:tblHeader w:val="on"/>
        </w:trP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Headline 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Auditable evidence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The environment these commands assume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10"/>
    <w:bookmarkStart w:id="11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evaluation exercise seeds a 500-attendee event with three meal categories,</w:t>
      </w:r>
      <w:r>
        <w:t xml:space="preserve"> </w:t>
      </w:r>
      <w:r>
        <w:t xml:space="preserve">a voucher issued per attendee per category for 1,500 vouchers in all, and ten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tools/seed-evaluation-event.php</w:t>
      </w:r>
      <w:r>
        <w:t xml:space="preserve">), then drives it through the real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tools/run-evaluation.py</w:t>
      </w:r>
      <w:r>
        <w:t xml:space="preserve">) rather than through unit-level mocks.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045"/>
        <w:gridCol w:w="3252"/>
        <w:gridCol w:w="2062"/>
      </w:tblGrid>
      <w:tr>
        <w:trPr>
          <w:tblHeader w:val="on"/>
        </w:trP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Duplicate redemption rejection, sequential re-scans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Dashboard/analytics freshness, worst case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≈ 30.2 s (30 s poll + 211.6 ms endpoint)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exact (780/780 rows across both reports)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in Table 3 is met, with margin, on this</w:t>
      </w:r>
      <w:r>
        <w:t xml:space="preserve"> </w:t>
      </w:r>
      <w:r>
        <w:t xml:space="preserve">run. The narrowest margin is dashboard freshness, which is bound by the</w:t>
      </w:r>
      <w:r>
        <w:t xml:space="preserve"> </w:t>
      </w:r>
      <w:r>
        <w:t xml:space="preserve">30-second polling interval documented as a deliberate trade-off in the</w:t>
      </w:r>
      <w:r>
        <w:t xml:space="preserve"> </w:t>
      </w:r>
      <w:r>
        <w:t xml:space="preserve">proposal's limitations (Section 8), not by anything measured here.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python tools/run-evaluation.py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.</w:t>
      </w:r>
    </w:p>
    <w:bookmarkEnd w:id="11"/>
    <w:bookmarkStart w:id="12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milestone-12-final-submission</w:t>
      </w:r>
      <w:r>
        <w:t xml:space="preserve">. The exact commit it</w:t>
      </w:r>
      <w:r>
        <w:t xml:space="preserve"> </w:t>
      </w:r>
      <w:r>
        <w:t xml:space="preserve">resolves to 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milestone-12-final-submission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milestone-12-final-submission</w:t>
      </w:r>
      <w:r>
        <w:t xml:space="preserve"> </w:t>
      </w:r>
      <w:r>
        <w:t xml:space="preserve">is an annotated tag; a bare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on it</w:t>
      </w:r>
      <w:r>
        <w:t xml:space="preserve"> </w:t>
      </w:r>
      <w:r>
        <w:t xml:space="preserve">returns the tag object's own hash, not the commit, so use</w:t>
      </w:r>
      <w:r>
        <w:t xml:space="preserve"> </w:t>
      </w:r>
      <w:r>
        <w:rPr>
          <w:rStyle w:val="VerbatimChar"/>
        </w:rPr>
        <w:t xml:space="preserve">rev-list -n1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rev-parse milestone-12-final-submission^{commit}</w:t>
      </w:r>
      <w:r>
        <w:t xml:space="preserve"> </w:t>
      </w:r>
      <w:r>
        <w:t xml:space="preserve">to resolve to the commit.)</w:t>
      </w:r>
    </w:p>
    <w:p>
      <w:pPr>
        <w:pStyle w:val="BodyText"/>
      </w:pPr>
      <w:r>
        <w:t xml:space="preserve">The tag table in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 and what</w:t>
      </w:r>
      <w:r>
        <w:t xml:space="preserve"> </w:t>
      </w:r>
      <w:r>
        <w:t xml:space="preserve">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PHP 8.5.8 with PostgreSQL 18:</w:t>
      </w:r>
    </w:p>
    <w:p>
      <w:pPr>
        <w:pStyle w:val="SourceCode"/>
      </w:pPr>
      <w:r>
        <w:rPr>
          <w:rStyle w:val="VerbatimChar"/>
        </w:rPr>
        <w:t xml:space="preserve">$ php artisan test</w:t>
      </w:r>
      <w:r>
        <w:br/>
      </w:r>
      <w:r>
        <w:rPr>
          <w:rStyle w:val="VerbatimChar"/>
        </w:rPr>
        <w:t xml:space="preserve">{"tool":"phpunit","result":"passed","tests":55,"passed":55,"assertions":213}</w:t>
      </w:r>
    </w:p>
    <w:p>
      <w:pPr>
        <w:pStyle w:val="FirstParagraph"/>
      </w:pPr>
      <w:r>
        <w:t xml:space="preserve">PHPStan level 7: clean. Pint: clean. Flutter: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no issues,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 passed.</w:t>
      </w:r>
    </w:p>
    <w:p>
      <w:pPr>
        <w:pStyle w:val="BodyText"/>
      </w:pPr>
      <w:r>
        <w:rPr>
          <w:b/>
          <w:bCs/>
        </w:rPr>
        <w:t xml:space="preserve">Independent re-verification, 22 September 2026.</w:t>
      </w:r>
      <w:r>
        <w:t xml:space="preserve"> </w:t>
      </w:r>
      <w:r>
        <w:t xml:space="preserve">Every command in Section 8</w:t>
      </w:r>
      <w:r>
        <w:t xml:space="preserve"> </w:t>
      </w:r>
      <w:r>
        <w:t xml:space="preserve">was re-run from the working tree on that date, on PHP 8.5.8 with PostgreSQL</w:t>
      </w:r>
      <w:r>
        <w:t xml:space="preserve"> </w:t>
      </w:r>
      <w:r>
        <w:t xml:space="preserve">18.2, to confirm the claims in this report hold rather than resting on an</w:t>
      </w:r>
      <w:r>
        <w:t xml:space="preserve"> </w:t>
      </w:r>
      <w:r>
        <w:t xml:space="preserve">earlier run. Results: backend suite 55 passed / 213 assertions; PHPStan level 7</w:t>
      </w:r>
      <w:r>
        <w:t xml:space="preserve"> </w:t>
      </w:r>
      <w:r>
        <w:t xml:space="preserve">zero errors; Pint clean; the seed produced 500 attendees, 3 meal categories,</w:t>
      </w:r>
      <w:r>
        <w:t xml:space="preserve"> </w:t>
      </w:r>
      <w:r>
        <w:t xml:space="preserve">1,500 vouchers and 10 sessions; the evaluation round reported 200 of 200 scans</w:t>
      </w:r>
      <w:r>
        <w:t xml:space="preserve"> </w:t>
      </w:r>
      <w:r>
        <w:t xml:space="preserve">accepted, 100 of 100 sequential duplicates rejected, 20 of 20 concurrent races</w:t>
      </w:r>
      <w:r>
        <w:t xml:space="preserve"> </w:t>
      </w:r>
      <w:r>
        <w:t xml:space="preserve">resolved to exactly one success, 20 of 20 attendees redeeming all three</w:t>
      </w:r>
      <w:r>
        <w:t xml:space="preserve"> </w:t>
      </w:r>
      <w:r>
        <w:t xml:space="preserve">categories independently, 20 of 20 duplicate session scans rejected, and</w:t>
      </w:r>
      <w:r>
        <w:t xml:space="preserve"> </w:t>
      </w:r>
      <w:r>
        <w:rPr>
          <w:rStyle w:val="VerbatimChar"/>
        </w:rPr>
        <w:t xml:space="preserve">meals.csv</w:t>
      </w:r>
      <w:r>
        <w:t xml:space="preserve"> </w:t>
      </w:r>
      <w:r>
        <w:t xml:space="preserve">280/280 with</w:t>
      </w:r>
      <w:r>
        <w:t xml:space="preserve"> </w:t>
      </w:r>
      <w:r>
        <w:rPr>
          <w:rStyle w:val="VerbatimChar"/>
        </w:rPr>
        <w:t xml:space="preserve">attendance.csv</w:t>
      </w:r>
      <w:r>
        <w:t xml:space="preserve"> </w:t>
      </w:r>
      <w:r>
        <w:t xml:space="preserve">500/500 against the database. Latency</w:t>
      </w:r>
      <w:r>
        <w:t xml:space="preserve"> </w:t>
      </w:r>
      <w:r>
        <w:t xml:space="preserve">varies with machine load across runs; Section 3 states the envelope. The live</w:t>
      </w:r>
      <w:r>
        <w:t xml:space="preserve"> </w:t>
      </w:r>
      <w:r>
        <w:t xml:space="preserve">Firebase path was exercised the same day: an organiser-targeted send reached</w:t>
      </w:r>
      <w:r>
        <w:t xml:space="preserve"> </w:t>
      </w:r>
      <w:r>
        <w:t xml:space="preserve">Google, which answered with a structured FCM v1 error for the deliberately</w:t>
      </w:r>
      <w:r>
        <w:t xml:space="preserve"> </w:t>
      </w:r>
      <w:r>
        <w:t xml:space="preserve">invalid probe token, and the service pruned that token, confirming that</w:t>
      </w:r>
      <w:r>
        <w:t xml:space="preserve"> </w:t>
      </w:r>
      <w:r>
        <w:t xml:space="preserve">service-account signing, the Google OAuth token exchange and the authenticated</w:t>
      </w:r>
      <w:r>
        <w:t xml:space="preserve"> </w:t>
      </w:r>
      <w:r>
        <w:t xml:space="preserve">FCM v1 endpoint all work from this machine today.</w:t>
      </w:r>
    </w:p>
    <w:p>
      <w:pPr>
        <w:pStyle w:val="BodyText"/>
      </w:pPr>
      <w:r>
        <w:rPr>
          <w:b/>
          <w:bCs/>
        </w:rPr>
        <w:t xml:space="preserve">Adversarial and live checks</w:t>
      </w:r>
      <w:r>
        <w:t xml:space="preserve">, from the full strict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988"/>
        <w:gridCol w:w="6371"/>
      </w:tblGrid>
      <w:tr>
        <w:trPr>
          <w:tblHeader w:val="on"/>
        </w:trP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Backend test suite (</w:t>
            </w:r>
            <w:r>
              <w:rPr>
                <w:rStyle w:val="VerbatimChar"/>
              </w:rPr>
              <w:t xml:space="preserve">php artisan test</w:t>
            </w:r>
            <w:r>
              <w:t xml:space="preserve">)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55/55 passed, 213 assertions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all responded correctly, incl. 401/403 enforcement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rejected (DB transaction +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  <w:r>
              <w:t xml:space="preserve">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 dispatched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all well-formed, row counts exact against the database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 analyze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no issues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19/19 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Route coverage, and which routes are this component's.</w:t>
      </w:r>
      <w:r>
        <w:t xml:space="preserve"> </w:t>
      </w:r>
      <w:r>
        <w:t xml:space="preserve">The backend exposes</w:t>
      </w:r>
      <w:r>
        <w:t xml:space="preserve"> </w:t>
      </w:r>
      <w:r>
        <w:t xml:space="preserve">47 API routes (</w:t>
      </w:r>
      <w:r>
        <w:rPr>
          <w:rStyle w:val="VerbatimChar"/>
        </w:rPr>
        <w:t xml:space="preserve">php artisan route:list --path=api</w:t>
      </w:r>
      <w:r>
        <w:t xml:space="preserve">), distributed as: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This repository hosts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CMS v4 backend, so not all 47 routes are</w:t>
      </w:r>
      <w:r>
        <w:t xml:space="preserve"> </w:t>
      </w:r>
      <w:r>
        <w:t xml:space="preserve">this component's contribution, and the count should not be read as though they</w:t>
      </w:r>
      <w:r>
        <w:t xml:space="preserve"> </w:t>
      </w:r>
      <w:r>
        <w:t xml:space="preserve">were. Two of the eight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routes,</w:t>
      </w:r>
      <w:r>
        <w:t xml:space="preserve"> </w:t>
      </w:r>
      <w:r>
        <w:rPr>
          <w:rStyle w:val="VerbatimChar"/>
        </w:rPr>
        <w:t xml:space="preserve">POST /events/{event}/attendees/check-in/scan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/events/{event}/attendees/{attendee}/check-in</w:t>
      </w:r>
      <w:r>
        <w:t xml:space="preserve">, are check-in capture,</w:t>
      </w:r>
      <w:r>
        <w:t xml:space="preserve"> </w:t>
      </w:r>
      <w:r>
        <w:t xml:space="preserve">which is component 4.3a's remit; they are present because the backend is shared,</w:t>
      </w:r>
      <w:r>
        <w:t xml:space="preserve"> </w:t>
      </w:r>
      <w:r>
        <w:t xml:space="preserve">and this component consumes the check-in data they produce as a read-only input</w:t>
      </w:r>
      <w:r>
        <w:t xml:space="preserve"> </w:t>
      </w:r>
      <w:r>
        <w:t xml:space="preserve">to analytics rather than claiming them as delivered work.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likewise shared scaffolding used by both components. The</w:t>
      </w:r>
      <w:r>
        <w:t xml:space="preserve"> </w:t>
      </w:r>
      <w:r>
        <w:t xml:space="preserve">routes this component contributes are the meal voucher, session attendance,</w:t>
      </w:r>
      <w:r>
        <w:t xml:space="preserve"> </w:t>
      </w:r>
      <w:r>
        <w:t xml:space="preserve">notification, analytics and reporting groups, plus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, which was added here so the attendee QR</w:t>
      </w:r>
      <w:r>
        <w:t xml:space="preserve"> </w:t>
      </w:r>
      <w:r>
        <w:t xml:space="preserve">screen could fetch a real server-issued token.</w:t>
      </w:r>
    </w:p>
    <w:p>
      <w:pPr>
        <w:pStyle w:val="BodyText"/>
      </w:pPr>
      <w:r>
        <w:t xml:space="preserve">The boundary is visible in the mobile codebase, which is this component's alone: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t xml:space="preserve">and no check-in capture module. The only mobile code that mentions check-in at</w:t>
      </w:r>
      <w:r>
        <w:t xml:space="preserve"> </w:t>
      </w:r>
      <w:r>
        <w:t xml:space="preserve">all is in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 That is consumption, not capture.</w:t>
      </w:r>
    </w:p>
    <w:bookmarkEnd w:id="12"/>
    <w:bookmarkStart w:id="13" w:name="X5670f8985ef3e547f35bd13321d6072f665e68d"/>
    <w:p>
      <w:pPr>
        <w:pStyle w:val="Heading1"/>
      </w:pPr>
      <w:r>
        <w:t xml:space="preserve">1. Meal voucher redemption correctness</w:t>
      </w:r>
    </w:p>
    <w:p>
      <w:pPr>
        <w:pStyle w:val="FirstParagraph"/>
      </w:pPr>
      <w:r>
        <w:t xml:space="preserve">Single-use redemption is enforced in the database rather than in application</w:t>
      </w:r>
      <w:r>
        <w:t xml:space="preserve"> </w:t>
      </w:r>
      <w:r>
        <w:t xml:space="preserve">logic:</w:t>
      </w:r>
      <w:r>
        <w:t xml:space="preserve"> </w:t>
      </w:r>
      <w:r>
        <w:rPr>
          <w:rStyle w:val="VerbatimChar"/>
        </w:rPr>
        <w:t xml:space="preserve">MealVoucher::query()-&gt;where('qr_token', ...)-&gt;lockForUpdate()</w:t>
      </w:r>
      <w:r>
        <w:t xml:space="preserve"> </w:t>
      </w:r>
      <w:r>
        <w:t xml:space="preserve">inside</w:t>
      </w:r>
      <w:r>
        <w:t xml:space="preserve"> </w:t>
      </w:r>
      <w:r>
        <w:t xml:space="preserve">a transaction (</w:t>
      </w:r>
      <w:r>
        <w:rPr>
          <w:rStyle w:val="VerbatimChar"/>
        </w:rPr>
        <w:t xml:space="preserve">app/Http/Controllers/Api/MealController.php</w:t>
      </w:r>
      <w:r>
        <w:t xml:space="preserve">) means that when</w:t>
      </w:r>
      <w:r>
        <w:t xml:space="preserve"> </w:t>
      </w:r>
      <w:r>
        <w:t xml:space="preserve">two scanners submit the same token concurrently, exactly one insert succeeds</w:t>
      </w:r>
      <w:r>
        <w:t xml:space="preserve"> </w:t>
      </w:r>
      <w:r>
        <w:t xml:space="preserve">and the other receives a definitive rejection naming the earlier redemption,</w:t>
      </w:r>
      <w:r>
        <w:t xml:space="preserve"> </w:t>
      </w:r>
      <w:r>
        <w:t xml:space="preserve">per Helland's idempotence argument cited in the proposal's literature 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Sequential re-scans:</w:t>
      </w:r>
      <w:r>
        <w:t xml:space="preserve"> </w:t>
      </w:r>
      <w:r>
        <w:t xml:space="preserve">100 of 100 rejected after the first successful</w:t>
      </w:r>
      <w:r>
        <w:t xml:space="preserve"> </w:t>
      </w:r>
      <w:r>
        <w:t xml:space="preserve">redemption.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Concurrent races:</w:t>
      </w:r>
      <w:r>
        <w:t xml:space="preserve"> </w:t>
      </w:r>
      <w:r>
        <w:t xml:space="preserve">20 of 20 races (five simultaneous scans of one token</w:t>
      </w:r>
      <w:r>
        <w:t xml:space="preserve"> </w:t>
      </w:r>
      <w:r>
        <w:t xml:space="preserve">each) resolved to exactly one success.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Cross-category independence:</w:t>
      </w:r>
      <w:r>
        <w:t xml:space="preserve"> </w:t>
      </w:r>
      <w:r>
        <w:t xml:space="preserve">20 of 20 reserved attendees, each holding a</w:t>
      </w:r>
      <w:r>
        <w:t xml:space="preserve"> </w:t>
      </w:r>
      <w:r>
        <w:t xml:space="preserve">voucher in all three categories, redeemed every category successfully and were</w:t>
      </w:r>
      <w:r>
        <w:t xml:space="preserve"> </w:t>
      </w:r>
      <w:r>
        <w:t xml:space="preserve">then refused on a repeat of the first. Redeeming breakfast consumes breakfast</w:t>
      </w:r>
      <w:r>
        <w:t xml:space="preserve"> </w:t>
      </w:r>
      <w:r>
        <w:t xml:space="preserve">and nothing else.</w:t>
      </w:r>
    </w:p>
    <w:p>
      <w:pPr>
        <w:pStyle w:val="FirstParagraph"/>
      </w:pPr>
      <w:r>
        <w:t xml:space="preserve">Ground truth: 280 redemption rows for 200 batch scans, 20 race winners and 60</w:t>
      </w:r>
      <w:r>
        <w:t xml:space="preserve"> </w:t>
      </w:r>
      <w:r>
        <w:t xml:space="preserve">cross-category redemptions, matching</w:t>
      </w:r>
      <w:r>
        <w:t xml:space="preserve"> </w:t>
      </w:r>
      <w:r>
        <w:rPr>
          <w:rStyle w:val="VerbatimChar"/>
        </w:rPr>
        <w:t xml:space="preserve">export_correctness.meals_csv_rows</w:t>
      </w:r>
      <w:r>
        <w:t xml:space="preserve"> </w:t>
      </w:r>
      <w:r>
        <w:t xml:space="preserve">in the</w:t>
      </w:r>
      <w:r>
        <w:t xml:space="preserve"> </w:t>
      </w:r>
      <w:r>
        <w:t xml:space="preserve">evaluation output exactly.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sequential_duplicate_rejection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concurrent_duplicate_rejection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Multiple meal categories.</w:t>
      </w:r>
      <w:r>
        <w:t xml:space="preserve"> </w:t>
      </w:r>
      <w:r>
        <w:t xml:space="preserve">The second project objective is redemption</w:t>
      </w:r>
      <w:r>
        <w:t xml:space="preserve"> </w:t>
      </w:r>
      <w:r>
        <w:t xml:space="preserve">tracking across multiple meal categories, and both the implementation and the</w:t>
      </w:r>
      <w:r>
        <w:t xml:space="preserve"> </w:t>
      </w:r>
      <w:r>
        <w:t xml:space="preserve">evidence now cover it.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exposes create, read, update and delete</w:t>
      </w:r>
      <w:r>
        <w:t xml:space="preserve"> </w:t>
      </w:r>
      <w:r>
        <w:t xml:space="preserve">for categories; a voucher is unique per attendee per category; the redemption</w:t>
      </w:r>
      <w:r>
        <w:t xml:space="preserve"> </w:t>
      </w:r>
      <w:r>
        <w:t xml:space="preserve">record names the category it was redeemed against. The evaluation seeds three</w:t>
      </w:r>
      <w:r>
        <w:t xml:space="preserve"> </w:t>
      </w:r>
      <w:r>
        <w:t xml:space="preserve">categories and issues a voucher per attendee per category, so the 1,500-voucher</w:t>
      </w:r>
      <w:r>
        <w:t xml:space="preserve"> </w:t>
      </w:r>
      <w:r>
        <w:t xml:space="preserve">population the scan batches draw from spans all three.</w:t>
      </w:r>
    </w:p>
    <w:p>
      <w:pPr>
        <w:pStyle w:val="BodyText"/>
      </w:pPr>
      <w:r>
        <w:t xml:space="preserve">The property the composite key exists for is measured directly rather than</w:t>
      </w:r>
      <w:r>
        <w:t xml:space="preserve"> </w:t>
      </w:r>
      <w:r>
        <w:t xml:space="preserve">assumed: twenty attendees were reserved before any other step, each holding a</w:t>
      </w:r>
      <w:r>
        <w:t xml:space="preserve"> </w:t>
      </w:r>
      <w:r>
        <w:t xml:space="preserve">voucher in every category, and each had all three redeemed in turn. All sixty</w:t>
      </w:r>
      <w:r>
        <w:t xml:space="preserve"> </w:t>
      </w:r>
      <w:r>
        <w:t xml:space="preserve">redemptions were accepted and every repeat of the first was refused, so</w:t>
      </w:r>
      <w:r>
        <w:t xml:space="preserve"> </w:t>
      </w:r>
      <w:r>
        <w:t xml:space="preserve">redeeming one category neither consumes nor blocks another. The same guarantee</w:t>
      </w:r>
      <w:r>
        <w:t xml:space="preserve"> </w:t>
      </w:r>
      <w:r>
        <w:t xml:space="preserve">is pinned at unit level by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cross_category_independence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3"/>
    <w:bookmarkStart w:id="14" w:name="Xa1fbcb731e028fd7d25e9758b23b71a110380ae"/>
    <w:p>
      <w:pPr>
        <w:pStyle w:val="Heading1"/>
      </w:pPr>
      <w:r>
        <w:t xml:space="preserve">2.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(</w:t>
      </w:r>
      <w:r>
        <w:rPr>
          <w:rStyle w:val="VerbatimChar"/>
        </w:rPr>
        <w:t xml:space="preserve">app/Http/Controllers/Api/SessionController.php::scan</w:t>
      </w:r>
      <w:r>
        <w:t xml:space="preserve">)</w:t>
      </w:r>
      <w:r>
        <w:t xml:space="preserve"> </w:t>
      </w:r>
      <w:r>
        <w:t xml:space="preserve">prevents double counting; 20 of 20 duplicate session check-ins were rejected</w:t>
      </w:r>
      <w:r>
        <w:t xml:space="preserve"> </w:t>
      </w:r>
      <w:r>
        <w:t xml:space="preserve">in the evaluation run. Capacity threshold transitions (the configurable</w:t>
      </w:r>
      <w:r>
        <w:t xml:space="preserve"> </w:t>
      </w:r>
      <w:r>
        <w:t xml:space="preserve">warning fraction, default 90%, and over-capacity) push an automatic organiser</w:t>
      </w:r>
      <w:r>
        <w:t xml:space="preserve"> </w:t>
      </w:r>
      <w:r>
        <w:t xml:space="preserve">notification, dispatched after the attendance transaction commits so a push</w:t>
      </w:r>
      <w:r>
        <w:t xml:space="preserve"> </w:t>
      </w:r>
      <w:r>
        <w:t xml:space="preserve">is never sent for attendance that ends up rolled back. This was verified live on a</w:t>
      </w:r>
      <w:r>
        <w:t xml:space="preserve"> </w:t>
      </w:r>
      <w:r>
        <w:t xml:space="preserve">device (</w:t>
      </w:r>
      <w:r>
        <w:rPr>
          <w:rStyle w:val="VerbatimChar"/>
        </w:rPr>
        <w:t xml:space="preserve">docs/evidence-capacity-alerts.png</w:t>
      </w:r>
      <w:r>
        <w:t xml:space="preserve">) and covered by two automated</w:t>
      </w:r>
      <w:r>
        <w:t xml:space="preserve"> </w:t>
      </w:r>
      <w:r>
        <w:t xml:space="preserve">tests for the alert transitions (</w:t>
      </w:r>
      <w:r>
        <w:rPr>
          <w:rStyle w:val="VerbatimChar"/>
        </w:rPr>
        <w:t xml:space="preserve">docs/progress-reports/18-audit-fixes.md</w:t>
      </w:r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session_duplicate_rejection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4"/>
    <w:bookmarkStart w:id="15" w:name="X6b51d3cdb174b15317c91e06e81b0e7cedea02f"/>
    <w:p>
      <w:pPr>
        <w:pStyle w:val="Heading1"/>
      </w:pPr>
      <w:r>
        <w:t xml:space="preserve">3. Latency against the proposal's targets</w:t>
      </w:r>
    </w:p>
    <w:p>
      <w:pPr>
        <w:pStyle w:val="FirstParagraph"/>
      </w:pPr>
      <w:r>
        <w:t xml:space="preserve">Nielsen's response-time thresholds, cited in the proposal's literature</w:t>
      </w:r>
      <w:r>
        <w:t xml:space="preserve"> </w:t>
      </w:r>
      <w:r>
        <w:t xml:space="preserve">review, set the sub-second budget for scan-validation round trips at a</w:t>
      </w:r>
      <w:r>
        <w:t xml:space="preserve"> </w:t>
      </w:r>
      <w:r>
        <w:t xml:space="preserve">catering service point where queue throughput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68"/>
        <w:gridCol w:w="780"/>
        <w:gridCol w:w="910"/>
        <w:gridCol w:w="1040"/>
        <w:gridCol w:w="910"/>
        <w:gridCol w:w="910"/>
        <w:gridCol w:w="3042"/>
      </w:tblGrid>
      <w:tr>
        <w:trPr>
          <w:tblHeader w:val="on"/>
        </w:trP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(feeds the 30 s freshness bound below)</w:t>
            </w:r>
          </w:p>
        </w:tc>
      </w:tr>
    </w:tbl>
    <w:p>
      <w:pPr>
        <w:pStyle w:val="BodyText"/>
      </w:pPr>
      <w:r>
        <w:t xml:space="preserve">All measured latencies clear their targets by a wide margin on a local</w:t>
      </w:r>
      <w:r>
        <w:t xml:space="preserve"> </w:t>
      </w:r>
      <w:r>
        <w:t xml:space="preserve">development stack; the proposal's targets were written for venue-grade Wi-Fi,</w:t>
      </w:r>
      <w:r>
        <w:t xml:space="preserve"> </w:t>
      </w:r>
      <w:r>
        <w:t xml:space="preserve">which this local run does not exercise, so these figures are a lower bound</w:t>
      </w:r>
      <w:r>
        <w:t xml:space="preserve"> </w:t>
      </w:r>
      <w:r>
        <w:t xml:space="preserve">rather than a field measurement (see Section 7).</w:t>
      </w:r>
    </w:p>
    <w:p>
      <w:pPr>
        <w:pStyle w:val="BodyText"/>
      </w:pPr>
      <w:r>
        <w:rPr>
          <w:b/>
          <w:bCs/>
        </w:rPr>
        <w:t xml:space="preserve">The envelope these numbers hold in.</w:t>
      </w:r>
      <w:r>
        <w:t xml:space="preserve"> </w:t>
      </w:r>
      <w:r>
        <w:t xml:space="preserve">These figures are one named run, and</w:t>
      </w:r>
      <w:r>
        <w:t xml:space="preserve"> </w:t>
      </w:r>
      <w:r>
        <w:t xml:space="preserve">they are a property of that run rather than of the system. Three runs of the</w:t>
      </w:r>
      <w:r>
        <w:t xml:space="preserve"> </w:t>
      </w:r>
      <w:r>
        <w:t xml:space="preserve">identical script against the identical code have now been recorded on this</w:t>
      </w:r>
      <w:r>
        <w:t xml:space="preserve"> </w:t>
      </w:r>
      <w:r>
        <w:t xml:space="preserve">machine: voucher-scan medians of 114.0 ms, 199.0 ms and 187.5 ms, with 95th</w:t>
      </w:r>
      <w:r>
        <w:t xml:space="preserve"> </w:t>
      </w:r>
      <w:r>
        <w:t xml:space="preserve">percentiles of 210.5 ms, 304.3 ms and 286.7 ms. The spread is machine load, not</w:t>
      </w:r>
      <w:r>
        <w:t xml:space="preserve"> </w:t>
      </w:r>
      <w:r>
        <w:t xml:space="preserve">code; the fastest was on an otherwise idle machine and the slowest while a dev</w:t>
      </w:r>
      <w:r>
        <w:t xml:space="preserve"> </w:t>
      </w:r>
      <w:r>
        <w:t xml:space="preserve">server, Word and the document build competed for it.</w:t>
      </w:r>
    </w:p>
    <w:p>
      <w:pPr>
        <w:pStyle w:val="BodyText"/>
      </w:pPr>
      <w:r>
        <w:t xml:space="preserve">Across all three runs the correctness results did not move at all: 200 of 200</w:t>
      </w:r>
      <w:r>
        <w:t xml:space="preserve"> </w:t>
      </w:r>
      <w:r>
        <w:t xml:space="preserve">scans accepted, 100 of 100 sequential duplicates rejected, 20 of 20 concurrent</w:t>
      </w:r>
      <w:r>
        <w:t xml:space="preserve"> </w:t>
      </w:r>
      <w:r>
        <w:t xml:space="preserve">races resolved to exactly one success, and both exports exact against the</w:t>
      </w:r>
      <w:r>
        <w:t xml:space="preserve"> </w:t>
      </w:r>
      <w:r>
        <w:t xml:space="preserve">database.</w:t>
      </w:r>
    </w:p>
    <w:p>
      <w:pPr>
        <w:pStyle w:val="BodyText"/>
      </w:pPr>
      <w:r>
        <w:t xml:space="preserve">The honest statement of the envelope is therefore: on a development machine,</w:t>
      </w:r>
      <w:r>
        <w:t xml:space="preserve"> </w:t>
      </w:r>
      <w:r>
        <w:t xml:space="preserve">voucher-scan median latency falls between roughly 110 ms and 200 ms with a 95th</w:t>
      </w:r>
      <w:r>
        <w:t xml:space="preserve"> </w:t>
      </w:r>
      <w:r>
        <w:t xml:space="preserve">percentile between roughly 210 ms and 305 ms, inside the proposal's 500 ms and</w:t>
      </w:r>
      <w:r>
        <w:t xml:space="preserve"> </w:t>
      </w:r>
      <w:r>
        <w:t xml:space="preserve">1,000 ms targets by a factor of at least three in every run observed; and the</w:t>
      </w:r>
      <w:r>
        <w:t xml:space="preserve"> </w:t>
      </w:r>
      <w:r>
        <w:t xml:space="preserve">correctness guarantees are invariant across runs because they are enforced by</w:t>
      </w:r>
      <w:r>
        <w:t xml:space="preserve"> </w:t>
      </w:r>
      <w:r>
        <w:t xml:space="preserve">database constraints rather than by timing.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established is</w:t>
      </w:r>
      <w:r>
        <w:t xml:space="preserve"> </w:t>
      </w:r>
      <w:r>
        <w:t xml:space="preserve">behaviour under venue-grade Wi-Fi, under a production multi-worker server, or at</w:t>
      </w:r>
      <w:r>
        <w:t xml:space="preserve"> </w:t>
      </w:r>
      <w:r>
        <w:t xml:space="preserve">attendee counts above 500. Section 7 and the report's limitations state each of</w:t>
      </w:r>
      <w:r>
        <w:t xml:space="preserve"> </w:t>
      </w:r>
      <w:r>
        <w:t xml:space="preserve">those gaps.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voucher_scan_latency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session_scan_latency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analytics_summary_latency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5"/>
    <w:bookmarkStart w:id="16" w:name="X1298f405e877427a1785c3aa8dfca7c651f5f3e"/>
    <w:p>
      <w:pPr>
        <w:pStyle w:val="Heading1"/>
      </w:pPr>
      <w:r>
        <w:t xml:space="preserve">4. Analytics dashboard freshness</w:t>
      </w:r>
    </w:p>
    <w:p>
      <w:pPr>
        <w:pStyle w:val="FirstParagraph"/>
      </w:pPr>
      <w:r>
        <w:t xml:space="preserve">The dashboard polls every 30 seconds (a documented trade-off against</w:t>
      </w:r>
      <w:r>
        <w:t xml:space="preserve"> </w:t>
      </w:r>
      <w:r>
        <w:t xml:space="preserve">introducing a WebSocket layer, proposal Section 8). Worst-case staleness is</w:t>
      </w:r>
      <w:r>
        <w:t xml:space="preserve"> </w:t>
      </w:r>
      <w:r>
        <w:t xml:space="preserve">therefore the poll interval plus the endpoint's own latency: 30 s + 211.6 ms</w:t>
      </w:r>
      <w:r>
        <w:t xml:space="preserve"> </w:t>
      </w:r>
      <w:r>
        <w:t xml:space="preserve">≈ 30.2 s, within the proposal's ≤ 30 s target when read as "at most one</w:t>
      </w:r>
      <w:r>
        <w:t xml:space="preserve"> </w:t>
      </w:r>
      <w:r>
        <w:t xml:space="preserve">polling cycle plus negligible server time" rather than a strict ≤ 30.000 s</w:t>
      </w:r>
      <w:r>
        <w:t xml:space="preserve"> </w:t>
      </w:r>
      <w:r>
        <w:t xml:space="preserve">bound. This is a property of the chosen architecture, not a measurement that</w:t>
      </w:r>
      <w:r>
        <w:t xml:space="preserve"> </w:t>
      </w:r>
      <w:r>
        <w:t xml:space="preserve">could fail on a different run.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analytics_summary_latency.median_ms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6"/>
    <w:bookmarkStart w:id="17" w:name="X5435be9bf603317f43def479d039ed5296c1f4f"/>
    <w:p>
      <w:pPr>
        <w:pStyle w:val="Heading1"/>
      </w:pPr>
      <w:r>
        <w:t xml:space="preserve">5. Export correctness</w:t>
      </w:r>
    </w:p>
    <w:p>
      <w:pPr>
        <w:pStyle w:val="FirstParagraph"/>
      </w:pPr>
      <w:r>
        <w:t xml:space="preserve">CSV exports are generated by streaming query results directly from the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app/Http/Controllers/Api/ReportController.php</w:t>
      </w:r>
      <w:r>
        <w:t xml:space="preserve">), so export size is</w:t>
      </w:r>
      <w:r>
        <w:t xml:space="preserve"> </w:t>
      </w:r>
      <w:r>
        <w:t xml:space="preserve">bounded by the database rather than server memory, and correctness is a</w:t>
      </w:r>
      <w:r>
        <w:t xml:space="preserve"> </w:t>
      </w:r>
      <w:r>
        <w:t xml:space="preserve">direct row-count comparison rather than a sampled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export_correctness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7"/>
    <w:bookmarkStart w:id="18" w:name="X8b00529087b2ba5896a655666774a990e4338e8"/>
    <w:p>
      <w:pPr>
        <w:pStyle w:val="Heading1"/>
      </w:pPr>
      <w:r>
        <w:t xml:space="preserve">6. Notification delivery</w:t>
      </w:r>
    </w:p>
    <w:p>
      <w:pPr>
        <w:pStyle w:val="FirstParagraph"/>
      </w:pPr>
      <w:r>
        <w:rPr>
          <w:b/>
          <w:bCs/>
        </w:rPr>
        <w:t xml:space="preserve">Delivery is recorded per recipient, and this was a defect until it was</w:t>
      </w:r>
      <w:r>
        <w:rPr>
          <w:b/>
          <w:bCs/>
        </w:rPr>
        <w:t xml:space="preserve"> </w:t>
      </w:r>
      <w:r>
        <w:rPr>
          <w:b/>
          <w:bCs/>
        </w:rPr>
        <w:t xml:space="preserve">fixed.</w:t>
      </w:r>
      <w:r>
        <w:t xml:space="preserve"> </w:t>
      </w:r>
      <w:r>
        <w:t xml:space="preserve">The claim this section rests on is that the per-recipient records make</w:t>
      </w:r>
      <w:r>
        <w:t xml:space="preserve"> </w:t>
      </w:r>
      <w:r>
        <w:t xml:space="preserve">delivery auditable, meaning they can answer whether a given person was reached.</w:t>
      </w:r>
      <w:r>
        <w:t xml:space="preserve"> </w:t>
      </w:r>
      <w:r>
        <w:t xml:space="preserve">Until the fix recorded here they could not: the dispatch service applied one</w:t>
      </w:r>
      <w:r>
        <w:t xml:space="preserve"> </w:t>
      </w:r>
      <w:r>
        <w:t xml:space="preserve">aggregate outcome to every recipient row, so a send in which Firebase accepted</w:t>
      </w:r>
      <w:r>
        <w:t xml:space="preserve"> </w:t>
      </w:r>
      <w:r>
        <w:t xml:space="preserve">one device token and refused three still marked every recipient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with a</w:t>
      </w:r>
      <w:r>
        <w:t xml:space="preserve"> </w:t>
      </w:r>
      <w:r>
        <w:t xml:space="preserve">delivery timestamp and no failure reason. The refusals were visible only in the</w:t>
      </w:r>
      <w:r>
        <w:t xml:space="preserve"> </w:t>
      </w:r>
      <w:r>
        <w:t xml:space="preserve">application log. The service now maps each token back to the recipient it</w:t>
      </w:r>
      <w:r>
        <w:t xml:space="preserve"> </w:t>
      </w:r>
      <w:r>
        <w:t xml:space="preserve">belongs to: 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that recipient's own tokens</w:t>
      </w:r>
      <w:r>
        <w:t xml:space="preserve"> </w:t>
      </w:r>
      <w:r>
        <w:t xml:space="preserve">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 all of theirs were refused, and left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 have no registered device, which is the honest record for</w:t>
      </w:r>
      <w:r>
        <w:t xml:space="preserve"> </w:t>
      </w:r>
      <w:r>
        <w:t xml:space="preserve">someone who was never pushed to and will receive the message through the in-app</w:t>
      </w:r>
      <w:r>
        <w:t xml:space="preserve"> </w:t>
      </w:r>
      <w:r>
        <w:t xml:space="preserve">inbox instead. The behaviour is pinned by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  <w:r>
        <w:t xml:space="preserve">, which fails</w:t>
      </w:r>
      <w:r>
        <w:t xml:space="preserve"> </w:t>
      </w:r>
      <w:r>
        <w:t xml:space="preserve">against the previous implementation.</w:t>
      </w:r>
    </w:p>
    <w:p>
      <w:pPr>
        <w:pStyle w:val="BodyText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 → service-account</w:t>
      </w:r>
      <w:r>
        <w:t xml:space="preserve"> </w:t>
      </w:r>
      <w:r>
        <w:t xml:space="preserve">OAuth → FCM v1 → Google → the device's notification shade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docs/evidence-push-delivered.png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docs/progress-reports/15-live-push-delivery.md</w:t>
      </w:r>
      <w:r>
        <w:t xml:space="preserve">).</w:t>
      </w:r>
      <w:r>
        <w:t xml:space="preserve"> </w:t>
      </w:r>
      <w:r>
        <w:t xml:space="preserve">In the evaluation run, FCM accepted 100% of valid device tokens submitted;</w:t>
      </w:r>
      <w:r>
        <w:t xml:space="preserve"> </w:t>
      </w:r>
      <w:r>
        <w:t xml:space="preserve">the single stale seeded demo token predictably failed, which is the expected</w:t>
      </w:r>
      <w:r>
        <w:t xml:space="preserve"> </w:t>
      </w:r>
      <w:r>
        <w:t xml:space="preserve">behaviour for an invalid token rather than a defect. Device receipt was</w:t>
      </w:r>
      <w:r>
        <w:t xml:space="preserve"> </w:t>
      </w:r>
      <w:r>
        <w:t xml:space="preserve">observed at approximately 5 seconds on the one test device used; a</w:t>
      </w:r>
      <w:r>
        <w:t xml:space="preserve"> </w:t>
      </w:r>
      <w:r>
        <w:t xml:space="preserve">multi-device fleet measurement of the proposal's 95%-within-30-seconds target</w:t>
      </w:r>
      <w:r>
        <w:t xml:space="preserve"> </w:t>
      </w:r>
      <w:r>
        <w:t xml:space="preserve">is recorded as future work rather than claimed here. Because FCM delivery is</w:t>
      </w:r>
      <w:r>
        <w:t xml:space="preserve"> </w:t>
      </w:r>
      <w:r>
        <w:t xml:space="preserve">best-effort, every notification is also persisted to an authenticated in-app</w:t>
      </w:r>
      <w:r>
        <w:t xml:space="preserve"> </w:t>
      </w:r>
      <w:r>
        <w:t xml:space="preserve">inbox, giving 100% eventual delivery to any attendee who opens the app,</w:t>
      </w:r>
      <w:r>
        <w:t xml:space="preserve"> </w:t>
      </w:r>
      <w:r>
        <w:t xml:space="preserve">independent of push reachability.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docs/progress-reports/15-live-push-delivery.md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.</w:t>
      </w:r>
    </w:p>
    <w:bookmarkEnd w:id="18"/>
    <w:bookmarkStart w:id="19" w:name="X07998fecee05eca78a4a9eb5acfee50901d43dc"/>
    <w:p>
      <w:pPr>
        <w:pStyle w:val="Heading1"/>
      </w:pPr>
      <w:r>
        <w:t xml:space="preserve">7. Baseline comparison, and its limits</w:t>
      </w:r>
    </w:p>
    <w:p>
      <w:pPr>
        <w:pStyle w:val="FirstParagraph"/>
      </w:pPr>
      <w:r>
        <w:t xml:space="preserve">The proposal's evaluation plan calls for comparing the voucher module against</w:t>
      </w:r>
      <w:r>
        <w:t xml:space="preserve"> </w:t>
      </w:r>
      <w:r>
        <w:t xml:space="preserve">a simulated, human-staffed paper-register meal line. That live human-trial</w:t>
      </w:r>
      <w:r>
        <w:t xml:space="preserve"> </w:t>
      </w:r>
      <w:r>
        <w:t xml:space="preserve">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conducted: organising a staffed comparison exercise was</w:t>
      </w:r>
      <w:r>
        <w:t xml:space="preserve"> </w:t>
      </w:r>
      <w:r>
        <w:t xml:space="preserve">not feasible within the project's scope. This is stated plainly rather than</w:t>
      </w:r>
      <w:r>
        <w:t xml:space="preserve"> </w:t>
      </w:r>
      <w:r>
        <w:t xml:space="preserve">approximated, because a fabricated baseline number would be worse than</w:t>
      </w:r>
      <w:r>
        <w:t xml:space="preserve"> </w:t>
      </w:r>
      <w:r>
        <w:t xml:space="preserve">admitting the gap.</w:t>
      </w:r>
    </w:p>
    <w:p>
      <w:pPr>
        <w:pStyle w:val="BodyText"/>
      </w:pPr>
      <w:r>
        <w:t xml:space="preserve">What the evaluation does establish is the system-side bound: a median</w:t>
      </w:r>
      <w:r>
        <w:t xml:space="preserve"> </w:t>
      </w:r>
      <w:r>
        <w:t xml:space="preserve">scan-to-decision time of 187.5 ms, with single-use enforcement that a paper</w:t>
      </w:r>
      <w:r>
        <w:t xml:space="preserve"> </w:t>
      </w:r>
      <w:r>
        <w:t xml:space="preserve">register cannot provide at any speed (a photographed or reused paper voucher</w:t>
      </w:r>
      <w:r>
        <w:t xml:space="preserve"> </w:t>
      </w:r>
      <w:r>
        <w:t xml:space="preserve">has no server-side check to fail). The paper frames the comparison</w:t>
      </w:r>
      <w:r>
        <w:t xml:space="preserve"> </w:t>
      </w:r>
      <w:r>
        <w:t xml:space="preserve">qualitatively on this basis rather than quoting a fabricated throughput</w:t>
      </w:r>
      <w:r>
        <w:t xml:space="preserve"> </w:t>
      </w:r>
      <w:r>
        <w:t xml:space="preserve">figure for the manual condition.</w:t>
      </w:r>
    </w:p>
    <w:bookmarkEnd w:id="19"/>
    <w:bookmarkStart w:id="22" w:name="Xa3c3039e1b4515b4f0e7ed5d8da9529a47e6ca7"/>
    <w:p>
      <w:pPr>
        <w:pStyle w:val="Heading1"/>
      </w:pPr>
      <w:r>
        <w:t xml:space="preserve">8. Reproducibility</w:t>
      </w:r>
    </w:p>
    <w:bookmarkStart w:id="20" w:name="X5b0e02d621a3894c912113a08ec3cb88c571e70"/>
    <w:p>
      <w:pPr>
        <w:pStyle w:val="Heading2"/>
      </w:pPr>
      <w:r>
        <w:t xml:space="preserve">8.1 The environment these commands assume</w:t>
      </w:r>
    </w:p>
    <w:p>
      <w:pPr>
        <w:pStyle w:val="FirstParagraph"/>
      </w:pPr>
      <w:r>
        <w:t xml:space="preserve">PHP 8.5.8 for Windows,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. The PostgreSQL client library</w:t>
      </w:r>
      <w:r>
        <w:t xml:space="preserve"> </w:t>
      </w:r>
      <w:r>
        <w:rPr>
          <w:rStyle w:val="VerbatimChar"/>
        </w:rPr>
        <w:t xml:space="preserve">libpq.dll</w:t>
      </w:r>
      <w:r>
        <w:t xml:space="preserve"> </w:t>
      </w:r>
      <w:r>
        <w:t xml:space="preserve">ships beside the</w:t>
      </w:r>
      <w:r>
        <w:t xml:space="preserve"> </w:t>
      </w:r>
      <w:r>
        <w:t xml:space="preserve">executable. A PHP without those extensions loaded cannot connect to the</w:t>
      </w:r>
      <w:r>
        <w:t xml:space="preserve"> </w:t>
      </w:r>
      <w:r>
        <w:t xml:space="preserve">database and none of the commands below will run.</w:t>
      </w:r>
    </w:p>
    <w:p>
      <w:pPr>
        <w:pStyle w:val="BodyText"/>
      </w:pPr>
      <w:r>
        <w:t xml:space="preserve">The build used here is a portable one,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For a machine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also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 one-line wrapper that resolves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 repository; substituting</w:t>
      </w:r>
      <w:r>
        <w:t xml:space="preserve"> </w:t>
      </w:r>
      <w:r>
        <w:rPr>
          <w:rStyle w:val="VerbatimChar"/>
        </w:rPr>
        <w:t xml:space="preserve">.\php-pgsql.bat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below work unchanged.</w:t>
      </w:r>
      <w:r>
        <w:t xml:space="preserve"> </w:t>
      </w:r>
      <w:r>
        <w:rPr>
          <w:rStyle w:val="VerbatimChar"/>
        </w:rPr>
        <w:t xml:space="preserve">serve-pgsql.bat</w:t>
      </w:r>
      <w:r>
        <w:t xml:space="preserve"> </w:t>
      </w:r>
      <w:r>
        <w:t xml:space="preserve">wraps it again to</w:t>
      </w:r>
      <w:r>
        <w:t xml:space="preserve"> </w:t>
      </w:r>
      <w:r>
        <w:t xml:space="preserve">clear the config cache and serve on port 8000. The interpreter itself is not</w:t>
      </w:r>
      <w:r>
        <w:t xml:space="preserve"> </w:t>
      </w:r>
      <w:r>
        <w:t xml:space="preserve">committed, because a platform-specific binary distribution does not belong in a</w:t>
      </w:r>
      <w:r>
        <w:t xml:space="preserve"> </w:t>
      </w:r>
      <w:r>
        <w:t xml:space="preserve">source repository, but its version and required extension set are recorded here</w:t>
      </w:r>
      <w:r>
        <w:t xml:space="preserve"> </w:t>
      </w:r>
      <w:r>
        <w:t xml:space="preserve">so the environment can be rebuilt rather than guessed at.</w:t>
      </w:r>
    </w:p>
    <w:p>
      <w:pPr>
        <w:pStyle w:val="BodyText"/>
      </w:pPr>
      <w:r>
        <w:t xml:space="preserve">The rest of the toolchain, at the versions the committed deliverables were</w:t>
      </w:r>
      <w:r>
        <w:t xml:space="preserve"> </w:t>
      </w:r>
      <w:r>
        <w:t xml:space="preserve">built against: PostgreSQL 18.2, Python 3.14.0, pandoc 3.9.0.1, and Microsoft</w:t>
      </w:r>
      <w:r>
        <w:t xml:space="preserve"> </w:t>
      </w:r>
      <w:r>
        <w:t xml:space="preserve">Word 16.0, 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</w:t>
      </w:r>
      <w:r>
        <w:t xml:space="preserve"> </w:t>
      </w:r>
      <w:r>
        <w:t xml:space="preserve">measure the page numbers printed in the contents list. The Python packages the</w:t>
      </w:r>
      <w:r>
        <w:t xml:space="preserve"> </w:t>
      </w:r>
      <w:r>
        <w:t xml:space="preserve">document 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 </w:t>
      </w:r>
      <w:r>
        <w:t xml:space="preserve">and</w:t>
      </w:r>
      <w:r>
        <w:t xml:space="preserve"> </w:t>
      </w:r>
      <w:r>
        <w:t xml:space="preserve">installed with</w:t>
      </w:r>
      <w:r>
        <w:t xml:space="preserve"> </w:t>
      </w:r>
      <w:r>
        <w:rPr>
          <w:rStyle w:val="VerbatimChar"/>
        </w:rPr>
        <w:t xml:space="preserve">pip install -r tools/requirements-docs.txt</w:t>
      </w:r>
      <w:r>
        <w:t xml:space="preserve">. The evaluation</w:t>
      </w:r>
      <w:r>
        <w:t xml:space="preserve"> </w:t>
      </w:r>
      <w:r>
        <w:t xml:space="preserve">runner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imports only the standard library and needs</w:t>
      </w:r>
      <w:r>
        <w:t xml:space="preserve"> </w:t>
      </w:r>
      <w:r>
        <w:t xml:space="preserve">none of them.</w:t>
      </w:r>
    </w:p>
    <w:bookmarkEnd w:id="20"/>
    <w:bookmarkStart w:id="21" w:name="X05c23a3710ab39f414313ea83b138245611e868"/>
    <w:p>
      <w:pPr>
        <w:pStyle w:val="Heading2"/>
      </w:pPr>
      <w:r>
        <w:t xml:space="preserve">8.2 Commands</w:t>
      </w:r>
    </w:p>
    <w:p>
      <w:pPr>
        <w:pStyle w:val="FirstParagraph"/>
      </w:pPr>
      <w:r>
        <w:t xml:space="preserve">The 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dataset. It</w:t>
      </w:r>
      <w:r>
        <w:t xml:space="preserve"> </w:t>
      </w:r>
      <w:r>
        <w:t xml:space="preserve">overwrites the recorded run, so the figures quoted in this report come from the</w:t>
      </w:r>
      <w:r>
        <w:t xml:space="preserve"> </w:t>
      </w:r>
      <w:r>
        <w:t xml:space="preserve">named run committed in that file rather than from whatever run happened last;</w:t>
      </w:r>
      <w:r>
        <w:t xml:space="preserve"> </w:t>
      </w:r>
      <w:r>
        <w:t xml:space="preserve">Section 3 states the spread observed across 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that</w:t>
      </w:r>
      <w:r>
        <w:t xml:space="preserve"> </w:t>
      </w:r>
      <w:r>
        <w:t xml:space="preserve">limit often enough that the default cannot be relied on: the run dies with a</w:t>
      </w:r>
      <w:r>
        <w:t xml:space="preserve"> </w:t>
      </w:r>
      <w:r>
        <w:t xml:space="preserve">fatal error instead of producing a report. It succeeded on a cleared result</w:t>
      </w:r>
      <w:r>
        <w:t xml:space="preserve"> </w:t>
      </w:r>
      <w:r>
        <w:t xml:space="preserve">cache on an idle machine and failed on two other occasions when the machine was</w:t>
      </w:r>
      <w:r>
        <w:t xml:space="preserve"> </w:t>
      </w:r>
      <w:r>
        <w:t xml:space="preserve">busier. Passing</w:t>
      </w:r>
      <w:r>
        <w:t xml:space="preserve"> </w:t>
      </w:r>
      <w:r>
        <w:rPr>
          <w:rStyle w:val="VerbatimChar"/>
        </w:rPr>
        <w:t xml:space="preserve">--memory-limit=1G</w:t>
      </w:r>
      <w:r>
        <w:t xml:space="preserve"> </w:t>
      </w:r>
      <w:r>
        <w:t xml:space="preserve">makes it deterministic, and that is the form</w:t>
      </w:r>
      <w:r>
        <w:t xml:space="preserve"> </w:t>
      </w:r>
      <w:r>
        <w:t xml:space="preserve">recorded above. The condition is a property of the analyser's memory use, not a</w:t>
      </w:r>
      <w:r>
        <w:t xml:space="preserve"> </w:t>
      </w:r>
      <w:r>
        <w:t xml:space="preserve">defect in the code: whenever the analysis completes it reports zero errors at</w:t>
      </w:r>
      <w:r>
        <w:t xml:space="preserve"> </w:t>
      </w:r>
      <w:r>
        <w:t xml:space="preserve">level 7.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this markdown and from the report: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 lists no longer match the rendered documents.</w:t>
      </w:r>
    </w:p>
    <w:bookmarkEnd w:id="21"/>
    <w:bookmarkEnd w:id="22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ndashi-chisanga6/ConferenceCheck-Mobile-Analytics-Meals-and-Notifications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ndashi-chisanga6/ConferenceCheck-Mobile-Analytics-Meals-and-Notif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ConferenceCheck Mobile: Analytics, Meals and Notifications: Validation Report</dc:title>
  <dc:creator>Ndashi Bwalya Chisanga</dc:creator>
  <cp:keywords/>
  <dcterms:created xsi:type="dcterms:W3CDTF">2026-09-22T19:54:45Z</dcterms:created>
  <dcterms:modified xsi:type="dcterms:W3CDTF">2026-09-22T19:54:45Z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