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CONCEPT NOTE &amp; EXECUTIVE PROPOSAL</w:t>
      </w:r>
    </w:p>
    <w:p>
      <w:pPr>
        <w:jc w:val="center"/>
      </w:pPr>
      <w:r>
        <w:rPr>
          <w:b/>
          <w:sz w:val="44"/>
        </w:rPr>
        <w:t>AI-Powered Smart Government Medical Supply Chain</w:t>
        <w:br/>
        <w:t>Management System for Public Health Facilities in Rwanda</w:t>
      </w:r>
    </w:p>
    <w:p>
      <w:pPr>
        <w:jc w:val="center"/>
      </w:pPr>
      <w:r>
        <w:rPr>
          <w:sz w:val="26"/>
        </w:rPr>
        <w:br/>
        <w:t>Submitted for Technical Review and Stakeholder Engagement</w:t>
      </w:r>
    </w:p>
    <w:p>
      <w:pPr>
        <w:jc w:val="center"/>
      </w:pPr>
      <w:r>
        <w:rPr>
          <w:b/>
          <w:sz w:val="28"/>
        </w:rPr>
        <w:br/>
        <w:t>Prepared for:</w:t>
        <w:br/>
        <w:t>Rwanda Medical Supply Ltd. (RMS)</w:t>
      </w:r>
    </w:p>
    <w:p>
      <w:pPr>
        <w:jc w:val="center"/>
      </w:pPr>
      <w:r>
        <w:rPr>
          <w:sz w:val="22"/>
        </w:rPr>
        <w:br/>
        <w:t>Prepared by:</w:t>
        <w:br/>
        <w:t>Student Innovation Project Team</w:t>
        <w:br/>
        <w:br/>
        <w:t>Date: July 2026</w:t>
      </w:r>
    </w:p>
    <w:p>
      <w:r>
        <w:br w:type="page"/>
      </w:r>
    </w:p>
    <w:p>
      <w:pPr>
        <w:pStyle w:val="Heading1"/>
      </w:pPr>
      <w:r>
        <w:t>Table of Contents</w:t>
      </w:r>
    </w:p>
    <w:p>
      <w:r>
        <w:t>1. Executive Summary</w:t>
      </w:r>
    </w:p>
    <w:p>
      <w:r>
        <w:t>2. Background and Rationale</w:t>
      </w:r>
    </w:p>
    <w:p>
      <w:r>
        <w:t>3. Problem Statement</w:t>
      </w:r>
    </w:p>
    <w:p>
      <w:r>
        <w:t>4. Project Vision and Objectives</w:t>
      </w:r>
    </w:p>
    <w:p>
      <w:r>
        <w:t>5. Proposed Solution</w:t>
      </w:r>
    </w:p>
    <w:p>
      <w:r>
        <w:t>6. End-to-End System Workflow</w:t>
      </w:r>
    </w:p>
    <w:p>
      <w:r>
        <w:t>7. Core System Modules</w:t>
      </w:r>
    </w:p>
    <w:p>
      <w:r>
        <w:t>8. AI and Predictive Intelligence</w:t>
      </w:r>
    </w:p>
    <w:p>
      <w:r>
        <w:t>9. Traceability, Inventory and Expiry Control</w:t>
      </w:r>
    </w:p>
    <w:p>
      <w:r>
        <w:t>10. Delivery Visibility and GIS</w:t>
      </w:r>
    </w:p>
    <w:p>
      <w:r>
        <w:t>11. Proposed Integration with RMS</w:t>
      </w:r>
    </w:p>
    <w:p>
      <w:r>
        <w:t>12. RMS and Proposed System – Positioning</w:t>
      </w:r>
    </w:p>
    <w:p>
      <w:r>
        <w:t>13. Expected Value to RMS and Public Health Facilities</w:t>
      </w:r>
    </w:p>
    <w:p>
      <w:r>
        <w:t>14. Data Security and Governance</w:t>
      </w:r>
    </w:p>
    <w:p>
      <w:r>
        <w:t>15. Implementation Roadmap</w:t>
      </w:r>
    </w:p>
    <w:p>
      <w:r>
        <w:t>16. Proposed Pilot</w:t>
      </w:r>
    </w:p>
    <w:p>
      <w:r>
        <w:t>17. Key Performance Indicators</w:t>
      </w:r>
    </w:p>
    <w:p>
      <w:r>
        <w:t>18. Risks and Mitigation</w:t>
      </w:r>
    </w:p>
    <w:p>
      <w:r>
        <w:t>19. Sustainability and Scalability</w:t>
      </w:r>
    </w:p>
    <w:p>
      <w:r>
        <w:t>20. Request to RMS</w:t>
      </w:r>
    </w:p>
    <w:p>
      <w:r>
        <w:t>21. Conclusion</w:t>
      </w:r>
    </w:p>
    <w:p>
      <w:r>
        <w:t>22. References</w:t>
      </w:r>
    </w:p>
    <w:p>
      <w:r>
        <w:br w:type="page"/>
      </w:r>
    </w:p>
    <w:p>
      <w:pPr>
        <w:pStyle w:val="Heading1"/>
      </w:pPr>
      <w:r>
        <w:t>1. Executive Summary</w:t>
      </w:r>
    </w:p>
    <w:p>
      <w:r>
        <w:t>This proposal presents an AI-Powered Smart Government Medical Supply Chain Management System designed to strengthen visibility, traceability, forecasting and decision support across the public medical supply chain in Rwanda. The platform is intended to complement existing institutional operations, including those of Rwanda Medical Supply Ltd. (RMS), rather than replace them.</w:t>
      </w:r>
    </w:p>
    <w:p>
      <w:r>
        <w:t>The proposed solution connects health-facility demand, orders, inventory, warehouse fulfillment, delivery, receiving and medicine consumption into a unified digital workflow. It adds an intelligence layer that can forecast future demand, identify low-stock and expiry risks, detect unusual consumption patterns, and present decision-makers with operational dashboards.</w:t>
      </w:r>
    </w:p>
    <w:p>
      <w:r>
        <w:t>The project is proposed for technical discussion and validation with RMS. Any future integration with RMS systems, government platforms, health-facility data or logistics infrastructure would be subject to formal authorization, interoperability requirements, data-governance rules and cybersecurity review.</w:t>
      </w:r>
    </w:p>
    <w:p>
      <w:pPr>
        <w:pStyle w:val="Heading1"/>
      </w:pPr>
      <w:r>
        <w:t>2. Background and Rationale</w:t>
      </w:r>
    </w:p>
    <w:p>
      <w:r>
        <w:t>RMS is a government-owned organization whose published strategic plan describes a mandate covering the end-to-end health supply chain, including quantification, procurement, storage and distribution of essential and program health commodities to public health facilities. The proposed project recognizes this existing ecosystem and focuses on how software intelligence can improve visibility and proactive decision-making.</w:t>
      </w:r>
    </w:p>
    <w:p>
      <w:r>
        <w:t>In a supply chain where demand changes over time, the value of timely data is high. A platform that connects consumption, stock, orders, fulfillment and delivery can help authorized users identify risks earlier and plan replenishment more proactively.</w:t>
      </w:r>
    </w:p>
    <w:p>
      <w:pPr>
        <w:pStyle w:val="Heading1"/>
      </w:pPr>
      <w:r>
        <w:t>3. Problem Statement</w:t>
      </w:r>
    </w:p>
    <w:p>
      <w:pPr>
        <w:pStyle w:val="ListBullet"/>
      </w:pPr>
      <w:r>
        <w:t>Supply-chain information can be distributed across different operational activities and systems.</w:t>
      </w:r>
    </w:p>
    <w:p>
      <w:pPr>
        <w:pStyle w:val="ListBullet"/>
      </w:pPr>
      <w:r>
        <w:t>A facility may know its current stock while decision-makers need a wider view of demand, order status and delivery progress.</w:t>
      </w:r>
    </w:p>
    <w:p>
      <w:pPr>
        <w:pStyle w:val="ListBullet"/>
      </w:pPr>
      <w:r>
        <w:t>Reactive replenishment can make it harder to anticipate future medicine requirements.</w:t>
      </w:r>
    </w:p>
    <w:p>
      <w:pPr>
        <w:pStyle w:val="ListBullet"/>
      </w:pPr>
      <w:r>
        <w:t>Batch and expiry information needs reliable traceability and timely alerts.</w:t>
      </w:r>
    </w:p>
    <w:p>
      <w:pPr>
        <w:pStyle w:val="ListBullet"/>
      </w:pPr>
      <w:r>
        <w:t>Management needs consolidated dashboards for stock, orders, deliveries, consumption and risk indicators.</w:t>
      </w:r>
    </w:p>
    <w:p>
      <w:pPr>
        <w:pStyle w:val="ListBullet"/>
      </w:pPr>
      <w:r>
        <w:t>Manual reconciliation and fragmented information can increase delays and data-quality challenges.</w:t>
      </w:r>
    </w:p>
    <w:p>
      <w:pPr>
        <w:pStyle w:val="Heading1"/>
      </w:pPr>
      <w:r>
        <w:t>4. Project Vision and Objectives</w:t>
      </w:r>
    </w:p>
    <w:p>
      <w:r>
        <w:t>Vision: To support a more connected, predictive and data-driven public medical supply chain in Rwanda.</w:t>
      </w:r>
    </w:p>
    <w:p>
      <w:r>
        <w:t>Objectives:</w:t>
      </w:r>
    </w:p>
    <w:p>
      <w:pPr>
        <w:pStyle w:val="ListBullet"/>
      </w:pPr>
      <w:r>
        <w:t>Provide end-to-end digital visibility from facility demand to delivery and receiving.</w:t>
      </w:r>
    </w:p>
    <w:p>
      <w:pPr>
        <w:pStyle w:val="ListBullet"/>
      </w:pPr>
      <w:r>
        <w:t>Use AI-assisted forecasting to estimate future medicine demand.</w:t>
      </w:r>
    </w:p>
    <w:p>
      <w:pPr>
        <w:pStyle w:val="ListBullet"/>
      </w:pPr>
      <w:r>
        <w:t>Improve batch, expiry and stock traceability using QR/barcode workflows.</w:t>
      </w:r>
    </w:p>
    <w:p>
      <w:pPr>
        <w:pStyle w:val="ListBullet"/>
      </w:pPr>
      <w:r>
        <w:t>Provide delivery status and optional GPS/GIS visibility where appropriate integrations exist.</w:t>
      </w:r>
    </w:p>
    <w:p>
      <w:pPr>
        <w:pStyle w:val="ListBullet"/>
      </w:pPr>
      <w:r>
        <w:t>Generate automated low-stock, expiry and unusual-consumption alerts.</w:t>
      </w:r>
    </w:p>
    <w:p>
      <w:pPr>
        <w:pStyle w:val="ListBullet"/>
      </w:pPr>
      <w:r>
        <w:t>Support authorized decision-makers with dashboards and evidence-based recommendations.</w:t>
      </w:r>
    </w:p>
    <w:p>
      <w:pPr>
        <w:pStyle w:val="ListBullet"/>
      </w:pPr>
      <w:r>
        <w:t>Create an architecture that can complement existing RMS and government supply-chain processes.</w:t>
      </w:r>
    </w:p>
    <w:p>
      <w:pPr>
        <w:pStyle w:val="Heading1"/>
      </w:pPr>
      <w:r>
        <w:t>5. Proposed Solution</w:t>
      </w:r>
    </w:p>
    <w:p>
      <w:r>
        <w:t>The platform is conceived as a secure, role-based web application with an API/backend layer, database, analytics/AI module, notification service, reporting layer and optional integrations for barcode/QR scanners, GPS and mapping.</w:t>
      </w:r>
    </w:p>
    <w:p>
      <w:r>
        <w:t>High-level architecture:</w:t>
      </w:r>
    </w:p>
    <w:p>
      <w:r>
        <w:t>Health Facilities → Secure Platform/API → Order &amp; Inventory Services → Supply/Warehouse Workflow → Dispatch &amp; Delivery → Receiving → Consumption Data → AI Analytics → Dashboards &amp; Alerts</w:t>
      </w:r>
    </w:p>
    <w:p>
      <w:r>
        <w:t>Where RMS or another authorized organization already operates a system of record, the proposed platform should exchange only approved data through documented APIs or other approved interoperability mechanisms.</w:t>
      </w:r>
    </w:p>
    <w:p>
      <w:pPr>
        <w:pStyle w:val="Heading1"/>
      </w:pPr>
      <w:r>
        <w:t>6. End-to-End System Workflow</w:t>
      </w:r>
    </w:p>
    <w:p>
      <w:r>
        <w:rPr>
          <w:b/>
        </w:rPr>
        <w:t xml:space="preserve">1. Demand capture: </w:t>
      </w:r>
      <w:r>
        <w:t>Facility records stock, consumption and service-demand information.</w:t>
      </w:r>
    </w:p>
    <w:p>
      <w:r>
        <w:rPr>
          <w:b/>
        </w:rPr>
        <w:t xml:space="preserve">2. AI forecasting: </w:t>
      </w:r>
      <w:r>
        <w:t>The system estimates future demand from historical and operational data.</w:t>
      </w:r>
    </w:p>
    <w:p>
      <w:r>
        <w:rPr>
          <w:b/>
        </w:rPr>
        <w:t xml:space="preserve">3. Requisition/order: </w:t>
      </w:r>
      <w:r>
        <w:t>Authorized facility user submits a medicine order.</w:t>
      </w:r>
    </w:p>
    <w:p>
      <w:r>
        <w:rPr>
          <w:b/>
        </w:rPr>
        <w:t xml:space="preserve">4. Validation: </w:t>
      </w:r>
      <w:r>
        <w:t>System checks required fields, business rules, stock context and approval requirements.</w:t>
      </w:r>
    </w:p>
    <w:p>
      <w:r>
        <w:rPr>
          <w:b/>
        </w:rPr>
        <w:t xml:space="preserve">5. Fulfillment: </w:t>
      </w:r>
      <w:r>
        <w:t>Supply/warehouse team confirms availability and prepares fulfillment.</w:t>
      </w:r>
    </w:p>
    <w:p>
      <w:r>
        <w:rPr>
          <w:b/>
        </w:rPr>
        <w:t xml:space="preserve">6. Picking &amp; scanning: </w:t>
      </w:r>
      <w:r>
        <w:t>Products are picked and batch/expiry/quantity are captured through QR/barcode scanning.</w:t>
      </w:r>
    </w:p>
    <w:p>
      <w:r>
        <w:rPr>
          <w:b/>
        </w:rPr>
        <w:t xml:space="preserve">7. Dispatch: </w:t>
      </w:r>
      <w:r>
        <w:t>Shipment receives a delivery reference and relevant transport information.</w:t>
      </w:r>
    </w:p>
    <w:p>
      <w:r>
        <w:rPr>
          <w:b/>
        </w:rPr>
        <w:t xml:space="preserve">8. Delivery: </w:t>
      </w:r>
      <w:r>
        <w:t>Status is updated; GPS/GIS can be integrated where authorized.</w:t>
      </w:r>
    </w:p>
    <w:p>
      <w:r>
        <w:rPr>
          <w:b/>
        </w:rPr>
        <w:t xml:space="preserve">9. Receiving: </w:t>
      </w:r>
      <w:r>
        <w:t>Facility verifies received quantity, batch and expiry.</w:t>
      </w:r>
    </w:p>
    <w:p>
      <w:r>
        <w:rPr>
          <w:b/>
        </w:rPr>
        <w:t xml:space="preserve">10. Inventory update: </w:t>
      </w:r>
      <w:r>
        <w:t>Accepted quantities update facility stock; discrepancies are flagged.</w:t>
      </w:r>
    </w:p>
    <w:p>
      <w:r>
        <w:rPr>
          <w:b/>
        </w:rPr>
        <w:t xml:space="preserve">11. Consumption: </w:t>
      </w:r>
      <w:r>
        <w:t>Medicine usage is captured and contributes to future demand analysis.</w:t>
      </w:r>
    </w:p>
    <w:p>
      <w:r>
        <w:rPr>
          <w:b/>
        </w:rPr>
        <w:t xml:space="preserve">12. Alerts &amp; replenishment: </w:t>
      </w:r>
      <w:r>
        <w:t>Low-stock, expiry and anomaly alerts support earlier action.</w:t>
      </w:r>
    </w:p>
    <w:p>
      <w:r>
        <w:rPr>
          <w:b/>
        </w:rPr>
        <w:t xml:space="preserve">13. Reporting: </w:t>
      </w:r>
      <w:r>
        <w:t>Dashboards provide operational and management views.</w:t>
      </w:r>
    </w:p>
    <w:p>
      <w:pPr>
        <w:pStyle w:val="Heading1"/>
      </w:pPr>
      <w:r>
        <w:t>7. Core System Modules</w:t>
      </w:r>
    </w:p>
    <w:p>
      <w:pPr>
        <w:pStyle w:val="ListBullet"/>
      </w:pPr>
      <w:r>
        <w:t>User management and role-based access control</w:t>
      </w:r>
    </w:p>
    <w:p>
      <w:pPr>
        <w:pStyle w:val="ListBullet"/>
      </w:pPr>
      <w:r>
        <w:t>Facility and organizational management</w:t>
      </w:r>
    </w:p>
    <w:p>
      <w:pPr>
        <w:pStyle w:val="ListBullet"/>
      </w:pPr>
      <w:r>
        <w:t>Medicine/product and batch master data</w:t>
      </w:r>
    </w:p>
    <w:p>
      <w:pPr>
        <w:pStyle w:val="ListBullet"/>
      </w:pPr>
      <w:r>
        <w:t>Supplier and procurement workflow</w:t>
      </w:r>
    </w:p>
    <w:p>
      <w:pPr>
        <w:pStyle w:val="ListBullet"/>
      </w:pPr>
      <w:r>
        <w:t>Requisition/order management</w:t>
      </w:r>
    </w:p>
    <w:p>
      <w:pPr>
        <w:pStyle w:val="ListBullet"/>
      </w:pPr>
      <w:r>
        <w:t>Warehouse and inventory management</w:t>
      </w:r>
    </w:p>
    <w:p>
      <w:pPr>
        <w:pStyle w:val="ListBullet"/>
      </w:pPr>
      <w:r>
        <w:t>QR/barcode traceability</w:t>
      </w:r>
    </w:p>
    <w:p>
      <w:pPr>
        <w:pStyle w:val="ListBullet"/>
      </w:pPr>
      <w:r>
        <w:t>Dispatch and delivery management</w:t>
      </w:r>
    </w:p>
    <w:p>
      <w:pPr>
        <w:pStyle w:val="ListBullet"/>
      </w:pPr>
      <w:r>
        <w:t>GPS and GIS integration</w:t>
      </w:r>
    </w:p>
    <w:p>
      <w:pPr>
        <w:pStyle w:val="ListBullet"/>
      </w:pPr>
      <w:r>
        <w:t>Consumption and demand analytics</w:t>
      </w:r>
    </w:p>
    <w:p>
      <w:pPr>
        <w:pStyle w:val="ListBullet"/>
      </w:pPr>
      <w:r>
        <w:t>AI forecasting and anomaly detection</w:t>
      </w:r>
    </w:p>
    <w:p>
      <w:pPr>
        <w:pStyle w:val="ListBullet"/>
      </w:pPr>
      <w:r>
        <w:t>Expiry and low-stock alerts</w:t>
      </w:r>
    </w:p>
    <w:p>
      <w:pPr>
        <w:pStyle w:val="ListBullet"/>
      </w:pPr>
      <w:r>
        <w:t>Notifications and escalation</w:t>
      </w:r>
    </w:p>
    <w:p>
      <w:pPr>
        <w:pStyle w:val="ListBullet"/>
      </w:pPr>
      <w:r>
        <w:t>Reports and executive dashboards</w:t>
      </w:r>
    </w:p>
    <w:p>
      <w:pPr>
        <w:pStyle w:val="ListBullet"/>
      </w:pPr>
      <w:r>
        <w:t>Audit trail and system administration</w:t>
      </w:r>
    </w:p>
    <w:p>
      <w:pPr>
        <w:pStyle w:val="Heading1"/>
      </w:pPr>
      <w:r>
        <w:t>8. AI and Predictive Intelligence</w:t>
      </w:r>
    </w:p>
    <w:p>
      <w:r>
        <w:t>The AI component is proposed as decision support, not as an autonomous replacement for professional or institutional decisions. Authorized users remain responsible for reviewing recommendations.</w:t>
      </w:r>
    </w:p>
    <w:p>
      <w:pPr>
        <w:pStyle w:val="ListBullet"/>
      </w:pPr>
      <w:r>
        <w:t>Demand forecasting from historical consumption and order data.</w:t>
      </w:r>
    </w:p>
    <w:p>
      <w:pPr>
        <w:pStyle w:val="ListBullet"/>
      </w:pPr>
      <w:r>
        <w:t>Forecast confidence/risk indicators to help users understand uncertainty.</w:t>
      </w:r>
    </w:p>
    <w:p>
      <w:pPr>
        <w:pStyle w:val="ListBullet"/>
      </w:pPr>
      <w:r>
        <w:t>Stock-out risk prediction based on current stock, consumption rate and replenishment lead time.</w:t>
      </w:r>
    </w:p>
    <w:p>
      <w:pPr>
        <w:pStyle w:val="ListBullet"/>
      </w:pPr>
      <w:r>
        <w:t>Expiry-risk prioritization for batches approaching expiry.</w:t>
      </w:r>
    </w:p>
    <w:p>
      <w:pPr>
        <w:pStyle w:val="ListBullet"/>
      </w:pPr>
      <w:r>
        <w:t>Anomaly detection for unusually high or low consumption compared with historical patterns.</w:t>
      </w:r>
    </w:p>
    <w:p>
      <w:pPr>
        <w:pStyle w:val="ListBullet"/>
      </w:pPr>
      <w:r>
        <w:t>Replenishment recommendations based on approved business rules and forecast outputs.</w:t>
      </w:r>
    </w:p>
    <w:p>
      <w:pPr>
        <w:pStyle w:val="Heading1"/>
      </w:pPr>
      <w:r>
        <w:t>9. Traceability, Inventory and Expiry Control</w:t>
      </w:r>
    </w:p>
    <w:p>
      <w:r>
        <w:t>Each relevant stock movement can capture medicine, batch number, expiry date, quantity, source, destination, user and timestamp. QR/barcode scanning can reduce manual entry and improve traceability. The platform can generate configurable expiry-risk notifications and support stock reconciliation.</w:t>
      </w:r>
    </w:p>
    <w:p>
      <w:pPr>
        <w:pStyle w:val="Heading1"/>
      </w:pPr>
      <w:r>
        <w:t>10. Delivery Visibility and GIS</w:t>
      </w:r>
    </w:p>
    <w:p>
      <w:r>
        <w:t>The proposed platform can provide a delivery dashboard showing shipment reference, origin, destination, status and estimated progress. Where an approved GPS source is available, authorized users could see vehicle location on a map. GPS is therefore an integration capability, not a claim about an existing RMS implementation.</w:t>
      </w:r>
    </w:p>
    <w:p>
      <w:pPr>
        <w:pStyle w:val="Heading1"/>
      </w:pPr>
      <w:r>
        <w:t>11. Proposed Integration with RMS</w:t>
      </w:r>
    </w:p>
    <w:p>
      <w:r>
        <w:t>The recommended relationship is complementary. RMS remains an operational supply-chain institution, while the proposed platform can provide digital intelligence and visibility around approved workflows.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Information/Process</w:t>
            </w:r>
          </w:p>
        </w:tc>
        <w:tc>
          <w:tcPr>
            <w:tcW w:type="dxa" w:w="3312"/>
            <w:vAlign w:val="center"/>
            <w:shd w:fill="D9EAF7"/>
          </w:tcPr>
          <w:p>
            <w:r/>
            <w:r>
              <w:rPr>
                <w:b/>
                <w:sz w:val="18"/>
              </w:rPr>
              <w:t>Possible role of proposed platform</w:t>
            </w:r>
          </w:p>
        </w:tc>
        <w:tc>
          <w:tcPr>
            <w:tcW w:type="dxa" w:w="3312"/>
            <w:vAlign w:val="center"/>
            <w:shd w:fill="D9EAF7"/>
          </w:tcPr>
          <w:p>
            <w:r/>
            <w:r>
              <w:rPr>
                <w:b/>
                <w:sz w:val="18"/>
              </w:rPr>
              <w:t>Potential RMS interaction</w:t>
            </w:r>
          </w:p>
        </w:tc>
      </w:tr>
      <w:tr>
        <w:tc>
          <w:tcPr>
            <w:tcW w:type="dxa" w:w="3312"/>
            <w:vAlign w:val="center"/>
          </w:tcPr>
          <w:p>
            <w:r/>
            <w:r>
              <w:rPr>
                <w:b w:val="0"/>
                <w:sz w:val="18"/>
              </w:rPr>
              <w:t>Facility demand</w:t>
            </w:r>
          </w:p>
        </w:tc>
        <w:tc>
          <w:tcPr>
            <w:tcW w:type="dxa" w:w="3312"/>
            <w:vAlign w:val="center"/>
          </w:tcPr>
          <w:p>
            <w:r/>
            <w:r>
              <w:rPr>
                <w:b w:val="0"/>
                <w:sz w:val="18"/>
              </w:rPr>
              <w:t>Capture/aggregate approved demand and consumption data</w:t>
            </w:r>
          </w:p>
        </w:tc>
        <w:tc>
          <w:tcPr>
            <w:tcW w:type="dxa" w:w="3312"/>
            <w:vAlign w:val="center"/>
          </w:tcPr>
          <w:p>
            <w:r/>
            <w:r>
              <w:rPr>
                <w:b w:val="0"/>
                <w:sz w:val="18"/>
              </w:rPr>
              <w:t>Receive/validate demand information through approved interface</w:t>
            </w:r>
          </w:p>
        </w:tc>
      </w:tr>
      <w:tr>
        <w:tc>
          <w:tcPr>
            <w:tcW w:type="dxa" w:w="3312"/>
            <w:vAlign w:val="center"/>
          </w:tcPr>
          <w:p>
            <w:r/>
            <w:r>
              <w:rPr>
                <w:b w:val="0"/>
                <w:sz w:val="18"/>
              </w:rPr>
              <w:t>Order</w:t>
            </w:r>
          </w:p>
        </w:tc>
        <w:tc>
          <w:tcPr>
            <w:tcW w:type="dxa" w:w="3312"/>
            <w:vAlign w:val="center"/>
          </w:tcPr>
          <w:p>
            <w:r/>
            <w:r>
              <w:rPr>
                <w:b w:val="0"/>
                <w:sz w:val="18"/>
              </w:rPr>
              <w:t>Create, validate and track facility requisitions</w:t>
            </w:r>
          </w:p>
        </w:tc>
        <w:tc>
          <w:tcPr>
            <w:tcW w:type="dxa" w:w="3312"/>
            <w:vAlign w:val="center"/>
          </w:tcPr>
          <w:p>
            <w:r/>
            <w:r>
              <w:rPr>
                <w:b w:val="0"/>
                <w:sz w:val="18"/>
              </w:rPr>
              <w:t>Existing RMS workflow/system can remain system of record where applicable</w:t>
            </w:r>
          </w:p>
        </w:tc>
      </w:tr>
      <w:tr>
        <w:tc>
          <w:tcPr>
            <w:tcW w:type="dxa" w:w="3312"/>
            <w:vAlign w:val="center"/>
          </w:tcPr>
          <w:p>
            <w:r/>
            <w:r>
              <w:rPr>
                <w:b w:val="0"/>
                <w:sz w:val="18"/>
              </w:rPr>
              <w:t>Stock</w:t>
            </w:r>
          </w:p>
        </w:tc>
        <w:tc>
          <w:tcPr>
            <w:tcW w:type="dxa" w:w="3312"/>
            <w:vAlign w:val="center"/>
          </w:tcPr>
          <w:p>
            <w:r/>
            <w:r>
              <w:rPr>
                <w:b w:val="0"/>
                <w:sz w:val="18"/>
              </w:rPr>
              <w:t>Analyze stock and forecast risk</w:t>
            </w:r>
          </w:p>
        </w:tc>
        <w:tc>
          <w:tcPr>
            <w:tcW w:type="dxa" w:w="3312"/>
            <w:vAlign w:val="center"/>
          </w:tcPr>
          <w:p>
            <w:r/>
            <w:r>
              <w:rPr>
                <w:b w:val="0"/>
                <w:sz w:val="18"/>
              </w:rPr>
              <w:t>Exchange approved inventory data</w:t>
            </w:r>
          </w:p>
        </w:tc>
      </w:tr>
      <w:tr>
        <w:tc>
          <w:tcPr>
            <w:tcW w:type="dxa" w:w="3312"/>
            <w:vAlign w:val="center"/>
          </w:tcPr>
          <w:p>
            <w:r/>
            <w:r>
              <w:rPr>
                <w:b w:val="0"/>
                <w:sz w:val="18"/>
              </w:rPr>
              <w:t>Fulfillment</w:t>
            </w:r>
          </w:p>
        </w:tc>
        <w:tc>
          <w:tcPr>
            <w:tcW w:type="dxa" w:w="3312"/>
            <w:vAlign w:val="center"/>
          </w:tcPr>
          <w:p>
            <w:r/>
            <w:r>
              <w:rPr>
                <w:b w:val="0"/>
                <w:sz w:val="18"/>
              </w:rPr>
              <w:t>Show fulfillment status</w:t>
            </w:r>
          </w:p>
        </w:tc>
        <w:tc>
          <w:tcPr>
            <w:tcW w:type="dxa" w:w="3312"/>
            <w:vAlign w:val="center"/>
          </w:tcPr>
          <w:p>
            <w:r/>
            <w:r>
              <w:rPr>
                <w:b w:val="0"/>
                <w:sz w:val="18"/>
              </w:rPr>
              <w:t>RMS/warehouse operational process</w:t>
            </w:r>
          </w:p>
        </w:tc>
      </w:tr>
      <w:tr>
        <w:tc>
          <w:tcPr>
            <w:tcW w:type="dxa" w:w="3312"/>
            <w:vAlign w:val="center"/>
          </w:tcPr>
          <w:p>
            <w:r/>
            <w:r>
              <w:rPr>
                <w:b w:val="0"/>
                <w:sz w:val="18"/>
              </w:rPr>
              <w:t>Dispatch</w:t>
            </w:r>
          </w:p>
        </w:tc>
        <w:tc>
          <w:tcPr>
            <w:tcW w:type="dxa" w:w="3312"/>
            <w:vAlign w:val="center"/>
          </w:tcPr>
          <w:p>
            <w:r/>
            <w:r>
              <w:rPr>
                <w:b w:val="0"/>
                <w:sz w:val="18"/>
              </w:rPr>
              <w:t>Digital shipment reference and status</w:t>
            </w:r>
          </w:p>
        </w:tc>
        <w:tc>
          <w:tcPr>
            <w:tcW w:type="dxa" w:w="3312"/>
            <w:vAlign w:val="center"/>
          </w:tcPr>
          <w:p>
            <w:r/>
            <w:r>
              <w:rPr>
                <w:b w:val="0"/>
                <w:sz w:val="18"/>
              </w:rPr>
              <w:t>Connect to approved dispatch information</w:t>
            </w:r>
          </w:p>
        </w:tc>
      </w:tr>
      <w:tr>
        <w:tc>
          <w:tcPr>
            <w:tcW w:type="dxa" w:w="3312"/>
            <w:vAlign w:val="center"/>
          </w:tcPr>
          <w:p>
            <w:r/>
            <w:r>
              <w:rPr>
                <w:b w:val="0"/>
                <w:sz w:val="18"/>
              </w:rPr>
              <w:t>Delivery</w:t>
            </w:r>
          </w:p>
        </w:tc>
        <w:tc>
          <w:tcPr>
            <w:tcW w:type="dxa" w:w="3312"/>
            <w:vAlign w:val="center"/>
          </w:tcPr>
          <w:p>
            <w:r/>
            <w:r>
              <w:rPr>
                <w:b w:val="0"/>
                <w:sz w:val="18"/>
              </w:rPr>
              <w:t>Status and optional GPS/GIS visibility</w:t>
            </w:r>
          </w:p>
        </w:tc>
        <w:tc>
          <w:tcPr>
            <w:tcW w:type="dxa" w:w="3312"/>
            <w:vAlign w:val="center"/>
          </w:tcPr>
          <w:p>
            <w:r/>
            <w:r>
              <w:rPr>
                <w:b w:val="0"/>
                <w:sz w:val="18"/>
              </w:rPr>
              <w:t>Use authorized transport/location data</w:t>
            </w:r>
          </w:p>
        </w:tc>
      </w:tr>
      <w:tr>
        <w:tc>
          <w:tcPr>
            <w:tcW w:type="dxa" w:w="3312"/>
            <w:vAlign w:val="center"/>
          </w:tcPr>
          <w:p>
            <w:r/>
            <w:r>
              <w:rPr>
                <w:b w:val="0"/>
                <w:sz w:val="18"/>
              </w:rPr>
              <w:t>Receiving</w:t>
            </w:r>
          </w:p>
        </w:tc>
        <w:tc>
          <w:tcPr>
            <w:tcW w:type="dxa" w:w="3312"/>
            <w:vAlign w:val="center"/>
          </w:tcPr>
          <w:p>
            <w:r/>
            <w:r>
              <w:rPr>
                <w:b w:val="0"/>
                <w:sz w:val="18"/>
              </w:rPr>
              <w:t>Scan and verify delivered items</w:t>
            </w:r>
          </w:p>
        </w:tc>
        <w:tc>
          <w:tcPr>
            <w:tcW w:type="dxa" w:w="3312"/>
            <w:vAlign w:val="center"/>
          </w:tcPr>
          <w:p>
            <w:r/>
            <w:r>
              <w:rPr>
                <w:b w:val="0"/>
                <w:sz w:val="18"/>
              </w:rPr>
              <w:t>Confirm receipt and discrepancies</w:t>
            </w:r>
          </w:p>
        </w:tc>
      </w:tr>
      <w:tr>
        <w:tc>
          <w:tcPr>
            <w:tcW w:type="dxa" w:w="3312"/>
            <w:vAlign w:val="center"/>
          </w:tcPr>
          <w:p>
            <w:r/>
            <w:r>
              <w:rPr>
                <w:b w:val="0"/>
                <w:sz w:val="18"/>
              </w:rPr>
              <w:t>Analytics</w:t>
            </w:r>
          </w:p>
        </w:tc>
        <w:tc>
          <w:tcPr>
            <w:tcW w:type="dxa" w:w="3312"/>
            <w:vAlign w:val="center"/>
          </w:tcPr>
          <w:p>
            <w:r/>
            <w:r>
              <w:rPr>
                <w:b w:val="0"/>
                <w:sz w:val="18"/>
              </w:rPr>
              <w:t>Forecasting, alerts and dashboards</w:t>
            </w:r>
          </w:p>
        </w:tc>
        <w:tc>
          <w:tcPr>
            <w:tcW w:type="dxa" w:w="3312"/>
            <w:vAlign w:val="center"/>
          </w:tcPr>
          <w:p>
            <w:r/>
            <w:r>
              <w:rPr>
                <w:b w:val="0"/>
                <w:sz w:val="18"/>
              </w:rPr>
              <w:t>Provide decision-support information to authorized stakeholders</w:t>
            </w:r>
          </w:p>
        </w:tc>
      </w:tr>
    </w:tbl>
    <w:p>
      <w:pPr>
        <w:pStyle w:val="Heading1"/>
      </w:pPr>
      <w:r>
        <w:t>12. RMS and Proposed System – Positioning</w:t>
      </w:r>
    </w:p>
    <w:p>
      <w:r>
        <w:t>The comparison should be understood as a positioning exercise, not a claim that public information describes every RMS technology or internal process.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Area</w:t>
            </w:r>
          </w:p>
        </w:tc>
        <w:tc>
          <w:tcPr>
            <w:tcW w:type="dxa" w:w="3312"/>
            <w:vAlign w:val="center"/>
            <w:shd w:fill="D9EAF7"/>
          </w:tcPr>
          <w:p>
            <w:r/>
            <w:r>
              <w:rPr>
                <w:b/>
                <w:sz w:val="18"/>
              </w:rPr>
              <w:t>RMS – documented role</w:t>
            </w:r>
          </w:p>
        </w:tc>
        <w:tc>
          <w:tcPr>
            <w:tcW w:type="dxa" w:w="3312"/>
            <w:vAlign w:val="center"/>
            <w:shd w:fill="D9EAF7"/>
          </w:tcPr>
          <w:p>
            <w:r/>
            <w:r>
              <w:rPr>
                <w:b/>
                <w:sz w:val="18"/>
              </w:rPr>
              <w:t>Proposed platform</w:t>
            </w:r>
          </w:p>
        </w:tc>
      </w:tr>
      <w:tr>
        <w:tc>
          <w:tcPr>
            <w:tcW w:type="dxa" w:w="3312"/>
            <w:vAlign w:val="center"/>
          </w:tcPr>
          <w:p>
            <w:r/>
            <w:r>
              <w:rPr>
                <w:b w:val="0"/>
                <w:sz w:val="18"/>
              </w:rPr>
              <w:t>Supply-chain execution</w:t>
            </w:r>
          </w:p>
        </w:tc>
        <w:tc>
          <w:tcPr>
            <w:tcW w:type="dxa" w:w="3312"/>
            <w:vAlign w:val="center"/>
          </w:tcPr>
          <w:p>
            <w:r/>
            <w:r>
              <w:rPr>
                <w:b w:val="0"/>
                <w:sz w:val="18"/>
              </w:rPr>
              <w:t>End-to-end health supply-chain mandate including quantification, procurement, storage and distribution.</w:t>
            </w:r>
          </w:p>
        </w:tc>
        <w:tc>
          <w:tcPr>
            <w:tcW w:type="dxa" w:w="3312"/>
            <w:vAlign w:val="center"/>
          </w:tcPr>
          <w:p>
            <w:r/>
            <w:r>
              <w:rPr>
                <w:b w:val="0"/>
                <w:sz w:val="18"/>
              </w:rPr>
              <w:t>Digital workflow, visibility and analytics layer.</w:t>
            </w:r>
          </w:p>
        </w:tc>
      </w:tr>
      <w:tr>
        <w:tc>
          <w:tcPr>
            <w:tcW w:type="dxa" w:w="3312"/>
            <w:vAlign w:val="center"/>
          </w:tcPr>
          <w:p>
            <w:r/>
            <w:r>
              <w:rPr>
                <w:b w:val="0"/>
                <w:sz w:val="18"/>
              </w:rPr>
              <w:t>Procurement</w:t>
            </w:r>
          </w:p>
        </w:tc>
        <w:tc>
          <w:tcPr>
            <w:tcW w:type="dxa" w:w="3312"/>
            <w:vAlign w:val="center"/>
          </w:tcPr>
          <w:p>
            <w:r/>
            <w:r>
              <w:rPr>
                <w:b w:val="0"/>
                <w:sz w:val="18"/>
              </w:rPr>
              <w:t>Core supply-chain activity.</w:t>
            </w:r>
          </w:p>
        </w:tc>
        <w:tc>
          <w:tcPr>
            <w:tcW w:type="dxa" w:w="3312"/>
            <w:vAlign w:val="center"/>
          </w:tcPr>
          <w:p>
            <w:r/>
            <w:r>
              <w:rPr>
                <w:b w:val="0"/>
                <w:sz w:val="18"/>
              </w:rPr>
              <w:t>Workflow representation and data support.</w:t>
            </w:r>
          </w:p>
        </w:tc>
      </w:tr>
      <w:tr>
        <w:tc>
          <w:tcPr>
            <w:tcW w:type="dxa" w:w="3312"/>
            <w:vAlign w:val="center"/>
          </w:tcPr>
          <w:p>
            <w:r/>
            <w:r>
              <w:rPr>
                <w:b w:val="0"/>
                <w:sz w:val="18"/>
              </w:rPr>
              <w:t>Warehousing</w:t>
            </w:r>
          </w:p>
        </w:tc>
        <w:tc>
          <w:tcPr>
            <w:tcW w:type="dxa" w:w="3312"/>
            <w:vAlign w:val="center"/>
          </w:tcPr>
          <w:p>
            <w:r/>
            <w:r>
              <w:rPr>
                <w:b w:val="0"/>
                <w:sz w:val="18"/>
              </w:rPr>
              <w:t>Central/regional storage and supply operations.</w:t>
            </w:r>
          </w:p>
        </w:tc>
        <w:tc>
          <w:tcPr>
            <w:tcW w:type="dxa" w:w="3312"/>
            <w:vAlign w:val="center"/>
          </w:tcPr>
          <w:p>
            <w:r/>
            <w:r>
              <w:rPr>
                <w:b w:val="0"/>
                <w:sz w:val="18"/>
              </w:rPr>
              <w:t>Inventory, picking, scanning and traceability module.</w:t>
            </w:r>
          </w:p>
        </w:tc>
      </w:tr>
      <w:tr>
        <w:tc>
          <w:tcPr>
            <w:tcW w:type="dxa" w:w="3312"/>
            <w:vAlign w:val="center"/>
          </w:tcPr>
          <w:p>
            <w:r/>
            <w:r>
              <w:rPr>
                <w:b w:val="0"/>
                <w:sz w:val="18"/>
              </w:rPr>
              <w:t>Distribution</w:t>
            </w:r>
          </w:p>
        </w:tc>
        <w:tc>
          <w:tcPr>
            <w:tcW w:type="dxa" w:w="3312"/>
            <w:vAlign w:val="center"/>
          </w:tcPr>
          <w:p>
            <w:r/>
            <w:r>
              <w:rPr>
                <w:b w:val="0"/>
                <w:sz w:val="18"/>
              </w:rPr>
              <w:t>Core distribution activity.</w:t>
            </w:r>
          </w:p>
        </w:tc>
        <w:tc>
          <w:tcPr>
            <w:tcW w:type="dxa" w:w="3312"/>
            <w:vAlign w:val="center"/>
          </w:tcPr>
          <w:p>
            <w:r/>
            <w:r>
              <w:rPr>
                <w:b w:val="0"/>
                <w:sz w:val="18"/>
              </w:rPr>
              <w:t>Digital dispatch, delivery status and optional GPS integration.</w:t>
            </w:r>
          </w:p>
        </w:tc>
      </w:tr>
      <w:tr>
        <w:tc>
          <w:tcPr>
            <w:tcW w:type="dxa" w:w="3312"/>
            <w:vAlign w:val="center"/>
          </w:tcPr>
          <w:p>
            <w:r/>
            <w:r>
              <w:rPr>
                <w:b w:val="0"/>
                <w:sz w:val="18"/>
              </w:rPr>
              <w:t>AI forecasting</w:t>
            </w:r>
          </w:p>
        </w:tc>
        <w:tc>
          <w:tcPr>
            <w:tcW w:type="dxa" w:w="3312"/>
            <w:vAlign w:val="center"/>
          </w:tcPr>
          <w:p>
            <w:r/>
            <w:r>
              <w:rPr>
                <w:b w:val="0"/>
                <w:sz w:val="18"/>
              </w:rPr>
              <w:t>Not presented here as a documented core RMS mandate.</w:t>
            </w:r>
          </w:p>
        </w:tc>
        <w:tc>
          <w:tcPr>
            <w:tcW w:type="dxa" w:w="3312"/>
            <w:vAlign w:val="center"/>
          </w:tcPr>
          <w:p>
            <w:r/>
            <w:r>
              <w:rPr>
                <w:b w:val="0"/>
                <w:sz w:val="18"/>
              </w:rPr>
              <w:t>Central innovation feature.</w:t>
            </w:r>
          </w:p>
        </w:tc>
      </w:tr>
      <w:tr>
        <w:tc>
          <w:tcPr>
            <w:tcW w:type="dxa" w:w="3312"/>
            <w:vAlign w:val="center"/>
          </w:tcPr>
          <w:p>
            <w:r/>
            <w:r>
              <w:rPr>
                <w:b w:val="0"/>
                <w:sz w:val="18"/>
              </w:rPr>
              <w:t>QR/barcode</w:t>
            </w:r>
          </w:p>
        </w:tc>
        <w:tc>
          <w:tcPr>
            <w:tcW w:type="dxa" w:w="3312"/>
            <w:vAlign w:val="center"/>
          </w:tcPr>
          <w:p>
            <w:r/>
            <w:r>
              <w:rPr>
                <w:b w:val="0"/>
                <w:sz w:val="18"/>
              </w:rPr>
              <w:t>No specific implementation claim made without direct validation.</w:t>
            </w:r>
          </w:p>
        </w:tc>
        <w:tc>
          <w:tcPr>
            <w:tcW w:type="dxa" w:w="3312"/>
            <w:vAlign w:val="center"/>
          </w:tcPr>
          <w:p>
            <w:r/>
            <w:r>
              <w:rPr>
                <w:b w:val="0"/>
                <w:sz w:val="18"/>
              </w:rPr>
              <w:t>Explicit proposed feature.</w:t>
            </w:r>
          </w:p>
        </w:tc>
      </w:tr>
      <w:tr>
        <w:tc>
          <w:tcPr>
            <w:tcW w:type="dxa" w:w="3312"/>
            <w:vAlign w:val="center"/>
          </w:tcPr>
          <w:p>
            <w:r/>
            <w:r>
              <w:rPr>
                <w:b w:val="0"/>
                <w:sz w:val="18"/>
              </w:rPr>
              <w:t>Expiry alerts</w:t>
            </w:r>
          </w:p>
        </w:tc>
        <w:tc>
          <w:tcPr>
            <w:tcW w:type="dxa" w:w="3312"/>
            <w:vAlign w:val="center"/>
          </w:tcPr>
          <w:p>
            <w:r/>
            <w:r>
              <w:rPr>
                <w:b w:val="0"/>
                <w:sz w:val="18"/>
              </w:rPr>
              <w:t>No specific implementation claim made without direct validation.</w:t>
            </w:r>
          </w:p>
        </w:tc>
        <w:tc>
          <w:tcPr>
            <w:tcW w:type="dxa" w:w="3312"/>
            <w:vAlign w:val="center"/>
          </w:tcPr>
          <w:p>
            <w:r/>
            <w:r>
              <w:rPr>
                <w:b w:val="0"/>
                <w:sz w:val="18"/>
              </w:rPr>
              <w:t>Explicit proposed feature.</w:t>
            </w:r>
          </w:p>
        </w:tc>
      </w:tr>
      <w:tr>
        <w:tc>
          <w:tcPr>
            <w:tcW w:type="dxa" w:w="3312"/>
            <w:vAlign w:val="center"/>
          </w:tcPr>
          <w:p>
            <w:r/>
            <w:r>
              <w:rPr>
                <w:b w:val="0"/>
                <w:sz w:val="18"/>
              </w:rPr>
              <w:t>GIS/GPS</w:t>
            </w:r>
          </w:p>
        </w:tc>
        <w:tc>
          <w:tcPr>
            <w:tcW w:type="dxa" w:w="3312"/>
            <w:vAlign w:val="center"/>
          </w:tcPr>
          <w:p>
            <w:r/>
            <w:r>
              <w:rPr>
                <w:b w:val="0"/>
                <w:sz w:val="18"/>
              </w:rPr>
              <w:t>No specific implementation claim made without direct validation.</w:t>
            </w:r>
          </w:p>
        </w:tc>
        <w:tc>
          <w:tcPr>
            <w:tcW w:type="dxa" w:w="3312"/>
            <w:vAlign w:val="center"/>
          </w:tcPr>
          <w:p>
            <w:r/>
            <w:r>
              <w:rPr>
                <w:b w:val="0"/>
                <w:sz w:val="18"/>
              </w:rPr>
              <w:t>Explicit proposed integration capability.</w:t>
            </w:r>
          </w:p>
        </w:tc>
      </w:tr>
      <w:tr>
        <w:tc>
          <w:tcPr>
            <w:tcW w:type="dxa" w:w="3312"/>
            <w:vAlign w:val="center"/>
          </w:tcPr>
          <w:p>
            <w:r/>
            <w:r>
              <w:rPr>
                <w:b w:val="0"/>
                <w:sz w:val="18"/>
              </w:rPr>
              <w:t>Consumption analytics</w:t>
            </w:r>
          </w:p>
        </w:tc>
        <w:tc>
          <w:tcPr>
            <w:tcW w:type="dxa" w:w="3312"/>
            <w:vAlign w:val="center"/>
          </w:tcPr>
          <w:p>
            <w:r/>
            <w:r>
              <w:rPr>
                <w:b w:val="0"/>
                <w:sz w:val="18"/>
              </w:rPr>
              <w:t>Supply-chain data is relevant to demand planning.</w:t>
            </w:r>
          </w:p>
        </w:tc>
        <w:tc>
          <w:tcPr>
            <w:tcW w:type="dxa" w:w="3312"/>
            <w:vAlign w:val="center"/>
          </w:tcPr>
          <w:p>
            <w:r/>
            <w:r>
              <w:rPr>
                <w:b w:val="0"/>
                <w:sz w:val="18"/>
              </w:rPr>
              <w:t>Connect consumption to forecasting and risk analysis.</w:t>
            </w:r>
          </w:p>
        </w:tc>
      </w:tr>
      <w:tr>
        <w:tc>
          <w:tcPr>
            <w:tcW w:type="dxa" w:w="3312"/>
            <w:vAlign w:val="center"/>
          </w:tcPr>
          <w:p>
            <w:r/>
            <w:r>
              <w:rPr>
                <w:b w:val="0"/>
                <w:sz w:val="18"/>
              </w:rPr>
              <w:t>Decision support</w:t>
            </w:r>
          </w:p>
        </w:tc>
        <w:tc>
          <w:tcPr>
            <w:tcW w:type="dxa" w:w="3312"/>
            <w:vAlign w:val="center"/>
          </w:tcPr>
          <w:p>
            <w:r/>
            <w:r>
              <w:rPr>
                <w:b w:val="0"/>
                <w:sz w:val="18"/>
              </w:rPr>
              <w:t>Operational supply-chain management.</w:t>
            </w:r>
          </w:p>
        </w:tc>
        <w:tc>
          <w:tcPr>
            <w:tcW w:type="dxa" w:w="3312"/>
            <w:vAlign w:val="center"/>
          </w:tcPr>
          <w:p>
            <w:r/>
            <w:r>
              <w:rPr>
                <w:b w:val="0"/>
                <w:sz w:val="18"/>
              </w:rPr>
              <w:t>AI-assisted recommendations and dashboards.</w:t>
            </w:r>
          </w:p>
        </w:tc>
      </w:tr>
    </w:tbl>
    <w:p>
      <w:pPr>
        <w:pStyle w:val="Heading1"/>
      </w:pPr>
      <w:r>
        <w:t>13. Expected Value to RMS and Public Health Facilities</w:t>
      </w:r>
    </w:p>
    <w:p>
      <w:pPr>
        <w:pStyle w:val="ListBullet"/>
      </w:pPr>
      <w:r>
        <w:t>Earlier visibility of demand and stock risks.</w:t>
      </w:r>
    </w:p>
    <w:p>
      <w:pPr>
        <w:pStyle w:val="ListBullet"/>
      </w:pPr>
      <w:r>
        <w:t>More proactive replenishment planning through forecasting.</w:t>
      </w:r>
    </w:p>
    <w:p>
      <w:pPr>
        <w:pStyle w:val="ListBullet"/>
      </w:pPr>
      <w:r>
        <w:t>Improved traceability of batches, expiry and stock movements.</w:t>
      </w:r>
    </w:p>
    <w:p>
      <w:pPr>
        <w:pStyle w:val="ListBullet"/>
      </w:pPr>
      <w:r>
        <w:t>Centralized order and delivery status information.</w:t>
      </w:r>
    </w:p>
    <w:p>
      <w:pPr>
        <w:pStyle w:val="ListBullet"/>
      </w:pPr>
      <w:r>
        <w:t>Potential reduction in manual reconciliation and duplicate data entry.</w:t>
      </w:r>
    </w:p>
    <w:p>
      <w:pPr>
        <w:pStyle w:val="ListBullet"/>
      </w:pPr>
      <w:r>
        <w:t>Management dashboards for evidence-based operational decisions.</w:t>
      </w:r>
    </w:p>
    <w:p>
      <w:pPr>
        <w:pStyle w:val="ListBullet"/>
      </w:pPr>
      <w:r>
        <w:t>Better ability to identify unusual consumption patterns for review.</w:t>
      </w:r>
    </w:p>
    <w:p>
      <w:pPr>
        <w:pStyle w:val="ListBullet"/>
      </w:pPr>
      <w:r>
        <w:t>A scalable foundation for future interoperability with approved national systems.</w:t>
      </w:r>
    </w:p>
    <w:p>
      <w:pPr>
        <w:pStyle w:val="Heading1"/>
      </w:pPr>
      <w:r>
        <w:t>14. Data Security and Governance</w:t>
      </w:r>
    </w:p>
    <w:p>
      <w:pPr>
        <w:pStyle w:val="ListBullet"/>
      </w:pPr>
      <w:r>
        <w:t>Role-based access control and least-privilege permissions.</w:t>
      </w:r>
    </w:p>
    <w:p>
      <w:pPr>
        <w:pStyle w:val="ListBullet"/>
      </w:pPr>
      <w:r>
        <w:t>Strong authentication and secure session/token handling.</w:t>
      </w:r>
    </w:p>
    <w:p>
      <w:pPr>
        <w:pStyle w:val="ListBullet"/>
      </w:pPr>
      <w:r>
        <w:t>HTTPS/TLS for production data transmission.</w:t>
      </w:r>
    </w:p>
    <w:p>
      <w:pPr>
        <w:pStyle w:val="ListBullet"/>
      </w:pPr>
      <w:r>
        <w:t>Encryption of sensitive data where appropriate.</w:t>
      </w:r>
    </w:p>
    <w:p>
      <w:pPr>
        <w:pStyle w:val="ListBullet"/>
      </w:pPr>
      <w:r>
        <w:t>Audit logging for approvals, stock adjustments, receiving and other critical actions.</w:t>
      </w:r>
    </w:p>
    <w:p>
      <w:pPr>
        <w:pStyle w:val="ListBullet"/>
      </w:pPr>
      <w:r>
        <w:t>Server-side authorization and validation for every protected API.</w:t>
      </w:r>
    </w:p>
    <w:p>
      <w:pPr>
        <w:pStyle w:val="ListBullet"/>
      </w:pPr>
      <w:r>
        <w:t>Backup, disaster recovery and monitoring procedures.</w:t>
      </w:r>
    </w:p>
    <w:p>
      <w:pPr>
        <w:pStyle w:val="ListBullet"/>
      </w:pPr>
      <w:r>
        <w:t>Data minimization and controlled access to patient/service information.</w:t>
      </w:r>
    </w:p>
    <w:p>
      <w:pPr>
        <w:pStyle w:val="ListBullet"/>
      </w:pPr>
      <w:r>
        <w:t>Formal data ownership, retention, sharing and interoperability agreements before any real deployment.</w:t>
      </w:r>
    </w:p>
    <w:p>
      <w:pPr>
        <w:pStyle w:val="Heading1"/>
      </w:pPr>
      <w:r>
        <w:t>15. Implementation Roadmap</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Phase</w:t>
            </w:r>
          </w:p>
        </w:tc>
        <w:tc>
          <w:tcPr>
            <w:tcW w:type="dxa" w:w="4968"/>
            <w:vAlign w:val="center"/>
            <w:shd w:fill="D9EAF7"/>
          </w:tcPr>
          <w:p>
            <w:r/>
            <w:r>
              <w:rPr>
                <w:b/>
                <w:sz w:val="18"/>
              </w:rPr>
              <w:t>Activities</w:t>
            </w:r>
          </w:p>
        </w:tc>
      </w:tr>
      <w:tr>
        <w:tc>
          <w:tcPr>
            <w:tcW w:type="dxa" w:w="4968"/>
            <w:vAlign w:val="center"/>
          </w:tcPr>
          <w:p>
            <w:r/>
            <w:r>
              <w:rPr>
                <w:b w:val="0"/>
                <w:sz w:val="18"/>
              </w:rPr>
              <w:t>Phase 1 – Stakeholder validation</w:t>
            </w:r>
          </w:p>
        </w:tc>
        <w:tc>
          <w:tcPr>
            <w:tcW w:type="dxa" w:w="4968"/>
            <w:vAlign w:val="center"/>
          </w:tcPr>
          <w:p>
            <w:r/>
            <w:r>
              <w:rPr>
                <w:b w:val="0"/>
                <w:sz w:val="18"/>
              </w:rPr>
              <w:t>RMS technical/operational feedback; confirm workflows, data requirements and scope.</w:t>
            </w:r>
          </w:p>
        </w:tc>
      </w:tr>
      <w:tr>
        <w:tc>
          <w:tcPr>
            <w:tcW w:type="dxa" w:w="4968"/>
            <w:vAlign w:val="center"/>
          </w:tcPr>
          <w:p>
            <w:r/>
            <w:r>
              <w:rPr>
                <w:b w:val="0"/>
                <w:sz w:val="18"/>
              </w:rPr>
              <w:t>Phase 2 – Prototype</w:t>
            </w:r>
          </w:p>
        </w:tc>
        <w:tc>
          <w:tcPr>
            <w:tcW w:type="dxa" w:w="4968"/>
            <w:vAlign w:val="center"/>
          </w:tcPr>
          <w:p>
            <w:r/>
            <w:r>
              <w:rPr>
                <w:b w:val="0"/>
                <w:sz w:val="18"/>
              </w:rPr>
              <w:t>Build UX, database, core APIs, order and inventory modules.</w:t>
            </w:r>
          </w:p>
        </w:tc>
      </w:tr>
      <w:tr>
        <w:tc>
          <w:tcPr>
            <w:tcW w:type="dxa" w:w="4968"/>
            <w:vAlign w:val="center"/>
          </w:tcPr>
          <w:p>
            <w:r/>
            <w:r>
              <w:rPr>
                <w:b w:val="0"/>
                <w:sz w:val="18"/>
              </w:rPr>
              <w:t>Phase 3 – Intelligence</w:t>
            </w:r>
          </w:p>
        </w:tc>
        <w:tc>
          <w:tcPr>
            <w:tcW w:type="dxa" w:w="4968"/>
            <w:vAlign w:val="center"/>
          </w:tcPr>
          <w:p>
            <w:r/>
            <w:r>
              <w:rPr>
                <w:b w:val="0"/>
                <w:sz w:val="18"/>
              </w:rPr>
              <w:t>Add forecasting, alerts, anomaly detection and analytics.</w:t>
            </w:r>
          </w:p>
        </w:tc>
      </w:tr>
      <w:tr>
        <w:tc>
          <w:tcPr>
            <w:tcW w:type="dxa" w:w="4968"/>
            <w:vAlign w:val="center"/>
          </w:tcPr>
          <w:p>
            <w:r/>
            <w:r>
              <w:rPr>
                <w:b w:val="0"/>
                <w:sz w:val="18"/>
              </w:rPr>
              <w:t>Phase 4 – Traceability &amp; delivery</w:t>
            </w:r>
          </w:p>
        </w:tc>
        <w:tc>
          <w:tcPr>
            <w:tcW w:type="dxa" w:w="4968"/>
            <w:vAlign w:val="center"/>
          </w:tcPr>
          <w:p>
            <w:r/>
            <w:r>
              <w:rPr>
                <w:b w:val="0"/>
                <w:sz w:val="18"/>
              </w:rPr>
              <w:t>Add QR/barcode workflows and approved delivery/GIS integration.</w:t>
            </w:r>
          </w:p>
        </w:tc>
      </w:tr>
      <w:tr>
        <w:tc>
          <w:tcPr>
            <w:tcW w:type="dxa" w:w="4968"/>
            <w:vAlign w:val="center"/>
          </w:tcPr>
          <w:p>
            <w:r/>
            <w:r>
              <w:rPr>
                <w:b w:val="0"/>
                <w:sz w:val="18"/>
              </w:rPr>
              <w:t>Phase 5 – Controlled pilot</w:t>
            </w:r>
          </w:p>
        </w:tc>
        <w:tc>
          <w:tcPr>
            <w:tcW w:type="dxa" w:w="4968"/>
            <w:vAlign w:val="center"/>
          </w:tcPr>
          <w:p>
            <w:r/>
            <w:r>
              <w:rPr>
                <w:b w:val="0"/>
                <w:sz w:val="18"/>
              </w:rPr>
              <w:t>Test with selected facilities and agreed operational scenarios.</w:t>
            </w:r>
          </w:p>
        </w:tc>
      </w:tr>
      <w:tr>
        <w:tc>
          <w:tcPr>
            <w:tcW w:type="dxa" w:w="4968"/>
            <w:vAlign w:val="center"/>
          </w:tcPr>
          <w:p>
            <w:r/>
            <w:r>
              <w:rPr>
                <w:b w:val="0"/>
                <w:sz w:val="18"/>
              </w:rPr>
              <w:t>Phase 6 – Evaluation</w:t>
            </w:r>
          </w:p>
        </w:tc>
        <w:tc>
          <w:tcPr>
            <w:tcW w:type="dxa" w:w="4968"/>
            <w:vAlign w:val="center"/>
          </w:tcPr>
          <w:p>
            <w:r/>
            <w:r>
              <w:rPr>
                <w:b w:val="0"/>
                <w:sz w:val="18"/>
              </w:rPr>
              <w:t>Measure KPIs, security, usability, data quality and operational impact.</w:t>
            </w:r>
          </w:p>
        </w:tc>
      </w:tr>
      <w:tr>
        <w:tc>
          <w:tcPr>
            <w:tcW w:type="dxa" w:w="4968"/>
            <w:vAlign w:val="center"/>
          </w:tcPr>
          <w:p>
            <w:r/>
            <w:r>
              <w:rPr>
                <w:b w:val="0"/>
                <w:sz w:val="18"/>
              </w:rPr>
              <w:t>Phase 7 – Scale decision</w:t>
            </w:r>
          </w:p>
        </w:tc>
        <w:tc>
          <w:tcPr>
            <w:tcW w:type="dxa" w:w="4968"/>
            <w:vAlign w:val="center"/>
          </w:tcPr>
          <w:p>
            <w:r/>
            <w:r>
              <w:rPr>
                <w:b w:val="0"/>
                <w:sz w:val="18"/>
              </w:rPr>
              <w:t>Revise architecture and determine whether/how broader integration is appropriate.</w:t>
            </w:r>
          </w:p>
        </w:tc>
      </w:tr>
    </w:tbl>
    <w:p>
      <w:pPr>
        <w:pStyle w:val="Heading1"/>
      </w:pPr>
      <w:r>
        <w:t>16. Proposed Pilot</w:t>
      </w:r>
    </w:p>
    <w:p>
      <w:r>
        <w:t>We propose that RMS first review the concept and identify a small, controlled use case rather than attempting full national deployment. A pilot could focus on one or more workflows such as facility ordering, stock/expiry visibility, delivery status or demand forecasting. Pilot selection, data access, facilities and evaluation criteria should be agreed with RMS and relevant authorities.</w:t>
      </w:r>
    </w:p>
    <w:p>
      <w:pPr>
        <w:pStyle w:val="Heading1"/>
      </w:pPr>
      <w:r>
        <w:t>17. Key Performance Indicators</w:t>
      </w:r>
    </w:p>
    <w:p>
      <w:pPr>
        <w:pStyle w:val="ListBullet"/>
      </w:pPr>
      <w:r>
        <w:t>Order processing and fulfillment lead time</w:t>
      </w:r>
    </w:p>
    <w:p>
      <w:pPr>
        <w:pStyle w:val="ListBullet"/>
      </w:pPr>
      <w:r>
        <w:t>On-time delivery rate</w:t>
      </w:r>
    </w:p>
    <w:p>
      <w:pPr>
        <w:pStyle w:val="ListBullet"/>
      </w:pPr>
      <w:r>
        <w:t>Stock-out incidence</w:t>
      </w:r>
    </w:p>
    <w:p>
      <w:pPr>
        <w:pStyle w:val="ListBullet"/>
      </w:pPr>
      <w:r>
        <w:t>Expiry-risk cases identified before expiry</w:t>
      </w:r>
    </w:p>
    <w:p>
      <w:pPr>
        <w:pStyle w:val="ListBullet"/>
      </w:pPr>
      <w:r>
        <w:t>Inventory record accuracy</w:t>
      </w:r>
    </w:p>
    <w:p>
      <w:pPr>
        <w:pStyle w:val="ListBullet"/>
      </w:pPr>
      <w:r>
        <w:t>Order-to-receipt visibility rate</w:t>
      </w:r>
    </w:p>
    <w:p>
      <w:pPr>
        <w:pStyle w:val="ListBullet"/>
      </w:pPr>
      <w:r>
        <w:t>Forecast accuracy (using an agreed metric)</w:t>
      </w:r>
    </w:p>
    <w:p>
      <w:pPr>
        <w:pStyle w:val="ListBullet"/>
      </w:pPr>
      <w:r>
        <w:t>Percentage of traceable stock movements</w:t>
      </w:r>
    </w:p>
    <w:p>
      <w:pPr>
        <w:pStyle w:val="ListBullet"/>
      </w:pPr>
      <w:r>
        <w:t>Alert response time</w:t>
      </w:r>
    </w:p>
    <w:p>
      <w:pPr>
        <w:pStyle w:val="ListBullet"/>
      </w:pPr>
      <w:r>
        <w:t>User adoption and system availability</w:t>
      </w:r>
    </w:p>
    <w:p>
      <w:pPr>
        <w:pStyle w:val="Heading1"/>
      </w:pPr>
      <w:r>
        <w:t>18. Risks and Mitigation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Risk</w:t>
            </w:r>
          </w:p>
        </w:tc>
        <w:tc>
          <w:tcPr>
            <w:tcW w:type="dxa" w:w="3312"/>
            <w:vAlign w:val="center"/>
            <w:shd w:fill="D9EAF7"/>
          </w:tcPr>
          <w:p>
            <w:r/>
            <w:r>
              <w:rPr>
                <w:b/>
                <w:sz w:val="18"/>
              </w:rPr>
              <w:t>Potential effect</w:t>
            </w:r>
          </w:p>
        </w:tc>
        <w:tc>
          <w:tcPr>
            <w:tcW w:type="dxa" w:w="3312"/>
            <w:vAlign w:val="center"/>
            <w:shd w:fill="D9EAF7"/>
          </w:tcPr>
          <w:p>
            <w:r/>
            <w:r>
              <w:rPr>
                <w:b/>
                <w:sz w:val="18"/>
              </w:rPr>
              <w:t>Mitigation</w:t>
            </w:r>
          </w:p>
        </w:tc>
      </w:tr>
      <w:tr>
        <w:tc>
          <w:tcPr>
            <w:tcW w:type="dxa" w:w="3312"/>
            <w:vAlign w:val="center"/>
          </w:tcPr>
          <w:p>
            <w:r/>
            <w:r>
              <w:rPr>
                <w:b w:val="0"/>
                <w:sz w:val="18"/>
              </w:rPr>
              <w:t>Data quality</w:t>
            </w:r>
          </w:p>
        </w:tc>
        <w:tc>
          <w:tcPr>
            <w:tcW w:type="dxa" w:w="3312"/>
            <w:vAlign w:val="center"/>
          </w:tcPr>
          <w:p>
            <w:r/>
            <w:r>
              <w:rPr>
                <w:b w:val="0"/>
                <w:sz w:val="18"/>
              </w:rPr>
              <w:t>Poor forecasts or incorrect dashboards</w:t>
            </w:r>
          </w:p>
        </w:tc>
        <w:tc>
          <w:tcPr>
            <w:tcW w:type="dxa" w:w="3312"/>
            <w:vAlign w:val="center"/>
          </w:tcPr>
          <w:p>
            <w:r/>
            <w:r>
              <w:rPr>
                <w:b w:val="0"/>
                <w:sz w:val="18"/>
              </w:rPr>
              <w:t>Validation rules, reconciliation and data-quality monitoring.</w:t>
            </w:r>
          </w:p>
        </w:tc>
      </w:tr>
      <w:tr>
        <w:tc>
          <w:tcPr>
            <w:tcW w:type="dxa" w:w="3312"/>
            <w:vAlign w:val="center"/>
          </w:tcPr>
          <w:p>
            <w:r/>
            <w:r>
              <w:rPr>
                <w:b w:val="0"/>
                <w:sz w:val="18"/>
              </w:rPr>
              <w:t>Interoperability</w:t>
            </w:r>
          </w:p>
        </w:tc>
        <w:tc>
          <w:tcPr>
            <w:tcW w:type="dxa" w:w="3312"/>
            <w:vAlign w:val="center"/>
          </w:tcPr>
          <w:p>
            <w:r/>
            <w:r>
              <w:rPr>
                <w:b w:val="0"/>
                <w:sz w:val="18"/>
              </w:rPr>
              <w:t>Integration delays</w:t>
            </w:r>
          </w:p>
        </w:tc>
        <w:tc>
          <w:tcPr>
            <w:tcW w:type="dxa" w:w="3312"/>
            <w:vAlign w:val="center"/>
          </w:tcPr>
          <w:p>
            <w:r/>
            <w:r>
              <w:rPr>
                <w:b w:val="0"/>
                <w:sz w:val="18"/>
              </w:rPr>
              <w:t>Agree data standards, APIs and ownership before integration.</w:t>
            </w:r>
          </w:p>
        </w:tc>
      </w:tr>
      <w:tr>
        <w:tc>
          <w:tcPr>
            <w:tcW w:type="dxa" w:w="3312"/>
            <w:vAlign w:val="center"/>
          </w:tcPr>
          <w:p>
            <w:r/>
            <w:r>
              <w:rPr>
                <w:b w:val="0"/>
                <w:sz w:val="18"/>
              </w:rPr>
              <w:t>Cybersecurity</w:t>
            </w:r>
          </w:p>
        </w:tc>
        <w:tc>
          <w:tcPr>
            <w:tcW w:type="dxa" w:w="3312"/>
            <w:vAlign w:val="center"/>
          </w:tcPr>
          <w:p>
            <w:r/>
            <w:r>
              <w:rPr>
                <w:b w:val="0"/>
                <w:sz w:val="18"/>
              </w:rPr>
              <w:t>Unauthorized access or data exposure</w:t>
            </w:r>
          </w:p>
        </w:tc>
        <w:tc>
          <w:tcPr>
            <w:tcW w:type="dxa" w:w="3312"/>
            <w:vAlign w:val="center"/>
          </w:tcPr>
          <w:p>
            <w:r/>
            <w:r>
              <w:rPr>
                <w:b w:val="0"/>
                <w:sz w:val="18"/>
              </w:rPr>
              <w:t>Security-by-design, least privilege, encryption, logs and testing.</w:t>
            </w:r>
          </w:p>
        </w:tc>
      </w:tr>
      <w:tr>
        <w:tc>
          <w:tcPr>
            <w:tcW w:type="dxa" w:w="3312"/>
            <w:vAlign w:val="center"/>
          </w:tcPr>
          <w:p>
            <w:r/>
            <w:r>
              <w:rPr>
                <w:b w:val="0"/>
                <w:sz w:val="18"/>
              </w:rPr>
              <w:t>AI uncertainty</w:t>
            </w:r>
          </w:p>
        </w:tc>
        <w:tc>
          <w:tcPr>
            <w:tcW w:type="dxa" w:w="3312"/>
            <w:vAlign w:val="center"/>
          </w:tcPr>
          <w:p>
            <w:r/>
            <w:r>
              <w:rPr>
                <w:b w:val="0"/>
                <w:sz w:val="18"/>
              </w:rPr>
              <w:t>Incorrect recommendations</w:t>
            </w:r>
          </w:p>
        </w:tc>
        <w:tc>
          <w:tcPr>
            <w:tcW w:type="dxa" w:w="3312"/>
            <w:vAlign w:val="center"/>
          </w:tcPr>
          <w:p>
            <w:r/>
            <w:r>
              <w:rPr>
                <w:b w:val="0"/>
                <w:sz w:val="18"/>
              </w:rPr>
              <w:t>Human review, confidence indicators and continuous model evaluation.</w:t>
            </w:r>
          </w:p>
        </w:tc>
      </w:tr>
      <w:tr>
        <w:tc>
          <w:tcPr>
            <w:tcW w:type="dxa" w:w="3312"/>
            <w:vAlign w:val="center"/>
          </w:tcPr>
          <w:p>
            <w:r/>
            <w:r>
              <w:rPr>
                <w:b w:val="0"/>
                <w:sz w:val="18"/>
              </w:rPr>
              <w:t>Change management</w:t>
            </w:r>
          </w:p>
        </w:tc>
        <w:tc>
          <w:tcPr>
            <w:tcW w:type="dxa" w:w="3312"/>
            <w:vAlign w:val="center"/>
          </w:tcPr>
          <w:p>
            <w:r/>
            <w:r>
              <w:rPr>
                <w:b w:val="0"/>
                <w:sz w:val="18"/>
              </w:rPr>
              <w:t>Low adoption</w:t>
            </w:r>
          </w:p>
        </w:tc>
        <w:tc>
          <w:tcPr>
            <w:tcW w:type="dxa" w:w="3312"/>
            <w:vAlign w:val="center"/>
          </w:tcPr>
          <w:p>
            <w:r/>
            <w:r>
              <w:rPr>
                <w:b w:val="0"/>
                <w:sz w:val="18"/>
              </w:rPr>
              <w:t>User training, simple workflows and stakeholder co-design.</w:t>
            </w:r>
          </w:p>
        </w:tc>
      </w:tr>
      <w:tr>
        <w:tc>
          <w:tcPr>
            <w:tcW w:type="dxa" w:w="3312"/>
            <w:vAlign w:val="center"/>
          </w:tcPr>
          <w:p>
            <w:r/>
            <w:r>
              <w:rPr>
                <w:b w:val="0"/>
                <w:sz w:val="18"/>
              </w:rPr>
              <w:t>Operational dependency</w:t>
            </w:r>
          </w:p>
        </w:tc>
        <w:tc>
          <w:tcPr>
            <w:tcW w:type="dxa" w:w="3312"/>
            <w:vAlign w:val="center"/>
          </w:tcPr>
          <w:p>
            <w:r/>
            <w:r>
              <w:rPr>
                <w:b w:val="0"/>
                <w:sz w:val="18"/>
              </w:rPr>
              <w:t>GPS/third-party service failure</w:t>
            </w:r>
          </w:p>
        </w:tc>
        <w:tc>
          <w:tcPr>
            <w:tcW w:type="dxa" w:w="3312"/>
            <w:vAlign w:val="center"/>
          </w:tcPr>
          <w:p>
            <w:r/>
            <w:r>
              <w:rPr>
                <w:b w:val="0"/>
                <w:sz w:val="18"/>
              </w:rPr>
              <w:t>Graceful degradation and manual fallback workflows.</w:t>
            </w:r>
          </w:p>
        </w:tc>
      </w:tr>
    </w:tbl>
    <w:p>
      <w:pPr>
        <w:pStyle w:val="Heading1"/>
      </w:pPr>
      <w:r>
        <w:t>19. Sustainability and Scalability</w:t>
      </w:r>
    </w:p>
    <w:p>
      <w:r>
        <w:t>The system should be built using modular services and documented APIs so that features can be added without redesigning the entire platform. The architecture should support multiple facilities, role-based access, auditability and controlled integration. Sustainability should include technical documentation, training, maintenance ownership, monitoring and a clear governance model.</w:t>
      </w:r>
    </w:p>
    <w:p>
      <w:pPr>
        <w:pStyle w:val="Heading1"/>
      </w:pPr>
      <w:r>
        <w:t>20. Request to RMS</w:t>
      </w:r>
    </w:p>
    <w:p>
      <w:r>
        <w:t>We respectfully request an opportunity for a technical and operational discussion with relevant RMS leadership and technical teams. The purpose would be to validate the problem assumptions, understand current workflows, identify existing systems and data standards, receive expert feedback, and determine whether a small proof of concept or pilot would be appropriate.</w:t>
      </w:r>
    </w:p>
    <w:p>
      <w:r>
        <w:t>We are not requesting direct access to confidential systems or operational data at this stage. Any future technical access or data exchange would follow RMS and government authorization, security, privacy and governance requirements.</w:t>
      </w:r>
    </w:p>
    <w:p>
      <w:pPr>
        <w:pStyle w:val="Heading1"/>
      </w:pPr>
      <w:r>
        <w:t>21. Conclusion</w:t>
      </w:r>
    </w:p>
    <w:p>
      <w:r>
        <w:t>The proposed AI-Powered Smart Government Medical Supply Chain Management System is presented as a practical innovation opportunity to strengthen the visibility and intelligence of Rwanda's public medical supply chain. Its core contribution is to connect operational data with predictive analytics, traceability, alerts, delivery visibility and decision support. The project team welcomes RMS guidance to align the concept with real-world processes and existing national systems.</w:t>
      </w:r>
    </w:p>
    <w:p>
      <w:pPr>
        <w:pStyle w:val="Heading1"/>
      </w:pPr>
      <w:r>
        <w:t>22. References</w:t>
      </w:r>
    </w:p>
    <w:p>
      <w:pPr>
        <w:pStyle w:val="ListBullet"/>
      </w:pPr>
      <w:r>
        <w:t>Rwanda Medical Supply Ltd. (RMS). Strategic Plan 2024–2026, official publication.</w:t>
      </w:r>
    </w:p>
    <w:p>
      <w:pPr>
        <w:pStyle w:val="ListBullet"/>
      </w:pPr>
      <w:r>
        <w:t>Rwanda Medical Supply Ltd. (RMS). On-the-Job Training Module, July 2024, official publication.</w:t>
      </w:r>
    </w:p>
    <w:p>
      <w:pPr>
        <w:pStyle w:val="ListBullet"/>
      </w:pPr>
      <w:r>
        <w:t>Rwanda Medical Supply Ltd. (RMS). Supply and Delivery of Medicines and Consumables tender documentation, 2023/2024.</w:t>
      </w:r>
    </w:p>
    <w:p>
      <w:pPr>
        <w:pStyle w:val="ListBullet"/>
      </w:pPr>
      <w:r>
        <w:t>Official RMS website: https://rmsltd.rw/</w:t>
      </w:r>
    </w:p>
    <w:p>
      <w:pPr>
        <w:pStyle w:val="Heading1"/>
      </w:pPr>
      <w:r>
        <w:t>Appendix A – Executive Workflow</w:t>
      </w:r>
    </w:p>
    <w:p>
      <w:r>
        <w:t>FACILITY DEMAND → AI FORECAST → ORDER → VALIDATION/APPROVAL → RMS/SUPPLY FULFILLMENT → WAREHOUSE PICK &amp; SCAN → DISPATCH → DELIVERY/GPS → FACILITY RECEIVING → INVENTORY → CONSUMPTION → AI FORECAST → REPLENISHMENT</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