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{client_name}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Hazard Management Plan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{title}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</w:tblGrid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Document number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{doc_number}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Revision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{revision}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Site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{site}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Principal hazard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{hazard_category}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Effective date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{effective_date}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Next review date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{review_date}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1. Purpose</w:t>
      </w:r>
    </w:p>
    <w:p>
      <w:r>
        <w:rPr>
          <w:rFonts w:ascii="Calibri" w:cs="Calibri" w:eastAsia="Calibri" w:hAnsi="Calibri"/>
          <w:sz w:val="22"/>
          <w:szCs w:val="22"/>
        </w:rPr>
        <w:t xml:space="preserve">{purpose}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2. Scope</w:t>
      </w:r>
    </w:p>
    <w:p>
      <w:r>
        <w:rPr>
          <w:rFonts w:ascii="Calibri" w:cs="Calibri" w:eastAsia="Calibri" w:hAnsi="Calibri"/>
          <w:sz w:val="22"/>
          <w:szCs w:val="22"/>
        </w:rPr>
        <w:t xml:space="preserve">{scope}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3. Hazard Description</w:t>
      </w:r>
    </w:p>
    <w:p>
      <w:r>
        <w:rPr>
          <w:rFonts w:ascii="Calibri" w:cs="Calibri" w:eastAsia="Calibri" w:hAnsi="Calibri"/>
          <w:sz w:val="22"/>
          <w:szCs w:val="22"/>
        </w:rPr>
        <w:t xml:space="preserve">{hazard_description}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4. Control Measures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  <w:gridCol w:w="100"/>
      </w:tblGrid>
      <w:tr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Control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Hierarchy type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Owner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{#controls}{control}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{type}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{owner}{/controls}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5. Monitoring and Inspection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  <w:gridCol w:w="100"/>
      </w:tblGrid>
      <w:tr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Activity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Frequency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Responsible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{#monitoring}{activity}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{frequency}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{responsible}{/monitoring}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6. Responsibilities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</w:tblGrid>
      <w:tr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Duties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{#responsibilities}{role}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{duties}{/responsibilities}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7. Trigger Action Response Plan (TARP)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  <w:gridCol w:w="100"/>
      </w:tblGrid>
      <w:tr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Trigger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Level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Response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{#trigger_action_responses}{trigger}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{level}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{response}{/trigger_action_responses}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8. References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{#references}</w:t>
      </w:r>
    </w:p>
    <w:p>
      <w:r>
        <w:rPr>
          <w:rFonts w:ascii="Calibri" w:cs="Calibri" w:eastAsia="Calibri" w:hAnsi="Calibri"/>
          <w:sz w:val="22"/>
          <w:szCs w:val="22"/>
        </w:rPr>
        <w:t xml:space="preserve">• {.}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{/references}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{#has_review_warnings}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B00020"/>
          <w:sz w:val="24"/>
          <w:szCs w:val="24"/>
        </w:rPr>
        <w:t xml:space="preserve">REVIEWER CHECKLIST — items flagged during extraction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{#review_warnings}</w:t>
      </w:r>
    </w:p>
    <w:p>
      <w:pPr>
        <w:rPr>
          <w:color w:val="B00020"/>
        </w:rPr>
      </w:pPr>
      <w:r>
        <w:rPr>
          <w:rFonts w:ascii="Calibri" w:cs="Calibri" w:eastAsia="Calibri" w:hAnsi="Calibri"/>
          <w:color w:val="B00020"/>
          <w:sz w:val="22"/>
          <w:szCs w:val="22"/>
        </w:rPr>
        <w:t xml:space="preserve">• {.}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{/review_warnings}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{/has_review_warnings}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DRAFT generated {generated_at} — {doc_number} Rev {revision} — not valid until reviewed and approved by a qualified person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2026-07-18T00:28:03.100Z</dcterms:created>
  <dcterms:modified xsi:type="dcterms:W3CDTF">2026-07-18T00:28:03.100Z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