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9706"/>
      </w:tblGrid>
      <w:tr w:rsidR="00E157F1" w14:paraId="50D8DE1B" w14:textId="77777777">
        <w:tblPrEx>
          <w:tblCellMar>
            <w:top w:w="0" w:type="dxa"/>
            <w:bottom w:w="0" w:type="dxa"/>
          </w:tblCellMar>
        </w:tblPrEx>
        <w:trPr>
          <w:trHeight w:val="8400"/>
        </w:trPr>
        <w:tc>
          <w:tcPr>
            <w:tcW w:w="0" w:type="auto"/>
            <w:shd w:val="clear" w:color="001A33" w:fill="001A33"/>
            <w:tcMar>
              <w:top w:w="600" w:type="dxa"/>
              <w:left w:w="500" w:type="dxa"/>
              <w:bottom w:w="600" w:type="dxa"/>
              <w:right w:w="500" w:type="dxa"/>
            </w:tcMar>
            <w:vAlign w:val="center"/>
          </w:tcPr>
          <w:p w14:paraId="50D8DE15" w14:textId="77777777" w:rsidR="00E157F1" w:rsidRDefault="00462155">
            <w:pPr>
              <w:spacing w:after="500"/>
            </w:pPr>
            <w:r>
              <w:rPr>
                <w:noProof/>
              </w:rPr>
              <w:drawing>
                <wp:inline distT="0" distB="0" distL="0" distR="0" wp14:anchorId="50D8DE6A" wp14:editId="50D8DE6B">
                  <wp:extent cx="5524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85800"/>
                          </a:xfrm>
                          <a:prstGeom prst="rect">
                            <a:avLst/>
                          </a:prstGeom>
                        </pic:spPr>
                      </pic:pic>
                    </a:graphicData>
                  </a:graphic>
                </wp:inline>
              </w:drawing>
            </w:r>
          </w:p>
          <w:p w14:paraId="50D8DE16" w14:textId="77777777" w:rsidR="00E157F1" w:rsidRDefault="00462155">
            <w:pPr>
              <w:spacing w:after="120"/>
            </w:pPr>
            <w:r>
              <w:rPr>
                <w:b/>
                <w:bCs/>
                <w:color w:val="00C2AB"/>
                <w:spacing w:val="50"/>
                <w:sz w:val="20"/>
                <w:szCs w:val="20"/>
              </w:rPr>
              <w:t>FREQUENTLY ASKED QUESTIONS · FY27 · ASX: SGH</w:t>
            </w:r>
          </w:p>
          <w:p w14:paraId="50D8DE17" w14:textId="77777777" w:rsidR="00E157F1" w:rsidRDefault="00462155">
            <w:pPr>
              <w:spacing w:after="60"/>
            </w:pPr>
            <w:r>
              <w:rPr>
                <w:b/>
                <w:bCs/>
                <w:color w:val="FFFFFF"/>
                <w:sz w:val="64"/>
                <w:szCs w:val="64"/>
              </w:rPr>
              <w:t>Your questions,</w:t>
            </w:r>
          </w:p>
          <w:p w14:paraId="50D8DE18" w14:textId="77777777" w:rsidR="00E157F1" w:rsidRDefault="00462155">
            <w:pPr>
              <w:spacing w:after="200"/>
            </w:pPr>
            <w:r>
              <w:rPr>
                <w:b/>
                <w:bCs/>
                <w:color w:val="00C2AB"/>
                <w:sz w:val="64"/>
                <w:szCs w:val="64"/>
              </w:rPr>
              <w:t>answered.</w:t>
            </w:r>
          </w:p>
          <w:p w14:paraId="50D8DE19" w14:textId="77777777" w:rsidR="00E157F1" w:rsidRDefault="00462155">
            <w:pPr>
              <w:spacing w:after="600"/>
            </w:pPr>
            <w:r>
              <w:rPr>
                <w:color w:val="D9E0E6"/>
                <w:sz w:val="24"/>
                <w:szCs w:val="24"/>
              </w:rPr>
              <w:t>Plain-English answers about the FY27 SGH Employee Share Purchase Plan — the two Plans, how to take part, and what happens to your shares.</w:t>
            </w:r>
          </w:p>
          <w:p w14:paraId="50D8DE1A" w14:textId="77777777" w:rsidR="00E157F1" w:rsidRDefault="00462155">
            <w:r>
              <w:rPr>
                <w:color w:val="8FA0AD"/>
                <w:sz w:val="17"/>
                <w:szCs w:val="17"/>
              </w:rPr>
              <w:t>SGH Limited · ACN 142 003 469      Applications: ~1–15 September 2026</w:t>
            </w:r>
          </w:p>
        </w:tc>
      </w:tr>
    </w:tbl>
    <w:p w14:paraId="50D8DE1C" w14:textId="77777777" w:rsidR="00E157F1" w:rsidRDefault="00462155">
      <w:r>
        <w:br w:type="page"/>
      </w:r>
    </w:p>
    <w:p w14:paraId="50D8DE1D" w14:textId="77777777" w:rsidR="00E157F1" w:rsidRDefault="00462155">
      <w:pPr>
        <w:spacing w:after="60"/>
      </w:pPr>
      <w:r>
        <w:rPr>
          <w:b/>
          <w:bCs/>
          <w:color w:val="00897A"/>
          <w:spacing w:val="40"/>
          <w:sz w:val="18"/>
          <w:szCs w:val="18"/>
        </w:rPr>
        <w:lastRenderedPageBreak/>
        <w:t>FY27 SGH EMPLOYEE SHARE PURCHASE PLAN</w:t>
      </w:r>
    </w:p>
    <w:p w14:paraId="50D8DE1E" w14:textId="77777777" w:rsidR="00E157F1" w:rsidRDefault="00462155">
      <w:pPr>
        <w:spacing w:before="120" w:after="200"/>
      </w:pPr>
      <w:r>
        <w:rPr>
          <w:b/>
          <w:bCs/>
          <w:color w:val="001A33"/>
          <w:sz w:val="40"/>
          <w:szCs w:val="40"/>
        </w:rPr>
        <w:t>Frequently asked questions</w:t>
      </w:r>
    </w:p>
    <w:p w14:paraId="50D8DE1F" w14:textId="77777777" w:rsidR="00E157F1" w:rsidRDefault="00462155">
      <w:pPr>
        <w:spacing w:after="120"/>
      </w:pPr>
      <w:r>
        <w:rPr>
          <w:i/>
          <w:iCs/>
          <w:color w:val="5B6B78"/>
          <w:sz w:val="16"/>
          <w:szCs w:val="16"/>
        </w:rPr>
        <w:t>These FAQs provide general information only and are not intended to cover every issue that may be relevant to you. Any advice is general advice only — please seek advice from your accountant, solicitor or licensed adviser about your particular circumstances. For full detail, refer to the Offer Document.</w:t>
      </w:r>
    </w:p>
    <w:p w14:paraId="50D8DE20" w14:textId="77777777" w:rsidR="00E157F1" w:rsidRDefault="00E157F1">
      <w:pPr>
        <w:spacing w:after="60"/>
      </w:pPr>
    </w:p>
    <w:p w14:paraId="50D8DE21" w14:textId="77777777" w:rsidR="00E157F1" w:rsidRDefault="00462155">
      <w:pPr>
        <w:pBdr>
          <w:bottom w:val="single" w:sz="8" w:space="0" w:color="D8CCBF"/>
        </w:pBdr>
        <w:spacing w:before="300" w:after="90"/>
      </w:pPr>
      <w:r>
        <w:rPr>
          <w:b/>
          <w:bCs/>
          <w:color w:val="00897A"/>
          <w:sz w:val="26"/>
          <w:szCs w:val="26"/>
        </w:rPr>
        <w:t xml:space="preserve">Q1.  </w:t>
      </w:r>
      <w:r>
        <w:rPr>
          <w:b/>
          <w:bCs/>
          <w:color w:val="001A33"/>
          <w:sz w:val="26"/>
          <w:szCs w:val="26"/>
        </w:rPr>
        <w:t>What is the difference between the two Plans?</w:t>
      </w:r>
    </w:p>
    <w:p w14:paraId="50D8DE22" w14:textId="77777777" w:rsidR="00E157F1" w:rsidRDefault="00462155">
      <w:pPr>
        <w:spacing w:after="140" w:line="276" w:lineRule="auto"/>
      </w:pPr>
      <w:r>
        <w:t>The main differences between the two Plans are the number of shares you can acquire, and how your shares are treated for tax purposes.</w:t>
      </w:r>
    </w:p>
    <w:p w14:paraId="50D8DE23" w14:textId="77777777" w:rsidR="00E157F1" w:rsidRDefault="00462155">
      <w:pPr>
        <w:spacing w:before="180" w:after="70"/>
      </w:pPr>
      <w:r>
        <w:rPr>
          <w:b/>
          <w:bCs/>
          <w:color w:val="001A33"/>
          <w:sz w:val="22"/>
          <w:szCs w:val="22"/>
        </w:rPr>
        <w:t>Plan 1 — Tax-Exempt Plan</w:t>
      </w:r>
    </w:p>
    <w:p w14:paraId="50D8DE24" w14:textId="77777777" w:rsidR="00E157F1" w:rsidRDefault="00462155">
      <w:pPr>
        <w:spacing w:after="140" w:line="276" w:lineRule="auto"/>
      </w:pPr>
      <w:r>
        <w:t>The Tax-Exempt Plan allows you to salary sacrifice $1,000 from your pre-tax cash salary and wages to acquire shares in SGH Limited (ASX: SGH). SGH will allocate the whole number of fully paid ordinary shares (rounded down) that $1,000 can acquire, in three instalments — November 2026, February 2027 and May 2027.</w:t>
      </w:r>
    </w:p>
    <w:p w14:paraId="50D8DE25" w14:textId="77777777" w:rsidR="00E157F1" w:rsidRDefault="00462155">
      <w:pPr>
        <w:spacing w:after="140" w:line="276" w:lineRule="auto"/>
      </w:pPr>
      <w:r>
        <w:t>You will be notified when shares are allocated and cannot sell or otherwise deal with them for three (3) years from allocation (unless you cease employment earlier). SGH may change allocation dates to comply with the law, the SGH Share Trading Policy or any closed period. The shares can be income tax-free, provided your taxable income (after adjustments) for the year to 30 June 2027 does not exceed $180,000.</w:t>
      </w:r>
    </w:p>
    <w:p w14:paraId="50D8DE26" w14:textId="77777777" w:rsidR="00E157F1" w:rsidRDefault="00462155">
      <w:pPr>
        <w:spacing w:before="180" w:after="70"/>
      </w:pPr>
      <w:r>
        <w:rPr>
          <w:b/>
          <w:bCs/>
          <w:color w:val="001A33"/>
          <w:sz w:val="22"/>
          <w:szCs w:val="22"/>
        </w:rPr>
        <w:t>Plan 2 — Tax-Deferred Plan</w:t>
      </w:r>
    </w:p>
    <w:p w14:paraId="50D8DE27" w14:textId="77777777" w:rsidR="00E157F1" w:rsidRDefault="00462155">
      <w:pPr>
        <w:spacing w:after="140" w:line="276" w:lineRule="auto"/>
      </w:pPr>
      <w:r>
        <w:t>The Tax-Deferred Plan allows you to salary sacrifice up to $5,000 from pre-tax salary and wages, with any tax payable generally deferred for two (2) years. The minimum purchase is $2,500 (Tax-Deferred only), or $3,500 if combined with the Tax-Exempt Plan (TE $1,000 + TD $2,500). You can purchase up to $6,000 in $500 increments across both Plans, with any additional contribution used under the Tax-Deferred Plan.</w:t>
      </w:r>
    </w:p>
    <w:p w14:paraId="50D8DE28" w14:textId="77777777" w:rsidR="00E157F1" w:rsidRDefault="00462155">
      <w:pPr>
        <w:spacing w:after="140" w:line="276" w:lineRule="auto"/>
      </w:pPr>
      <w:r>
        <w:t>SGH will allocate the whole number of shares (rounded down) acquired with your sacrificed salary across the Contribution Period, in three instalments — November 2026, February 2027 and May 2027. Any funds remaining after shares are acquired carry forward to the next allocation, or are returned via payroll after the final allocation.</w:t>
      </w:r>
    </w:p>
    <w:p w14:paraId="50D8DE29" w14:textId="77777777" w:rsidR="00E157F1" w:rsidRDefault="00462155">
      <w:pPr>
        <w:pBdr>
          <w:bottom w:val="single" w:sz="8" w:space="0" w:color="D8CCBF"/>
        </w:pBdr>
        <w:spacing w:before="300" w:after="90"/>
      </w:pPr>
      <w:r>
        <w:rPr>
          <w:b/>
          <w:bCs/>
          <w:color w:val="00897A"/>
          <w:sz w:val="26"/>
          <w:szCs w:val="26"/>
        </w:rPr>
        <w:t xml:space="preserve">Q2.  </w:t>
      </w:r>
      <w:r>
        <w:rPr>
          <w:b/>
          <w:bCs/>
          <w:color w:val="001A33"/>
          <w:sz w:val="26"/>
          <w:szCs w:val="26"/>
        </w:rPr>
        <w:t>Can I participate in both Plans?</w:t>
      </w:r>
    </w:p>
    <w:p w14:paraId="50D8DE2A" w14:textId="77777777" w:rsidR="00E157F1" w:rsidRDefault="00462155">
      <w:pPr>
        <w:spacing w:after="140" w:line="276" w:lineRule="auto"/>
      </w:pPr>
      <w:r>
        <w:t>Yes. You may participate in both Plans as long as you meet the minimum share purchase requirements for the Tax-Deferred Plan. Note the adjusted taxable income cap of $180,000 that applies to the Tax-Exempt Plan (further details in Part C of the Offer Document).</w:t>
      </w:r>
    </w:p>
    <w:p w14:paraId="50D8DE2B" w14:textId="77777777" w:rsidR="00E157F1" w:rsidRDefault="00462155">
      <w:pPr>
        <w:pBdr>
          <w:bottom w:val="single" w:sz="8" w:space="0" w:color="D8CCBF"/>
        </w:pBdr>
        <w:spacing w:before="300" w:after="90"/>
      </w:pPr>
      <w:r>
        <w:rPr>
          <w:b/>
          <w:bCs/>
          <w:color w:val="00897A"/>
          <w:sz w:val="26"/>
          <w:szCs w:val="26"/>
        </w:rPr>
        <w:t xml:space="preserve">Q3.  </w:t>
      </w:r>
      <w:r>
        <w:rPr>
          <w:b/>
          <w:bCs/>
          <w:color w:val="001A33"/>
          <w:sz w:val="26"/>
          <w:szCs w:val="26"/>
        </w:rPr>
        <w:t>How much do I pay for the shares?</w:t>
      </w:r>
    </w:p>
    <w:p w14:paraId="50D8DE2C" w14:textId="77777777" w:rsidR="00E157F1" w:rsidRDefault="00462155">
      <w:pPr>
        <w:spacing w:after="140" w:line="276" w:lineRule="auto"/>
      </w:pPr>
      <w:r>
        <w:t>Under both Plans you elect to “sacrifice” an amount of pre-tax salary or wages. Equal instalments are deducted each pay period during the Contribution Period, depending on the amount you elected and your pay frequency.</w:t>
      </w:r>
    </w:p>
    <w:p w14:paraId="50D8DE2D" w14:textId="77777777" w:rsidR="00E157F1" w:rsidRDefault="00462155">
      <w:pPr>
        <w:spacing w:after="140" w:line="276" w:lineRule="auto"/>
      </w:pPr>
      <w:r>
        <w:t>For example, investing $1,000 via the Tax-Exempt Plan is $125 from each monthly gross pay ($1,000 ÷ 8), or $62.50 per fortnight ($1,000 ÷ 16). As this is pre-tax, the effect on your after-tax pay is less. SGH allocates a whole number of shares of equivalent value (rounded down), acquired on-market in three instalments in November 2026, February 2027 and May 2027. SGH may change allocation dates, and may issue new shares rather than buy on-market.</w:t>
      </w:r>
    </w:p>
    <w:p w14:paraId="636319FD" w14:textId="77777777" w:rsidR="001B42A9" w:rsidRDefault="001B42A9">
      <w:pPr>
        <w:spacing w:after="140" w:line="276" w:lineRule="auto"/>
      </w:pPr>
    </w:p>
    <w:p w14:paraId="50D8DE2E" w14:textId="77777777" w:rsidR="00E157F1" w:rsidRDefault="00462155">
      <w:pPr>
        <w:pBdr>
          <w:bottom w:val="single" w:sz="8" w:space="0" w:color="D8CCBF"/>
        </w:pBdr>
        <w:spacing w:before="300" w:after="90"/>
      </w:pPr>
      <w:r>
        <w:rPr>
          <w:b/>
          <w:bCs/>
          <w:color w:val="00897A"/>
          <w:sz w:val="26"/>
          <w:szCs w:val="26"/>
        </w:rPr>
        <w:lastRenderedPageBreak/>
        <w:t xml:space="preserve">Q4.  </w:t>
      </w:r>
      <w:r>
        <w:rPr>
          <w:b/>
          <w:bCs/>
          <w:color w:val="001A33"/>
          <w:sz w:val="26"/>
          <w:szCs w:val="26"/>
        </w:rPr>
        <w:t>How many shares will I acquire?</w:t>
      </w:r>
    </w:p>
    <w:p w14:paraId="50D8DE2F" w14:textId="77777777" w:rsidR="00E157F1" w:rsidRDefault="00462155">
      <w:pPr>
        <w:spacing w:after="140" w:line="276" w:lineRule="auto"/>
      </w:pPr>
      <w:r>
        <w:t>Each participant is allocated SGH shares approximately equal to the amount contributed (e.g. $1,000 sacrificed via the Tax-Exempt Plan ≈ $1,000 of shares). The actual number depends on the market value of SGH shares on each allocation date, based on the average acquisition price at that time.</w:t>
      </w:r>
    </w:p>
    <w:p w14:paraId="50D8DE30" w14:textId="77777777" w:rsidR="00E157F1" w:rsidRDefault="00462155">
      <w:pPr>
        <w:spacing w:after="140" w:line="276" w:lineRule="auto"/>
      </w:pPr>
      <w:r>
        <w:t>As fractions cannot be purchased, entitlements are rounded down to the nearest whole share. Any remaining sacrificed salary not used (because it is less than the value of one share) is added to the next allocation; any amount left after the final allocation is returned to you as gross pay (less applicable tax) via your nominated payroll account.</w:t>
      </w:r>
    </w:p>
    <w:p w14:paraId="50D8DE31" w14:textId="77777777" w:rsidR="00E157F1" w:rsidRDefault="00462155">
      <w:pPr>
        <w:pBdr>
          <w:bottom w:val="single" w:sz="8" w:space="0" w:color="D8CCBF"/>
        </w:pBdr>
        <w:spacing w:before="300" w:after="90"/>
      </w:pPr>
      <w:r>
        <w:rPr>
          <w:b/>
          <w:bCs/>
          <w:color w:val="00897A"/>
          <w:sz w:val="26"/>
          <w:szCs w:val="26"/>
        </w:rPr>
        <w:t xml:space="preserve">Q5.  </w:t>
      </w:r>
      <w:r>
        <w:rPr>
          <w:b/>
          <w:bCs/>
          <w:color w:val="001A33"/>
          <w:sz w:val="26"/>
          <w:szCs w:val="26"/>
        </w:rPr>
        <w:t>When are the shares acquired?</w:t>
      </w:r>
    </w:p>
    <w:p w14:paraId="50D8DE32" w14:textId="77777777" w:rsidR="00E157F1" w:rsidRDefault="00462155">
      <w:pPr>
        <w:spacing w:after="140" w:line="276" w:lineRule="auto"/>
      </w:pPr>
      <w:r>
        <w:t>On-market in three instalments, on or about 27 November 2026, 26 February 2027 and 26 May 2027. SGH may change the allocation dates from time to time, and may issue new shares rather than acquire on-market. You will be notified of any changes.</w:t>
      </w:r>
    </w:p>
    <w:p w14:paraId="50D8DE33" w14:textId="77777777" w:rsidR="00E157F1" w:rsidRDefault="00462155">
      <w:pPr>
        <w:pBdr>
          <w:bottom w:val="single" w:sz="8" w:space="0" w:color="D8CCBF"/>
        </w:pBdr>
        <w:spacing w:before="300" w:after="90"/>
      </w:pPr>
      <w:r>
        <w:rPr>
          <w:b/>
          <w:bCs/>
          <w:color w:val="00897A"/>
          <w:sz w:val="26"/>
          <w:szCs w:val="26"/>
        </w:rPr>
        <w:t xml:space="preserve">Q6.  </w:t>
      </w:r>
      <w:r>
        <w:rPr>
          <w:b/>
          <w:bCs/>
          <w:color w:val="001A33"/>
          <w:sz w:val="26"/>
          <w:szCs w:val="26"/>
        </w:rPr>
        <w:t>What are the restrictions (holding lock)?</w:t>
      </w:r>
    </w:p>
    <w:p w14:paraId="50D8DE34" w14:textId="77777777" w:rsidR="00E157F1" w:rsidRDefault="00462155">
      <w:pPr>
        <w:spacing w:after="140" w:line="276" w:lineRule="auto"/>
      </w:pPr>
      <w:r>
        <w:t>To satisfy the relevant tax conditions and encourage share ownership, you must hold shares for a minimum Restriction Period. During this time you cannot sell, transfer or otherwise deal with them (e.g. as loan security), and a holding lock applies. You still have the benefits of a shareholder, including dividends and voting. You must comply with the SGH Executive and Staff Share Trading Policy at all times, including after the Restriction Period ends.</w:t>
      </w:r>
    </w:p>
    <w:p w14:paraId="50D8DE35" w14:textId="77777777" w:rsidR="00E157F1" w:rsidRDefault="00462155">
      <w:pPr>
        <w:spacing w:before="180" w:after="70"/>
      </w:pPr>
      <w:r>
        <w:rPr>
          <w:b/>
          <w:bCs/>
          <w:color w:val="001A33"/>
          <w:sz w:val="22"/>
          <w:szCs w:val="22"/>
        </w:rPr>
        <w:t>Tax-Exempt Plan — 3 year restriction</w:t>
      </w:r>
    </w:p>
    <w:p w14:paraId="50D8DE36" w14:textId="77777777" w:rsidR="00E157F1" w:rsidRDefault="00462155">
      <w:pPr>
        <w:spacing w:after="140" w:line="276" w:lineRule="auto"/>
      </w:pPr>
      <w:r>
        <w:t>Under current Australian tax laws, shares must be restricted for three (3) years (unless you cease employment) to be acquired income tax-free. Restrictions lift on cessation of employment. At the end of the Restriction Period you are free to deal with your shares, subject to the Share Trading Policy.</w:t>
      </w:r>
    </w:p>
    <w:tbl>
      <w:tblPr>
        <w:tblW w:w="5000" w:type="pct"/>
        <w:tblBorders>
          <w:top w:val="single" w:sz="2" w:space="0" w:color="D8CCBF"/>
          <w:bottom w:val="single" w:sz="2" w:space="0" w:color="D8CCBF"/>
          <w:insideH w:val="single" w:sz="2" w:space="0" w:color="D8CCBF"/>
        </w:tblBorders>
        <w:tblCellMar>
          <w:left w:w="10" w:type="dxa"/>
          <w:right w:w="10" w:type="dxa"/>
        </w:tblCellMar>
        <w:tblLook w:val="04A0" w:firstRow="1" w:lastRow="0" w:firstColumn="1" w:lastColumn="0" w:noHBand="0" w:noVBand="1"/>
      </w:tblPr>
      <w:tblGrid>
        <w:gridCol w:w="4900"/>
        <w:gridCol w:w="4806"/>
      </w:tblGrid>
      <w:tr w:rsidR="00E157F1" w14:paraId="50D8DE39" w14:textId="77777777">
        <w:tblPrEx>
          <w:tblCellMar>
            <w:top w:w="0" w:type="dxa"/>
            <w:bottom w:w="0" w:type="dxa"/>
          </w:tblCellMar>
        </w:tblPrEx>
        <w:trPr>
          <w:tblHeader/>
        </w:trPr>
        <w:tc>
          <w:tcPr>
            <w:tcW w:w="0" w:type="auto"/>
            <w:shd w:val="clear" w:color="001A33" w:fill="001A33"/>
            <w:tcMar>
              <w:top w:w="90" w:type="dxa"/>
              <w:left w:w="140" w:type="dxa"/>
              <w:bottom w:w="90" w:type="dxa"/>
              <w:right w:w="140" w:type="dxa"/>
            </w:tcMar>
          </w:tcPr>
          <w:p w14:paraId="50D8DE37" w14:textId="77777777" w:rsidR="00E157F1" w:rsidRDefault="00462155">
            <w:r>
              <w:rPr>
                <w:b/>
                <w:bCs/>
                <w:color w:val="FFFFFF"/>
                <w:sz w:val="18"/>
                <w:szCs w:val="18"/>
              </w:rPr>
              <w:t>Intended allocation date</w:t>
            </w:r>
          </w:p>
        </w:tc>
        <w:tc>
          <w:tcPr>
            <w:tcW w:w="0" w:type="auto"/>
            <w:shd w:val="clear" w:color="001A33" w:fill="001A33"/>
            <w:tcMar>
              <w:top w:w="90" w:type="dxa"/>
              <w:left w:w="140" w:type="dxa"/>
              <w:bottom w:w="90" w:type="dxa"/>
              <w:right w:w="140" w:type="dxa"/>
            </w:tcMar>
          </w:tcPr>
          <w:p w14:paraId="50D8DE38" w14:textId="77777777" w:rsidR="00E157F1" w:rsidRDefault="00462155">
            <w:r>
              <w:rPr>
                <w:b/>
                <w:bCs/>
                <w:color w:val="FFFFFF"/>
                <w:sz w:val="18"/>
                <w:szCs w:val="18"/>
              </w:rPr>
              <w:t>~Restriction period end</w:t>
            </w:r>
          </w:p>
        </w:tc>
      </w:tr>
      <w:tr w:rsidR="00E157F1" w14:paraId="50D8DE3C" w14:textId="77777777">
        <w:tblPrEx>
          <w:tblCellMar>
            <w:top w:w="0" w:type="dxa"/>
            <w:bottom w:w="0" w:type="dxa"/>
          </w:tblCellMar>
        </w:tblPrEx>
        <w:tc>
          <w:tcPr>
            <w:tcW w:w="0" w:type="auto"/>
            <w:tcMar>
              <w:top w:w="90" w:type="dxa"/>
              <w:left w:w="140" w:type="dxa"/>
              <w:bottom w:w="90" w:type="dxa"/>
              <w:right w:w="140" w:type="dxa"/>
            </w:tcMar>
          </w:tcPr>
          <w:p w14:paraId="50D8DE3A" w14:textId="77777777" w:rsidR="00E157F1" w:rsidRDefault="00462155">
            <w:r>
              <w:rPr>
                <w:b/>
                <w:bCs/>
                <w:color w:val="001A33"/>
                <w:sz w:val="19"/>
                <w:szCs w:val="19"/>
              </w:rPr>
              <w:t>27 November 2026</w:t>
            </w:r>
          </w:p>
        </w:tc>
        <w:tc>
          <w:tcPr>
            <w:tcW w:w="0" w:type="auto"/>
            <w:tcMar>
              <w:top w:w="90" w:type="dxa"/>
              <w:left w:w="140" w:type="dxa"/>
              <w:bottom w:w="90" w:type="dxa"/>
              <w:right w:w="140" w:type="dxa"/>
            </w:tcMar>
          </w:tcPr>
          <w:p w14:paraId="50D8DE3B" w14:textId="77777777" w:rsidR="00E157F1" w:rsidRDefault="00462155">
            <w:r>
              <w:rPr>
                <w:sz w:val="19"/>
                <w:szCs w:val="19"/>
              </w:rPr>
              <w:t>27 November 2029</w:t>
            </w:r>
          </w:p>
        </w:tc>
      </w:tr>
      <w:tr w:rsidR="00E157F1" w14:paraId="50D8DE3F" w14:textId="77777777">
        <w:tblPrEx>
          <w:tblCellMar>
            <w:top w:w="0" w:type="dxa"/>
            <w:bottom w:w="0" w:type="dxa"/>
          </w:tblCellMar>
        </w:tblPrEx>
        <w:tc>
          <w:tcPr>
            <w:tcW w:w="0" w:type="auto"/>
            <w:shd w:val="clear" w:color="F4EFE9" w:fill="F4EFE9"/>
            <w:tcMar>
              <w:top w:w="90" w:type="dxa"/>
              <w:left w:w="140" w:type="dxa"/>
              <w:bottom w:w="90" w:type="dxa"/>
              <w:right w:w="140" w:type="dxa"/>
            </w:tcMar>
          </w:tcPr>
          <w:p w14:paraId="50D8DE3D" w14:textId="77777777" w:rsidR="00E157F1" w:rsidRDefault="00462155">
            <w:r>
              <w:rPr>
                <w:b/>
                <w:bCs/>
                <w:color w:val="001A33"/>
                <w:sz w:val="19"/>
                <w:szCs w:val="19"/>
              </w:rPr>
              <w:t>26 February 2027</w:t>
            </w:r>
          </w:p>
        </w:tc>
        <w:tc>
          <w:tcPr>
            <w:tcW w:w="0" w:type="auto"/>
            <w:shd w:val="clear" w:color="F4EFE9" w:fill="F4EFE9"/>
            <w:tcMar>
              <w:top w:w="90" w:type="dxa"/>
              <w:left w:w="140" w:type="dxa"/>
              <w:bottom w:w="90" w:type="dxa"/>
              <w:right w:w="140" w:type="dxa"/>
            </w:tcMar>
          </w:tcPr>
          <w:p w14:paraId="50D8DE3E" w14:textId="77777777" w:rsidR="00E157F1" w:rsidRDefault="00462155">
            <w:r>
              <w:rPr>
                <w:sz w:val="19"/>
                <w:szCs w:val="19"/>
              </w:rPr>
              <w:t>26 February 2030</w:t>
            </w:r>
          </w:p>
        </w:tc>
      </w:tr>
      <w:tr w:rsidR="00E157F1" w14:paraId="50D8DE42" w14:textId="77777777">
        <w:tblPrEx>
          <w:tblCellMar>
            <w:top w:w="0" w:type="dxa"/>
            <w:bottom w:w="0" w:type="dxa"/>
          </w:tblCellMar>
        </w:tblPrEx>
        <w:tc>
          <w:tcPr>
            <w:tcW w:w="0" w:type="auto"/>
            <w:tcMar>
              <w:top w:w="90" w:type="dxa"/>
              <w:left w:w="140" w:type="dxa"/>
              <w:bottom w:w="90" w:type="dxa"/>
              <w:right w:w="140" w:type="dxa"/>
            </w:tcMar>
          </w:tcPr>
          <w:p w14:paraId="50D8DE40" w14:textId="77777777" w:rsidR="00E157F1" w:rsidRDefault="00462155">
            <w:r>
              <w:rPr>
                <w:b/>
                <w:bCs/>
                <w:color w:val="001A33"/>
                <w:sz w:val="19"/>
                <w:szCs w:val="19"/>
              </w:rPr>
              <w:t>26 May 2027</w:t>
            </w:r>
          </w:p>
        </w:tc>
        <w:tc>
          <w:tcPr>
            <w:tcW w:w="0" w:type="auto"/>
            <w:tcMar>
              <w:top w:w="90" w:type="dxa"/>
              <w:left w:w="140" w:type="dxa"/>
              <w:bottom w:w="90" w:type="dxa"/>
              <w:right w:w="140" w:type="dxa"/>
            </w:tcMar>
          </w:tcPr>
          <w:p w14:paraId="50D8DE41" w14:textId="77777777" w:rsidR="00E157F1" w:rsidRDefault="00462155">
            <w:r>
              <w:rPr>
                <w:sz w:val="19"/>
                <w:szCs w:val="19"/>
              </w:rPr>
              <w:t>26 May 2030</w:t>
            </w:r>
          </w:p>
        </w:tc>
      </w:tr>
    </w:tbl>
    <w:p w14:paraId="50D8DE43" w14:textId="77777777" w:rsidR="00E157F1" w:rsidRDefault="00462155">
      <w:pPr>
        <w:spacing w:before="180" w:after="70"/>
      </w:pPr>
      <w:r>
        <w:rPr>
          <w:b/>
          <w:bCs/>
          <w:color w:val="001A33"/>
          <w:sz w:val="22"/>
          <w:szCs w:val="22"/>
        </w:rPr>
        <w:t>Tax-Deferred Plan — 2 year restriction</w:t>
      </w:r>
    </w:p>
    <w:p w14:paraId="50D8DE44" w14:textId="77777777" w:rsidR="00E157F1" w:rsidRDefault="00462155">
      <w:pPr>
        <w:spacing w:after="140" w:line="276" w:lineRule="auto"/>
      </w:pPr>
      <w:r>
        <w:t>The Restriction Period is two (2) years from allocation, or until you cease employment with the SGH Group, whichever is earlier. You can apply to have restrictions lifted earlier in limited circumstances, such as financial difficulty. You will be subject to income tax on the market value of shares released when the Restriction Period ends (see Part C).</w:t>
      </w:r>
    </w:p>
    <w:tbl>
      <w:tblPr>
        <w:tblW w:w="5000" w:type="pct"/>
        <w:tblBorders>
          <w:top w:val="single" w:sz="2" w:space="0" w:color="D8CCBF"/>
          <w:bottom w:val="single" w:sz="2" w:space="0" w:color="D8CCBF"/>
          <w:insideH w:val="single" w:sz="2" w:space="0" w:color="D8CCBF"/>
        </w:tblBorders>
        <w:tblCellMar>
          <w:left w:w="10" w:type="dxa"/>
          <w:right w:w="10" w:type="dxa"/>
        </w:tblCellMar>
        <w:tblLook w:val="04A0" w:firstRow="1" w:lastRow="0" w:firstColumn="1" w:lastColumn="0" w:noHBand="0" w:noVBand="1"/>
      </w:tblPr>
      <w:tblGrid>
        <w:gridCol w:w="4900"/>
        <w:gridCol w:w="4806"/>
      </w:tblGrid>
      <w:tr w:rsidR="00E157F1" w14:paraId="50D8DE47" w14:textId="77777777">
        <w:tblPrEx>
          <w:tblCellMar>
            <w:top w:w="0" w:type="dxa"/>
            <w:bottom w:w="0" w:type="dxa"/>
          </w:tblCellMar>
        </w:tblPrEx>
        <w:trPr>
          <w:tblHeader/>
        </w:trPr>
        <w:tc>
          <w:tcPr>
            <w:tcW w:w="0" w:type="auto"/>
            <w:shd w:val="clear" w:color="001A33" w:fill="001A33"/>
            <w:tcMar>
              <w:top w:w="90" w:type="dxa"/>
              <w:left w:w="140" w:type="dxa"/>
              <w:bottom w:w="90" w:type="dxa"/>
              <w:right w:w="140" w:type="dxa"/>
            </w:tcMar>
          </w:tcPr>
          <w:p w14:paraId="50D8DE45" w14:textId="77777777" w:rsidR="00E157F1" w:rsidRDefault="00462155">
            <w:r>
              <w:rPr>
                <w:b/>
                <w:bCs/>
                <w:color w:val="FFFFFF"/>
                <w:sz w:val="18"/>
                <w:szCs w:val="18"/>
              </w:rPr>
              <w:t>Intended allocation date</w:t>
            </w:r>
          </w:p>
        </w:tc>
        <w:tc>
          <w:tcPr>
            <w:tcW w:w="0" w:type="auto"/>
            <w:shd w:val="clear" w:color="001A33" w:fill="001A33"/>
            <w:tcMar>
              <w:top w:w="90" w:type="dxa"/>
              <w:left w:w="140" w:type="dxa"/>
              <w:bottom w:w="90" w:type="dxa"/>
              <w:right w:w="140" w:type="dxa"/>
            </w:tcMar>
          </w:tcPr>
          <w:p w14:paraId="50D8DE46" w14:textId="77777777" w:rsidR="00E157F1" w:rsidRDefault="00462155">
            <w:r>
              <w:rPr>
                <w:b/>
                <w:bCs/>
                <w:color w:val="FFFFFF"/>
                <w:sz w:val="18"/>
                <w:szCs w:val="18"/>
              </w:rPr>
              <w:t>~Restriction period end</w:t>
            </w:r>
          </w:p>
        </w:tc>
      </w:tr>
      <w:tr w:rsidR="00E157F1" w14:paraId="50D8DE4A" w14:textId="77777777">
        <w:tblPrEx>
          <w:tblCellMar>
            <w:top w:w="0" w:type="dxa"/>
            <w:bottom w:w="0" w:type="dxa"/>
          </w:tblCellMar>
        </w:tblPrEx>
        <w:tc>
          <w:tcPr>
            <w:tcW w:w="0" w:type="auto"/>
            <w:tcMar>
              <w:top w:w="90" w:type="dxa"/>
              <w:left w:w="140" w:type="dxa"/>
              <w:bottom w:w="90" w:type="dxa"/>
              <w:right w:w="140" w:type="dxa"/>
            </w:tcMar>
          </w:tcPr>
          <w:p w14:paraId="50D8DE48" w14:textId="77777777" w:rsidR="00E157F1" w:rsidRDefault="00462155">
            <w:r>
              <w:rPr>
                <w:b/>
                <w:bCs/>
                <w:color w:val="001A33"/>
                <w:sz w:val="19"/>
                <w:szCs w:val="19"/>
              </w:rPr>
              <w:t>27 November 2026</w:t>
            </w:r>
          </w:p>
        </w:tc>
        <w:tc>
          <w:tcPr>
            <w:tcW w:w="0" w:type="auto"/>
            <w:tcMar>
              <w:top w:w="90" w:type="dxa"/>
              <w:left w:w="140" w:type="dxa"/>
              <w:bottom w:w="90" w:type="dxa"/>
              <w:right w:w="140" w:type="dxa"/>
            </w:tcMar>
          </w:tcPr>
          <w:p w14:paraId="50D8DE49" w14:textId="77777777" w:rsidR="00E157F1" w:rsidRDefault="00462155">
            <w:r>
              <w:rPr>
                <w:sz w:val="19"/>
                <w:szCs w:val="19"/>
              </w:rPr>
              <w:t>27 November 2028</w:t>
            </w:r>
          </w:p>
        </w:tc>
      </w:tr>
      <w:tr w:rsidR="00E157F1" w14:paraId="50D8DE4D" w14:textId="77777777">
        <w:tblPrEx>
          <w:tblCellMar>
            <w:top w:w="0" w:type="dxa"/>
            <w:bottom w:w="0" w:type="dxa"/>
          </w:tblCellMar>
        </w:tblPrEx>
        <w:tc>
          <w:tcPr>
            <w:tcW w:w="0" w:type="auto"/>
            <w:shd w:val="clear" w:color="F4EFE9" w:fill="F4EFE9"/>
            <w:tcMar>
              <w:top w:w="90" w:type="dxa"/>
              <w:left w:w="140" w:type="dxa"/>
              <w:bottom w:w="90" w:type="dxa"/>
              <w:right w:w="140" w:type="dxa"/>
            </w:tcMar>
          </w:tcPr>
          <w:p w14:paraId="50D8DE4B" w14:textId="77777777" w:rsidR="00E157F1" w:rsidRDefault="00462155">
            <w:r>
              <w:rPr>
                <w:b/>
                <w:bCs/>
                <w:color w:val="001A33"/>
                <w:sz w:val="19"/>
                <w:szCs w:val="19"/>
              </w:rPr>
              <w:t>26 February 2027</w:t>
            </w:r>
          </w:p>
        </w:tc>
        <w:tc>
          <w:tcPr>
            <w:tcW w:w="0" w:type="auto"/>
            <w:shd w:val="clear" w:color="F4EFE9" w:fill="F4EFE9"/>
            <w:tcMar>
              <w:top w:w="90" w:type="dxa"/>
              <w:left w:w="140" w:type="dxa"/>
              <w:bottom w:w="90" w:type="dxa"/>
              <w:right w:w="140" w:type="dxa"/>
            </w:tcMar>
          </w:tcPr>
          <w:p w14:paraId="50D8DE4C" w14:textId="77777777" w:rsidR="00E157F1" w:rsidRDefault="00462155">
            <w:r>
              <w:rPr>
                <w:sz w:val="19"/>
                <w:szCs w:val="19"/>
              </w:rPr>
              <w:t>26 February 2029</w:t>
            </w:r>
          </w:p>
        </w:tc>
      </w:tr>
      <w:tr w:rsidR="00E157F1" w14:paraId="50D8DE50" w14:textId="77777777">
        <w:tblPrEx>
          <w:tblCellMar>
            <w:top w:w="0" w:type="dxa"/>
            <w:bottom w:w="0" w:type="dxa"/>
          </w:tblCellMar>
        </w:tblPrEx>
        <w:tc>
          <w:tcPr>
            <w:tcW w:w="0" w:type="auto"/>
            <w:tcMar>
              <w:top w:w="90" w:type="dxa"/>
              <w:left w:w="140" w:type="dxa"/>
              <w:bottom w:w="90" w:type="dxa"/>
              <w:right w:w="140" w:type="dxa"/>
            </w:tcMar>
          </w:tcPr>
          <w:p w14:paraId="50D8DE4E" w14:textId="77777777" w:rsidR="00E157F1" w:rsidRDefault="00462155">
            <w:r>
              <w:rPr>
                <w:b/>
                <w:bCs/>
                <w:color w:val="001A33"/>
                <w:sz w:val="19"/>
                <w:szCs w:val="19"/>
              </w:rPr>
              <w:t>26 May 2027</w:t>
            </w:r>
          </w:p>
        </w:tc>
        <w:tc>
          <w:tcPr>
            <w:tcW w:w="0" w:type="auto"/>
            <w:tcMar>
              <w:top w:w="90" w:type="dxa"/>
              <w:left w:w="140" w:type="dxa"/>
              <w:bottom w:w="90" w:type="dxa"/>
              <w:right w:w="140" w:type="dxa"/>
            </w:tcMar>
          </w:tcPr>
          <w:p w14:paraId="50D8DE4F" w14:textId="77777777" w:rsidR="00E157F1" w:rsidRDefault="00462155">
            <w:r>
              <w:rPr>
                <w:sz w:val="19"/>
                <w:szCs w:val="19"/>
              </w:rPr>
              <w:t>26 May 2029</w:t>
            </w:r>
          </w:p>
        </w:tc>
      </w:tr>
    </w:tbl>
    <w:p w14:paraId="50D8DE51" w14:textId="77777777" w:rsidR="00E157F1" w:rsidRDefault="00462155">
      <w:pPr>
        <w:pBdr>
          <w:bottom w:val="single" w:sz="8" w:space="0" w:color="D8CCBF"/>
        </w:pBdr>
        <w:spacing w:before="300" w:after="90"/>
      </w:pPr>
      <w:r>
        <w:rPr>
          <w:b/>
          <w:bCs/>
          <w:color w:val="00897A"/>
          <w:sz w:val="26"/>
          <w:szCs w:val="26"/>
        </w:rPr>
        <w:t xml:space="preserve">Q7.  </w:t>
      </w:r>
      <w:r>
        <w:rPr>
          <w:b/>
          <w:bCs/>
          <w:color w:val="001A33"/>
          <w:sz w:val="26"/>
          <w:szCs w:val="26"/>
        </w:rPr>
        <w:t>Who can participate?</w:t>
      </w:r>
    </w:p>
    <w:p w14:paraId="50D8DE52" w14:textId="77777777" w:rsidR="00E157F1" w:rsidRDefault="00462155">
      <w:pPr>
        <w:spacing w:after="140" w:line="276" w:lineRule="auto"/>
      </w:pPr>
      <w:r>
        <w:t>The Invitation is open to all Australian full-time, permanent part-time and fixed-term employees of SGH and its subsidiaries who are residents of Australia for tax purposes and have completed at least six (6) months' service. For FY27 you'll need to have commenced on or before 1 July 2026.</w:t>
      </w:r>
    </w:p>
    <w:p w14:paraId="50D8DE53" w14:textId="77777777" w:rsidR="00E157F1" w:rsidRDefault="00462155">
      <w:pPr>
        <w:pStyle w:val="ListParagraph"/>
        <w:numPr>
          <w:ilvl w:val="0"/>
          <w:numId w:val="1"/>
        </w:numPr>
        <w:spacing w:after="70"/>
      </w:pPr>
      <w:r>
        <w:t>Non-executive Directors of SGH, casual employees and fixed-term contractors are not eligible.</w:t>
      </w:r>
    </w:p>
    <w:p w14:paraId="50D8DE54" w14:textId="77777777" w:rsidR="00E157F1" w:rsidRDefault="00462155">
      <w:pPr>
        <w:pStyle w:val="ListParagraph"/>
        <w:numPr>
          <w:ilvl w:val="0"/>
          <w:numId w:val="1"/>
        </w:numPr>
        <w:spacing w:after="70"/>
      </w:pPr>
      <w:r>
        <w:lastRenderedPageBreak/>
        <w:t>Anyone who ceases to satisfy the eligibility requirements on or before the offer closes (~15 September 2026) is not entitled to participate.</w:t>
      </w:r>
    </w:p>
    <w:p w14:paraId="50D8DE55" w14:textId="77777777" w:rsidR="00E157F1" w:rsidRDefault="00462155">
      <w:pPr>
        <w:pBdr>
          <w:bottom w:val="single" w:sz="8" w:space="0" w:color="D8CCBF"/>
        </w:pBdr>
        <w:spacing w:before="300" w:after="90"/>
      </w:pPr>
      <w:r>
        <w:rPr>
          <w:b/>
          <w:bCs/>
          <w:color w:val="00897A"/>
          <w:sz w:val="26"/>
          <w:szCs w:val="26"/>
        </w:rPr>
        <w:t xml:space="preserve">Q8.  </w:t>
      </w:r>
      <w:r>
        <w:rPr>
          <w:b/>
          <w:bCs/>
          <w:color w:val="001A33"/>
          <w:sz w:val="26"/>
          <w:szCs w:val="26"/>
        </w:rPr>
        <w:t>How do I participate?</w:t>
      </w:r>
    </w:p>
    <w:p w14:paraId="50D8DE56" w14:textId="77777777" w:rsidR="00E157F1" w:rsidRDefault="00462155">
      <w:pPr>
        <w:spacing w:after="140" w:line="276" w:lineRule="auto"/>
      </w:pPr>
      <w:r>
        <w:t>The process is managed by Boardroom in two steps: eligible employees are sent an invitation email directly from Boardroom; to participate, simply follow the steps in that email.</w:t>
      </w:r>
    </w:p>
    <w:p w14:paraId="50D8DE57" w14:textId="77777777" w:rsidR="00E157F1" w:rsidRDefault="00462155">
      <w:pPr>
        <w:spacing w:after="140" w:line="276" w:lineRule="auto"/>
      </w:pPr>
      <w:r>
        <w:t>Read the Offer Document carefully and complete the application by ~15 September 2026 (5:00pm AEST), choosing the Tax-Exempt Plan and/or the Tax-Deferred Plan. If you do not wish to participate, you do not need to do anything.</w:t>
      </w:r>
    </w:p>
    <w:p w14:paraId="50D8DE58" w14:textId="77777777" w:rsidR="00E157F1" w:rsidRDefault="00462155">
      <w:pPr>
        <w:pBdr>
          <w:bottom w:val="single" w:sz="8" w:space="0" w:color="D8CCBF"/>
        </w:pBdr>
        <w:spacing w:before="300" w:after="90"/>
      </w:pPr>
      <w:r>
        <w:rPr>
          <w:b/>
          <w:bCs/>
          <w:color w:val="00897A"/>
          <w:sz w:val="26"/>
          <w:szCs w:val="26"/>
        </w:rPr>
        <w:t xml:space="preserve">Q9.  </w:t>
      </w:r>
      <w:r>
        <w:rPr>
          <w:b/>
          <w:bCs/>
          <w:color w:val="001A33"/>
          <w:sz w:val="26"/>
          <w:szCs w:val="26"/>
        </w:rPr>
        <w:t>How much can I invest?</w:t>
      </w:r>
    </w:p>
    <w:p w14:paraId="50D8DE59" w14:textId="77777777" w:rsidR="00E157F1" w:rsidRDefault="00462155">
      <w:pPr>
        <w:spacing w:after="140" w:line="276" w:lineRule="auto"/>
      </w:pPr>
      <w:r>
        <w:t>How much you invest from pre-tax salary and wages is completely up to you, within the limits:</w:t>
      </w:r>
    </w:p>
    <w:p w14:paraId="50D8DE5A" w14:textId="77777777" w:rsidR="00E157F1" w:rsidRDefault="00462155">
      <w:pPr>
        <w:pStyle w:val="ListParagraph"/>
        <w:numPr>
          <w:ilvl w:val="0"/>
          <w:numId w:val="1"/>
        </w:numPr>
        <w:spacing w:after="70"/>
      </w:pPr>
      <w:r>
        <w:rPr>
          <w:b/>
          <w:bCs/>
          <w:color w:val="001A33"/>
        </w:rPr>
        <w:t xml:space="preserve">Tax-Exempt Plan: </w:t>
      </w:r>
      <w:r>
        <w:t>$1,000 only.</w:t>
      </w:r>
    </w:p>
    <w:p w14:paraId="50D8DE5B" w14:textId="77777777" w:rsidR="00E157F1" w:rsidRDefault="00462155">
      <w:pPr>
        <w:pStyle w:val="ListParagraph"/>
        <w:numPr>
          <w:ilvl w:val="0"/>
          <w:numId w:val="1"/>
        </w:numPr>
        <w:spacing w:after="70"/>
      </w:pPr>
      <w:r>
        <w:rPr>
          <w:b/>
          <w:bCs/>
          <w:color w:val="001A33"/>
        </w:rPr>
        <w:t xml:space="preserve">Tax-Deferred Plan only: </w:t>
      </w:r>
      <w:r>
        <w:t>minimum $2,500, up to $5,000 in $500 increments.</w:t>
      </w:r>
    </w:p>
    <w:p w14:paraId="50D8DE5C" w14:textId="77777777" w:rsidR="00E157F1" w:rsidRDefault="00462155">
      <w:pPr>
        <w:pStyle w:val="ListParagraph"/>
        <w:numPr>
          <w:ilvl w:val="0"/>
          <w:numId w:val="1"/>
        </w:numPr>
        <w:spacing w:after="70"/>
      </w:pPr>
      <w:r>
        <w:rPr>
          <w:b/>
          <w:bCs/>
          <w:color w:val="001A33"/>
        </w:rPr>
        <w:t xml:space="preserve">Both Plans: </w:t>
      </w:r>
      <w:r>
        <w:t>minimum $3,500 (TE $1,000 + TD $2,500), up to $6,000 in $500 increments (TE $1,000 + TD $5,000).</w:t>
      </w:r>
    </w:p>
    <w:p w14:paraId="50D8DE5D" w14:textId="77777777" w:rsidR="00E157F1" w:rsidRDefault="00462155">
      <w:pPr>
        <w:spacing w:after="140" w:line="276" w:lineRule="auto"/>
      </w:pPr>
      <w:r>
        <w:t>For example, with $1,000 to invest you may only use the Tax-Exempt Plan (due to the Tax-Deferred minimum); $125 is deducted monthly or $63 fortnightly; and you'll be allocated $1,000 of shares across the three allocation dates. Where your adjusted taxable income for the year ending 30 June 2027 does not exceed $180,000, Tax-Exempt Plan shares should be received income tax-free (see Part C).</w:t>
      </w:r>
    </w:p>
    <w:p w14:paraId="50D8DE5E" w14:textId="77777777" w:rsidR="00E157F1" w:rsidRDefault="00462155">
      <w:pPr>
        <w:pBdr>
          <w:bottom w:val="single" w:sz="8" w:space="0" w:color="D8CCBF"/>
        </w:pBdr>
        <w:spacing w:before="300" w:after="90"/>
      </w:pPr>
      <w:r>
        <w:rPr>
          <w:b/>
          <w:bCs/>
          <w:color w:val="00897A"/>
          <w:sz w:val="26"/>
          <w:szCs w:val="26"/>
        </w:rPr>
        <w:t xml:space="preserve">Q10.  </w:t>
      </w:r>
      <w:r>
        <w:rPr>
          <w:b/>
          <w:bCs/>
          <w:color w:val="001A33"/>
          <w:sz w:val="26"/>
          <w:szCs w:val="26"/>
        </w:rPr>
        <w:t>What if I leave SGH during a financial year I'm participating in?</w:t>
      </w:r>
    </w:p>
    <w:p w14:paraId="50D8DE5F" w14:textId="77777777" w:rsidR="00E157F1" w:rsidRDefault="00462155">
      <w:pPr>
        <w:spacing w:after="140" w:line="276" w:lineRule="auto"/>
      </w:pPr>
      <w:r>
        <w:t>If you cease employment between allocation dates, shares will not be allocated on the next date. You'll receive a separate payment (with relevant tax withheld) as part of your termination arrangements for any amounts deducted since the previous allocation date.</w:t>
      </w:r>
    </w:p>
    <w:p w14:paraId="50D8DE60" w14:textId="77777777" w:rsidR="00E157F1" w:rsidRDefault="00462155">
      <w:pPr>
        <w:pBdr>
          <w:bottom w:val="single" w:sz="8" w:space="0" w:color="D8CCBF"/>
        </w:pBdr>
        <w:spacing w:before="300" w:after="90"/>
      </w:pPr>
      <w:r>
        <w:rPr>
          <w:b/>
          <w:bCs/>
          <w:color w:val="00897A"/>
          <w:sz w:val="26"/>
          <w:szCs w:val="26"/>
        </w:rPr>
        <w:t xml:space="preserve">Q11.  </w:t>
      </w:r>
      <w:r>
        <w:rPr>
          <w:b/>
          <w:bCs/>
          <w:color w:val="001A33"/>
          <w:sz w:val="26"/>
          <w:szCs w:val="26"/>
        </w:rPr>
        <w:t>What if I leave SGH during the Restriction Period?</w:t>
      </w:r>
    </w:p>
    <w:p w14:paraId="50D8DE61" w14:textId="77777777" w:rsidR="00E157F1" w:rsidRDefault="00462155">
      <w:pPr>
        <w:spacing w:before="180" w:after="70"/>
      </w:pPr>
      <w:r>
        <w:rPr>
          <w:b/>
          <w:bCs/>
          <w:color w:val="001A33"/>
          <w:sz w:val="22"/>
          <w:szCs w:val="22"/>
        </w:rPr>
        <w:t>Tax-Exempt Plan</w:t>
      </w:r>
    </w:p>
    <w:p w14:paraId="50D8DE62" w14:textId="77777777" w:rsidR="00E157F1" w:rsidRDefault="00462155">
      <w:pPr>
        <w:spacing w:after="140" w:line="276" w:lineRule="auto"/>
      </w:pPr>
      <w:r>
        <w:t>If you leave SGH for any reason (e.g. resignation or retirement) you retain your shares, and the three (3) year Restriction Period normally ceases. You're then free to deal with your shares, subject to the Share Trading Policy.</w:t>
      </w:r>
    </w:p>
    <w:p w14:paraId="50D8DE63" w14:textId="77777777" w:rsidR="00E157F1" w:rsidRDefault="00462155">
      <w:pPr>
        <w:spacing w:before="180" w:after="70"/>
      </w:pPr>
      <w:r>
        <w:rPr>
          <w:b/>
          <w:bCs/>
          <w:color w:val="001A33"/>
          <w:sz w:val="22"/>
          <w:szCs w:val="22"/>
        </w:rPr>
        <w:t>Tax-Deferred Plan</w:t>
      </w:r>
    </w:p>
    <w:p w14:paraId="50D8DE64" w14:textId="77777777" w:rsidR="00E157F1" w:rsidRDefault="00462155">
      <w:pPr>
        <w:spacing w:after="140" w:line="276" w:lineRule="auto"/>
      </w:pPr>
      <w:r>
        <w:t>If you leave SGH for any reason you retain your shares, and the two (2) year Restriction Period ceases. You're then free to deal with your shares, subject to the Share Trading Policy. On termination, income tax may be payable — see Part C.</w:t>
      </w:r>
    </w:p>
    <w:p w14:paraId="50D8DE65" w14:textId="77777777" w:rsidR="00E157F1" w:rsidRDefault="00E157F1">
      <w:pPr>
        <w:spacing w:after="80"/>
      </w:pPr>
    </w:p>
    <w:tbl>
      <w:tblPr>
        <w:tblW w:w="5000" w:type="pct"/>
        <w:tblCellMar>
          <w:left w:w="10" w:type="dxa"/>
          <w:right w:w="10" w:type="dxa"/>
        </w:tblCellMar>
        <w:tblLook w:val="04A0" w:firstRow="1" w:lastRow="0" w:firstColumn="1" w:lastColumn="0" w:noHBand="0" w:noVBand="1"/>
      </w:tblPr>
      <w:tblGrid>
        <w:gridCol w:w="9706"/>
      </w:tblGrid>
      <w:tr w:rsidR="00E157F1" w14:paraId="50D8DE68" w14:textId="77777777">
        <w:tblPrEx>
          <w:tblCellMar>
            <w:top w:w="0" w:type="dxa"/>
            <w:bottom w:w="0" w:type="dxa"/>
          </w:tblCellMar>
        </w:tblPrEx>
        <w:tc>
          <w:tcPr>
            <w:tcW w:w="0" w:type="auto"/>
            <w:shd w:val="clear" w:color="001A33" w:fill="001A33"/>
            <w:tcMar>
              <w:top w:w="200" w:type="dxa"/>
              <w:left w:w="280" w:type="dxa"/>
              <w:bottom w:w="200" w:type="dxa"/>
              <w:right w:w="280" w:type="dxa"/>
            </w:tcMar>
          </w:tcPr>
          <w:p w14:paraId="50D8DE66" w14:textId="77777777" w:rsidR="00E157F1" w:rsidRDefault="00462155">
            <w:pPr>
              <w:spacing w:after="80"/>
            </w:pPr>
            <w:r>
              <w:rPr>
                <w:b/>
                <w:bCs/>
                <w:color w:val="00C2AB"/>
                <w:spacing w:val="30"/>
                <w:sz w:val="16"/>
                <w:szCs w:val="16"/>
              </w:rPr>
              <w:t>FURTHER INFORMATION</w:t>
            </w:r>
          </w:p>
          <w:p w14:paraId="50D8DE67" w14:textId="77777777" w:rsidR="00E157F1" w:rsidRDefault="00462155">
            <w:pPr>
              <w:spacing w:after="60"/>
            </w:pPr>
            <w:r>
              <w:rPr>
                <w:color w:val="FFFFFF"/>
                <w:sz w:val="20"/>
                <w:szCs w:val="20"/>
              </w:rPr>
              <w:t>If you have further questions about the FY27 Invitation, contact Boardroom on 1300 737 760, or email SGH@boardroomlimited.com.au for a response within 24 hours.</w:t>
            </w:r>
          </w:p>
        </w:tc>
      </w:tr>
    </w:tbl>
    <w:p w14:paraId="50D8DE69" w14:textId="77777777" w:rsidR="00E157F1" w:rsidRDefault="00462155">
      <w:pPr>
        <w:spacing w:after="120"/>
      </w:pPr>
      <w:r>
        <w:rPr>
          <w:i/>
          <w:iCs/>
          <w:color w:val="5B6B78"/>
          <w:sz w:val="16"/>
          <w:szCs w:val="16"/>
        </w:rPr>
        <w:t>In the event of any inconsistency, the SGH Equity Incentive Plan Rules and the Offer Document prevail. © 2026 SGH Limited (ASX: SGH).</w:t>
      </w:r>
    </w:p>
    <w:sectPr w:rsidR="00E157F1">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C090B"/>
    <w:multiLevelType w:val="hybridMultilevel"/>
    <w:tmpl w:val="B4E8D172"/>
    <w:lvl w:ilvl="0" w:tplc="9C8C3574">
      <w:start w:val="1"/>
      <w:numFmt w:val="bullet"/>
      <w:lvlText w:val="●"/>
      <w:lvlJc w:val="left"/>
      <w:pPr>
        <w:ind w:left="720" w:hanging="360"/>
      </w:pPr>
    </w:lvl>
    <w:lvl w:ilvl="1" w:tplc="1AB044C4">
      <w:start w:val="1"/>
      <w:numFmt w:val="bullet"/>
      <w:lvlText w:val="○"/>
      <w:lvlJc w:val="left"/>
      <w:pPr>
        <w:ind w:left="1440" w:hanging="360"/>
      </w:pPr>
    </w:lvl>
    <w:lvl w:ilvl="2" w:tplc="A60CA5FE">
      <w:start w:val="1"/>
      <w:numFmt w:val="bullet"/>
      <w:lvlText w:val="■"/>
      <w:lvlJc w:val="left"/>
      <w:pPr>
        <w:ind w:left="2160" w:hanging="360"/>
      </w:pPr>
    </w:lvl>
    <w:lvl w:ilvl="3" w:tplc="72B4C618">
      <w:start w:val="1"/>
      <w:numFmt w:val="bullet"/>
      <w:lvlText w:val="●"/>
      <w:lvlJc w:val="left"/>
      <w:pPr>
        <w:ind w:left="2880" w:hanging="360"/>
      </w:pPr>
    </w:lvl>
    <w:lvl w:ilvl="4" w:tplc="31E455FA">
      <w:start w:val="1"/>
      <w:numFmt w:val="bullet"/>
      <w:lvlText w:val="○"/>
      <w:lvlJc w:val="left"/>
      <w:pPr>
        <w:ind w:left="3600" w:hanging="360"/>
      </w:pPr>
    </w:lvl>
    <w:lvl w:ilvl="5" w:tplc="B7E43944">
      <w:start w:val="1"/>
      <w:numFmt w:val="bullet"/>
      <w:lvlText w:val="■"/>
      <w:lvlJc w:val="left"/>
      <w:pPr>
        <w:ind w:left="4320" w:hanging="360"/>
      </w:pPr>
    </w:lvl>
    <w:lvl w:ilvl="6" w:tplc="6F86EB86">
      <w:start w:val="1"/>
      <w:numFmt w:val="bullet"/>
      <w:lvlText w:val="●"/>
      <w:lvlJc w:val="left"/>
      <w:pPr>
        <w:ind w:left="5040" w:hanging="360"/>
      </w:pPr>
    </w:lvl>
    <w:lvl w:ilvl="7" w:tplc="1ACC48DE">
      <w:start w:val="1"/>
      <w:numFmt w:val="bullet"/>
      <w:lvlText w:val="●"/>
      <w:lvlJc w:val="left"/>
      <w:pPr>
        <w:ind w:left="5760" w:hanging="360"/>
      </w:pPr>
    </w:lvl>
    <w:lvl w:ilvl="8" w:tplc="FBC4425C">
      <w:start w:val="1"/>
      <w:numFmt w:val="bullet"/>
      <w:lvlText w:val="●"/>
      <w:lvlJc w:val="left"/>
      <w:pPr>
        <w:ind w:left="6480" w:hanging="360"/>
      </w:pPr>
    </w:lvl>
  </w:abstractNum>
  <w:num w:numId="1" w16cid:durableId="1899853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7F1"/>
    <w:rsid w:val="001B42A9"/>
    <w:rsid w:val="00440421"/>
    <w:rsid w:val="00462155"/>
    <w:rsid w:val="00E157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DE15"/>
  <w15:docId w15:val="{3B8F73C7-6AAC-4429-837E-BA550D39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323D"/>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784917-0cfa-435b-bf69-5494a54ae7d5" xsi:nil="true"/>
    <lcf76f155ced4ddcb4097134ff3c332f xmlns="ee922c0b-ebaf-4372-99f7-9f3ae737b9b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25E7D89F4F5144A77352226B120D4E" ma:contentTypeVersion="19" ma:contentTypeDescription="Create a new document." ma:contentTypeScope="" ma:versionID="aab7c0658af40321086eadb2ee61b306">
  <xsd:schema xmlns:xsd="http://www.w3.org/2001/XMLSchema" xmlns:xs="http://www.w3.org/2001/XMLSchema" xmlns:p="http://schemas.microsoft.com/office/2006/metadata/properties" xmlns:ns2="ee922c0b-ebaf-4372-99f7-9f3ae737b9b4" xmlns:ns3="df9f2200-5971-4b43-98cf-d74e3f60281a" xmlns:ns4="03784917-0cfa-435b-bf69-5494a54ae7d5" targetNamespace="http://schemas.microsoft.com/office/2006/metadata/properties" ma:root="true" ma:fieldsID="e5ef61fcf96d2dde1259b35977025dcf" ns2:_="" ns3:_="" ns4:_="">
    <xsd:import namespace="ee922c0b-ebaf-4372-99f7-9f3ae737b9b4"/>
    <xsd:import namespace="df9f2200-5971-4b43-98cf-d74e3f60281a"/>
    <xsd:import namespace="03784917-0cfa-435b-bf69-5494a54ae7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22c0b-ebaf-4372-99f7-9f3ae737b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8eae81e-b05e-4cc5-85e5-6166d7e8a9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9f2200-5971-4b43-98cf-d74e3f6028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784917-0cfa-435b-bf69-5494a54ae7d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2db4879-bda5-40a9-9d68-ea0b92c6bf8a}" ma:internalName="TaxCatchAll" ma:showField="CatchAllData" ma:web="03784917-0cfa-435b-bf69-5494a54ae7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9C8B5A-8C39-4847-AC5F-8F46048D68DE}">
  <ds:schemaRefs>
    <ds:schemaRef ds:uri="http://schemas.microsoft.com/office/2006/metadata/properties"/>
    <ds:schemaRef ds:uri="http://schemas.microsoft.com/office/infopath/2007/PartnerControls"/>
    <ds:schemaRef ds:uri="03784917-0cfa-435b-bf69-5494a54ae7d5"/>
    <ds:schemaRef ds:uri="ee922c0b-ebaf-4372-99f7-9f3ae737b9b4"/>
  </ds:schemaRefs>
</ds:datastoreItem>
</file>

<file path=customXml/itemProps2.xml><?xml version="1.0" encoding="utf-8"?>
<ds:datastoreItem xmlns:ds="http://schemas.openxmlformats.org/officeDocument/2006/customXml" ds:itemID="{3A4BD7F9-4750-49BB-9222-2816FAEA0575}">
  <ds:schemaRefs>
    <ds:schemaRef ds:uri="http://schemas.microsoft.com/sharepoint/v3/contenttype/forms"/>
  </ds:schemaRefs>
</ds:datastoreItem>
</file>

<file path=customXml/itemProps3.xml><?xml version="1.0" encoding="utf-8"?>
<ds:datastoreItem xmlns:ds="http://schemas.openxmlformats.org/officeDocument/2006/customXml" ds:itemID="{4546016C-F466-4902-8B7C-E589F1855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922c0b-ebaf-4372-99f7-9f3ae737b9b4"/>
    <ds:schemaRef ds:uri="df9f2200-5971-4b43-98cf-d74e3f60281a"/>
    <ds:schemaRef ds:uri="03784917-0cfa-435b-bf69-5494a54ae7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1311</Words>
  <Characters>7473</Characters>
  <Application>Microsoft Office Word</Application>
  <DocSecurity>0</DocSecurity>
  <Lines>62</Lines>
  <Paragraphs>17</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FY27 SGH Employee Share Purchase Plan — Frequently Asked Questions</dc:title>
  <dc:creator>SGH Limited</dc:creator>
  <cp:lastModifiedBy>Nathan Defries</cp:lastModifiedBy>
  <cp:revision>2</cp:revision>
  <dcterms:created xsi:type="dcterms:W3CDTF">2026-05-30T06:08:00Z</dcterms:created>
  <dcterms:modified xsi:type="dcterms:W3CDTF">2026-05-30T06:09:00Z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0x0101003B25E7D89F4F5144A77352226B120D4E</vt:lpwstr>
  </property>
  <property fmtid="{D5CDD505-2E9C-101B-9397-08002B2CF9AE}" pid="3" name="MediaServiceImageTags">
    <vt:lpwstr/>
  </property>
</Properties>
</file>