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621"/>
        <w:gridCol w:w="1671"/>
        <w:gridCol w:w="1811"/>
        <w:gridCol w:w="186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 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4.907***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4.910***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0.083*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0.197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index: mean of six support items (1 = strongly oppose, 7 = strongly support). Combined index: mean of three standardised scores (general support, application-specific support, application-specific petition signing), standardised with the control-group mean and SD; respondents with valid answers on all three dimensions. Reference category: Control. Controls: age group, gender, education, household income quartile, area type, prior knowledge of CCUS and climate concern (coefficients not shown). Stars for the treatment arms are based on p-values adjusted for multiple testing (Benjamini-Hochberg) within this table; "Any treatment" is a single test and not adjusted.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2026-10-29T11:12:48Z</dcterms:modified>
  <cp:category/>
</cp:coreProperties>
</file>