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Climate concern, political orientation and support for CCUS (OLS regression)</w:t>
      </w:r>
    </w:p>
    <w:tbl xmlns:a="http://schemas.openxmlformats.org/drawingml/2006/main" xmlns:pic="http://schemas.openxmlformats.org/drawingml/2006/picture">
      <w:tblPr>
        <w:tblLayout w:type="fixed"/>
        <w:jc w:val="center"/>
        <w:tblLook w:firstRow="1" w:lastRow="0" w:firstColumn="0" w:lastColumn="0" w:noHBand="0" w:noVBand="1"/>
      </w:tblPr>
      <w:tblGrid>
        <w:gridCol w:w="3952"/>
        <w:gridCol w:w="1131"/>
        <w:gridCol w:w="1131"/>
        <w:gridCol w:w="1131"/>
        <w:gridCol w:w="1131"/>
      </w:tblGrid>
      <w:tr>
        <w:trPr>
          <w:trHeight w:val="415"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Dependent variable: support index (1 = strongly oppose, 7 = strongly support)</w:t>
            </w:r>
          </w:p>
        </w:tc>
      </w:tr>
      <w:tr>
        <w:trPr>
          <w:trHeight w:val="41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(4)</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Constant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4.956***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concern: Somewhat 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concern: Neither agree nor disagree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concern: Somewhat disagree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concern: Strongly disagree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-1.604***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Political orientation: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Political orientation: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Political orientation: Other party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Political orientation: No party stated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-0.199***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2793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0.193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Country fixed 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r>
      <w:tr>
        <w:trPr>
          <w:trHeight w:val="360" w:hRule="auto"/>
        </w:trPr>
        <w:tc>
          <w:tcPr>
            <w:gridSpan w:val="5"/>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p &lt; 0.1, ** p &lt; 0.05, *** p &lt; 0.01</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p &lt; 0.1; ** p &lt; 0.05; *** p &lt; 0.01. Robust standard errors (HC2) in parentheses.</w:t>
            </w:r>
          </w:p>
        </w:tc>
      </w:tr>
      <w:tr>
        <w:trPr>
          <w:trHeight w:val="360" w:hRule="auto"/>
        </w:trPr>
        <w:tc>
          <w:tcPr>
            <w:gridSpan w:val="5"/>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Notes: Model (1) includes climate concern only; model (2) political orientation only; model (3) both climate concern and political orientation; model (4) additionally includes control variables. The support index is the mean of six support items (CCUS in general and five applications), at least four valid answers required; "don't know" answers are excluded. Climate concern: agreement that climate change is an important problem (reference: strongly agree). Political orientation: party blocs based on party preference (reference: left); "right" refers to populist-right parties, the mainstream centre-right is included in "centre"; "other party" and "no party stated" are included as separate categories. Controls in model (4), coefficients not shown: age group, gender, education, household income quartile, area type, prior knowledge of CCUS and treatment group. Pooled data (DE, NO, NL) with country fixed effects (not shown). The coefficients describe associations, not causal effects.</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2026-10-29T11:12:55Z</dcterms:modified>
  <cp:category/>
</cp:coreProperties>
</file>