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OLS regression: treatment effects on the support index by country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080"/>
        <w:gridCol w:w="1080"/>
        <w:gridCol w:w="1080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support index (1 = strongly oppose, 7 = strongly support)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NL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5.122***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4.693***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Outcome: support index (1 = strongly oppose, 7 = strongly support). Each column estimated separately for one country. Reference category: Control.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2026-10-29T11:12:53Z</dcterms:modified>
  <cp:category/>
</cp:coreProperties>
</file>