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expected consequences of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481"/>
        <w:gridCol w:w="1941"/>
        <w:gridCol w:w="3421"/>
        <w:gridCol w:w="1761"/>
        <w:gridCol w:w="2151"/>
        <w:gridCol w:w="20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perceived likelihood (1 = very likely, 5 = very unlikely)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Job creation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Economic activity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Preservation of industries and jobs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Energy security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Environmental harm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Emission reduction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2.925***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2.831***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2.844***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3.098***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2.561***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-0.198***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-0.133*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Measured after the treatment; "Don't know" excluded. Negative coefficients: the consequence is seen as more likely than in the control group. Treatments: short information texts on jobs, local economic growth, preservation of jobs and industries, energy security, or climate change. Reference category: control group (no information). Sample: pooled data (DE, NO, NL);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2026-10-29T11:12:29Z</dcterms:modified>
  <cp:category/>
</cp:coreProperties>
</file>