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in favour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in favour (in percentage points / 100). Respondents who are undecided are excluded. Treatments: short information texts on jobs, local economic growth, preservation of jobs and industries, energy security, or climate change. Reference category: control group (no information). All models include country fixed effects (not shown). Sample: pooled data (DE, NO, NL);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2026-10-29T11:12:33Z</dcterms:modified>
  <cp:category/>
</cp:coreProperties>
</file>