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willingness to sign in favour, undecided respondents included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would sign a petition in favour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Robustness check: undecided respondents are kept and coded as not signing in favour. Treatments: short information texts on jobs, local economic growth, preservation of jobs and industries, energy security, or climate change. Reference category: control group (no information). All models include country fixed effects (not shown). Sample: pooled data (DE, NO, NL);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2026-10-29T11:12:39Z</dcterms:modified>
  <cp:category/>
</cp:coreProperties>
</file>