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being undecided about a petition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undecided whether to sign a petition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Robustness check: tests whether the treatments change the share of undecided respondents, who are excluded from the petition models. Treatments: short information texts on jobs, local economic growth, preservation of jobs and industries, energy security, or climate change. Reference category: control group (no information). All models include country fixed effects (not shown). Sample: pooled data (DE, NO, NL);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2026-10-29T11:12:37Z</dcterms:modified>
  <cp:category/>
</cp:coreProperties>
</file>