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621"/>
        <w:gridCol w:w="1671"/>
        <w:gridCol w:w="1811"/>
        <w:gridCol w:w="1861"/>
      </w:tblGrid>
      <w:tr>
        <w:trPr>
          <w:trHeight w:val="43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Support 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Support index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Combined 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Combined index 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5.343***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5.348***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0.384*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(0.217)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0.235**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0.213**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0.217**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0.137*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(0.075)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821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0.173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0.152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Support index: mean of six support items (1 = strongly oppose, 7 = strongly support). Combined index: mean of three standardised scores (general support, application-specific support, application-specific petition signing), standardised with the control-group mean and SD; respondents with valid answers on all three dimensions. Reference category: Control. Controls: age group, gender, education, household income quartile, area type, prior knowledge of CCUS and climate concern (coefficients not shown).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2026-10-29T11:02:59Z</dcterms:modified>
  <cp:category/>
</cp:coreProperties>
</file>