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081"/>
        <w:gridCol w:w="1161"/>
        <w:gridCol w:w="1821"/>
        <w:gridCol w:w="1681"/>
        <w:gridCol w:w="1611"/>
        <w:gridCol w:w="1481"/>
      </w:tblGrid>
      <w:tr>
        <w:trPr>
          <w:trHeight w:val="43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General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Waste-to-energy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utilisation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pipelines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storage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0.465**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0.504**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0.490**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(0.204)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925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Ordered logit coefficients (log-odds); positive = higher support than control.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2026-10-29T11:02:55Z</dcterms:modified>
  <cp:category/>
</cp:coreProperties>
</file>