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Climate concern, political orientation and support for CCUS (OLS regression)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2"/>
        <w:gridCol w:w="1131"/>
        <w:gridCol w:w="1131"/>
        <w:gridCol w:w="1131"/>
        <w:gridCol w:w="113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support index (1 = strongly oppose, 7 = strongly support)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5.137***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5.299***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(0.262)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-0.212***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-0.567***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-0.582***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-0.936***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-1.760***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-1.853***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(0.262)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0.416***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Other party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No party stated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Model (1) includes climate concern only; model (2) political orientation only; model (3) both climate concern and political orientation; model (4) additionally includes control variables. The support index is the mean of six support items (CCUS in general and five applications), at least four valid answers required; "don't know" answers are excluded. Climate concern: agreement that climate change is an important problem (reference: strongly agree). Political orientation: party blocs based on party preference (reference: left); "right" refers to populist-right parties, the mainstream centre-right is included in "centre"; "other party" and "no party stated" are included as separate categories. Controls in model (4), coefficients not shown: age group, gender, education, household income quartile, area type, prior knowledge of CCUS and treatment group. Sample: DE. The coefficients describe associations, not causal effects.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2026-10-29T11:03:02Z</dcterms:modified>
  <cp:category/>
</cp:coreProperties>
</file>