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expected consequences of CCUS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481"/>
        <w:gridCol w:w="1941"/>
        <w:gridCol w:w="3421"/>
        <w:gridCol w:w="1761"/>
        <w:gridCol w:w="2151"/>
        <w:gridCol w:w="20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perceived likelihood (1 = very likely, 5 = very unlikely)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Job creation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Economic activity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Preservation of industries and jobs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Energy security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Environmental harm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Emission reduction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2.753***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2.932***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2.865***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2.952***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3.063***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2.634***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-0.278**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-0.234*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Measured after the treatment; "Don't know" excluded. Negative coefficients: the consequence is seen as more likely than in the control group. Treatments: short information texts on jobs, local economic growth, preservation of jobs and industries, energy security, or climate change. Reference category: control group (no information). Sample: DE;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2026-10-29T11:02:43Z</dcterms:modified>
  <cp:category/>
</cp:coreProperties>
</file>