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willingness to sign in favour, undecided respondents included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in favour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Robustness check: undecided respondents are kept and coded as not signing in favour. Treatments: short information texts on jobs, local economic growth, preservation of jobs and industries, energy security, or climate change. Reference category: control group (no information). Sample: DE;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2026-10-29T11:02:52Z</dcterms:modified>
  <cp:category/>
</cp:coreProperties>
</file>