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being undecided about a petition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undecided whether to sign a petition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Robustness check: tests whether the treatments change the share of undecided respondents, who are excluded from the petition models. Treatments: short information texts on jobs, local economic growth, preservation of jobs and industries, energy security, or climate change. Reference category: control group (no information). Sample: DE;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2026-10-29T11:02:50Z</dcterms:modified>
  <cp:category/>
</cp:coreProperties>
</file>