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OLS regression: treatment effects on support for CCUS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03"/>
        <w:gridCol w:w="1081"/>
        <w:gridCol w:w="1161"/>
        <w:gridCol w:w="1821"/>
        <w:gridCol w:w="1681"/>
        <w:gridCol w:w="1611"/>
        <w:gridCol w:w="1481"/>
      </w:tblGrid>
      <w:tr>
        <w:trPr>
          <w:trHeight w:val="415" w:hRule="auto"/>
          <w:tblHeader/>
        </w:trPr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6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Dependent variable: support (1 = strongly oppose, 7 = strongly support)</w:t>
            </w:r>
          </w:p>
        </w:tc>
      </w:tr>
      <w:tr>
        <w:trPr>
          <w:trHeight w:val="415" w:hRule="auto"/>
          <w:tblHeader/>
        </w:trPr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General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Biomass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Waste-to-energy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CO2 utilisation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CO2 pipelines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CO2 storage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Constant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4.877***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5.061***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4.765***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5.540***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4.352***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3.850***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(0.139)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Jobs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0.176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(0.192)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Local Economic Growth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0.257*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0.309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(0.190)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Preservation of Jobs and Industries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0.380**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0.357**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0.471**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(0.192)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Energy Security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0.479**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(0.197)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Climate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0.443**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(0.199)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925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</w:t>
            </w:r>
          </w:p>
        </w:tc>
      </w:tr>
      <w:tr>
        <w:trPr>
          <w:trHeight w:val="4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 Adj.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0.1, ** p &lt; 0.05, *** p &lt; 0.01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0.1; ** p &lt; 0.05; *** p &lt; 0.01. Robust standard errors (HC2) in parentheses.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Notes: Support for CCUS in general and for five CCUS applications; "Don't know" answers are excluded. Treatments: short information texts on jobs, local economic growth, preservation of jobs and industries, energy security, or climate change. Reference category: control group (no information). Sample: DE; respondents with a valid answer on the respective outcome.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2026-10-29T11:02:45Z</dcterms:modified>
  <cp:category/>
</cp:coreProperties>
</file>