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-0.823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Controls: age group, gender, education, household income quartile, area type, prior knowledge of CCUS and climate concern (coefficients not shown). Stars for the treatment arms are based on p-values adjusted for multiple testing (Benjamini-Hochberg) within this table; "Any treatment" is a single test and not adjusted.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2026-10-29T11:09:31Z</dcterms:modified>
  <cp:category/>
</cp:coreProperties>
</file>