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Climate concern, political orientation and support for CCUS (OLS regression)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2"/>
        <w:gridCol w:w="1131"/>
        <w:gridCol w:w="1131"/>
        <w:gridCol w:w="1131"/>
        <w:gridCol w:w="113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index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4.937***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4.938***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4.991***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3.958***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(1.430)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-0.226***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-0.212**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-0.418**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-1.114***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Other party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-0.316**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No party stated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-0.309**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Model (1) includes climate concern only; model (2) political orientation only; model (3) both climate concern and political orientation; model (4) additionally includes control variables. The support index is the mean of six support items (CCUS in general and five applications), at least four valid answers required; "don't know" answers are excluded. Climate concern: agreement that climate change is an important problem (reference: strongly agree). Political orientation: party blocs based on party preference (reference: left); "right" refers to populist-right parties, the mainstream centre-right is included in "centre"; "other party" and "no party stated" are included as separate categories. Controls in model (4), coefficients not shown: age group, gender, education, household income quartile, area type, prior knowledge of CCUS and treatment group. Sample: NL. The coefficients describe associations, not causal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2026-10-29T11:09:33Z</dcterms:modified>
  <cp:category/>
</cp:coreProperties>
</file>