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OLS regression: treatment effects on expected consequences of CCUS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481"/>
        <w:gridCol w:w="1941"/>
        <w:gridCol w:w="3421"/>
        <w:gridCol w:w="1761"/>
        <w:gridCol w:w="2151"/>
        <w:gridCol w:w="20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perceived likelihood (1 = very likely, 5 = very unlikely)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Job creation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Economic activity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Preservation of industries and jobs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Energy security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Environmental harm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Emission reduction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2.518***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2.676***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2.671***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2.725***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3.015***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2.662***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-0.185*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Measured after the treatment; "Don't know" excluded. Negative coefficients: the consequence is seen as more likely than in the control group. Treatments: short information texts on jobs, local economic growth, preservation of jobs and industries, energy security, or climate change. Reference category: control group (no information). Sample: NL;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2026-10-29T11:09:09Z</dcterms:modified>
  <cp:category/>
</cp:coreProperties>
</file>