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Linear probability models: treatment effects on willingness to sign a petition against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3"/>
        <w:gridCol w:w="1161"/>
        <w:gridCol w:w="1821"/>
        <w:gridCol w:w="1681"/>
        <w:gridCol w:w="1611"/>
        <w:gridCol w:w="1481"/>
      </w:tblGrid>
      <w:tr>
        <w:trPr>
          <w:trHeight w:val="415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Dependent variable: would sign a petition against (0/1)</w:t>
            </w:r>
          </w:p>
        </w:tc>
      </w:tr>
      <w:tr>
        <w:trPr>
          <w:trHeight w:val="415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Biomass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Waste-to-energy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utilisation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pipelines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storage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0.185***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0.176***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0.100***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0.311***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Local Economic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Preservation of Jobs and Industries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-0.083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Energy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Climate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-0.077***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Coefficients are changes in the probability of signing against (in percentage points / 100). Respondents who are undecided are excluded. Treatments: short information texts on jobs, local economic growth, preservation of jobs and industries, energy security, or climate change. Reference category: control group (no information). Sample: NL; respondents with a valid answer on the respective outcome.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2026-10-29T11:09:15Z</dcterms:modified>
  <cp:category/>
</cp:coreProperties>
</file>